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Regulatory Compliance Document — BIRDC ERP</w:t>
      </w:r>
    </w:p>
    <w:p>
      <w:pPr>
        <w:pStyle w:val="Subtitle"/>
      </w:pPr>
      <w:r>
        <w:t xml:space="preserve">Uganda Statutory and International Standards Compliance Analysis</w:t>
      </w:r>
    </w:p>
    <w:p>
      <w:pPr>
        <w:pStyle w:val="Author"/>
      </w:pPr>
      <w:r>
        <w:t xml:space="preserve">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012950d930a6f6b739100ec77b59660e9d01458"/>
    <w:p>
      <w:pPr>
        <w:pStyle w:val="Heading1"/>
      </w:pPr>
      <w:r>
        <w:t xml:space="preserve">Regulatory Compliance Document — BIRDC ERP</w:t>
      </w:r>
    </w:p>
    <w:p>
      <w:pPr>
        <w:pStyle w:val="FirstParagraph"/>
      </w:pPr>
      <w:r>
        <w:rPr>
          <w:b/>
          <w:bCs/>
        </w:rPr>
        <w:t xml:space="preserve">Prepared by:</w:t>
      </w:r>
      <w:r>
        <w:t xml:space="preserve"> </w:t>
      </w:r>
      <w:r>
        <w:t xml:space="preserve">Peter Bamuhigire, ICT Consultant (techguypeter.com) for PIBID/BIRDC</w:t>
      </w:r>
      <w:r>
        <w:t xml:space="preserve"> </w:t>
      </w:r>
      <w:r>
        <w:rPr>
          <w:b/>
          <w:bCs/>
        </w:rPr>
        <w:t xml:space="preserve">Date:</w:t>
      </w:r>
      <w:r>
        <w:t xml:space="preserve"> </w:t>
      </w:r>
      <w:r>
        <w:t xml:space="preserve">2026-04-05</w:t>
      </w:r>
      <w:r>
        <w:t xml:space="preserve"> </w:t>
      </w:r>
      <w:r>
        <w:rPr>
          <w:b/>
          <w:bCs/>
        </w:rPr>
        <w:t xml:space="preserve">Version:</w:t>
      </w:r>
      <w:r>
        <w:t xml:space="preserve"> </w:t>
      </w:r>
      <w:r>
        <w:t xml:space="preserve">1.0</w:t>
      </w:r>
      <w:r>
        <w:t xml:space="preserve"> </w:t>
      </w:r>
      <w:r>
        <w:rPr>
          <w:b/>
          <w:bCs/>
        </w:rPr>
        <w:t xml:space="preserve">Document Status:</w:t>
      </w:r>
      <w:r>
        <w:t xml:space="preserve"> </w:t>
      </w:r>
      <w:r>
        <w:t xml:space="preserve">Final Draft —</w:t>
      </w:r>
      <w:r>
        <w:t xml:space="preserve"> </w:t>
      </w:r>
      <w:r>
        <w:rPr>
          <w:i/>
          <w:iCs/>
        </w:rPr>
        <w:t xml:space="preserve">DPPA section (§2) requires legal review before go-live.</w:t>
      </w:r>
      <w:r>
        <w:t xml:space="preserve"> </w:t>
      </w:r>
      <w:r>
        <w:rPr>
          <w:b/>
          <w:bCs/>
        </w:rPr>
        <w:t xml:space="preserve">Classification:</w:t>
      </w:r>
      <w:r>
        <w:t xml:space="preserve"> </w:t>
      </w:r>
      <w:r>
        <w:t xml:space="preserve">Governance and Compliance</w:t>
      </w:r>
    </w:p>
    <w:p>
      <w:r>
        <w:pict>
          <v:rect style="width:0;height:1.5pt" o:hralign="center" o:hrstd="t" o:hr="t"/>
        </w:pict>
      </w:r>
    </w:p>
    <w:bookmarkStart w:id="19" w:name="purpose"/>
    <w:p>
      <w:pPr>
        <w:pStyle w:val="Heading2"/>
      </w:pPr>
      <w:r>
        <w:t xml:space="preserve">Purpose</w:t>
      </w:r>
    </w:p>
    <w:p>
      <w:pPr>
        <w:pStyle w:val="FirstParagraph"/>
      </w:pPr>
      <w:r>
        <w:t xml:space="preserve">This document records how the BIRDC ERP system addresses each applicable regulatory framework and standard. For each regulatory obligation, it states the specific system mechanism — which module, which FR, which business rule — that satisfies the obligation. Where a gap exists, the document flags it for resolution.</w:t>
      </w:r>
    </w:p>
    <w:bookmarkEnd w:id="19"/>
    <w:bookmarkStart w:id="20" w:name="applicable-regulatory-framework"/>
    <w:p>
      <w:pPr>
        <w:pStyle w:val="Heading2"/>
      </w:pPr>
      <w:r>
        <w:t xml:space="preserve">Applicable Regulatory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Regulation / Standard</w:t>
            </w:r>
          </w:p>
        </w:tc>
        <w:tc>
          <w:tcPr/>
          <w:p>
            <w:pPr>
              <w:pStyle w:val="Compact"/>
            </w:pPr>
            <w:r>
              <w:t xml:space="preserve">Governing Body</w:t>
            </w:r>
          </w:p>
        </w:tc>
        <w:tc>
          <w:tcPr/>
          <w:p>
            <w:pPr>
              <w:pStyle w:val="Compact"/>
            </w:pPr>
            <w:r>
              <w:t xml:space="preserve">Application to BIRDC</w:t>
            </w:r>
          </w:p>
        </w:tc>
      </w:tr>
      <w:tr>
        <w:tc>
          <w:tcPr/>
          <w:p>
            <w:pPr>
              <w:pStyle w:val="Compact"/>
            </w:pPr>
            <w:r>
              <w:t xml:space="preserve">Uganda Data Protection and Privacy Act 2019</w:t>
            </w:r>
          </w:p>
        </w:tc>
        <w:tc>
          <w:tcPr/>
          <w:p>
            <w:pPr>
              <w:pStyle w:val="Compact"/>
            </w:pPr>
            <w:r>
              <w:t xml:space="preserve">National Data Protection Office (NDPO)</w:t>
            </w:r>
          </w:p>
        </w:tc>
        <w:tc>
          <w:tcPr/>
          <w:p>
            <w:pPr>
              <w:pStyle w:val="Compact"/>
            </w:pPr>
            <w:r>
              <w:t xml:space="preserve">Farmer PII: NIN, GPS, photo, mobile money; employee data</w:t>
            </w:r>
          </w:p>
        </w:tc>
      </w:tr>
      <w:tr>
        <w:tc>
          <w:tcPr/>
          <w:p>
            <w:pPr>
              <w:pStyle w:val="Compact"/>
            </w:pPr>
            <w:r>
              <w:t xml:space="preserve">Uganda PPDA Act (Cap 305)</w:t>
            </w:r>
          </w:p>
        </w:tc>
        <w:tc>
          <w:tcPr/>
          <w:p>
            <w:pPr>
              <w:pStyle w:val="Compact"/>
            </w:pPr>
            <w:r>
              <w:t xml:space="preserve">PPDA Uganda</w:t>
            </w:r>
          </w:p>
        </w:tc>
        <w:tc>
          <w:tcPr/>
          <w:p>
            <w:pPr>
              <w:pStyle w:val="Compact"/>
            </w:pPr>
            <w:r>
              <w:t xml:space="preserve">All BIRDC procurement — documentation, approval thresholds, audit trail</w:t>
            </w:r>
          </w:p>
        </w:tc>
      </w:tr>
      <w:tr>
        <w:tc>
          <w:tcPr/>
          <w:p>
            <w:pPr>
              <w:pStyle w:val="Compact"/>
            </w:pPr>
            <w:r>
              <w:t xml:space="preserve">Uganda Income Tax Act (Cap 340)</w:t>
            </w:r>
          </w:p>
        </w:tc>
        <w:tc>
          <w:tcPr/>
          <w:p>
            <w:pPr>
              <w:pStyle w:val="Compact"/>
            </w:pPr>
            <w:r>
              <w:t xml:space="preserve">URA</w:t>
            </w:r>
          </w:p>
        </w:tc>
        <w:tc>
          <w:tcPr/>
          <w:p>
            <w:pPr>
              <w:pStyle w:val="Compact"/>
            </w:pPr>
            <w:r>
              <w:t xml:space="preserve">PAYE, WHT (6%), 7-year record retention</w:t>
            </w:r>
          </w:p>
        </w:tc>
      </w:tr>
      <w:tr>
        <w:tc>
          <w:tcPr/>
          <w:p>
            <w:pPr>
              <w:pStyle w:val="Compact"/>
            </w:pPr>
            <w:r>
              <w:t xml:space="preserve">Uganda NSSF Act</w:t>
            </w:r>
          </w:p>
        </w:tc>
        <w:tc>
          <w:tcPr/>
          <w:p>
            <w:pPr>
              <w:pStyle w:val="Compact"/>
            </w:pPr>
            <w:r>
              <w:t xml:space="preserve">NSSF Uganda</w:t>
            </w:r>
          </w:p>
        </w:tc>
        <w:tc>
          <w:tcPr/>
          <w:p>
            <w:pPr>
              <w:pStyle w:val="Compact"/>
            </w:pPr>
            <w:r>
              <w:t xml:space="preserve">Mandatory contributions: employer 10% / employee 5%</w:t>
            </w:r>
          </w:p>
        </w:tc>
      </w:tr>
      <w:tr>
        <w:tc>
          <w:tcPr/>
          <w:p>
            <w:pPr>
              <w:pStyle w:val="Compact"/>
            </w:pPr>
            <w:r>
              <w:t xml:space="preserve">Uganda Companies Act (Cap 110)</w:t>
            </w:r>
          </w:p>
        </w:tc>
        <w:tc>
          <w:tcPr/>
          <w:p>
            <w:pPr>
              <w:pStyle w:val="Compact"/>
            </w:pPr>
            <w:r>
              <w:t xml:space="preserve">URSB</w:t>
            </w:r>
          </w:p>
        </w:tc>
        <w:tc>
          <w:tcPr/>
          <w:p>
            <w:pPr>
              <w:pStyle w:val="Compact"/>
            </w:pPr>
            <w:r>
              <w:t xml:space="preserve">Financial record keeping and 7-year audit trail retention</w:t>
            </w:r>
          </w:p>
        </w:tc>
      </w:tr>
      <w:tr>
        <w:tc>
          <w:tcPr/>
          <w:p>
            <w:pPr>
              <w:pStyle w:val="Compact"/>
            </w:pPr>
            <w:r>
              <w:t xml:space="preserve">IFRS for SMEs</w:t>
            </w:r>
          </w:p>
        </w:tc>
        <w:tc>
          <w:tcPr/>
          <w:p>
            <w:pPr>
              <w:pStyle w:val="Compact"/>
            </w:pPr>
            <w:r>
              <w:t xml:space="preserve">ICPAU</w:t>
            </w:r>
          </w:p>
        </w:tc>
        <w:tc>
          <w:tcPr/>
          <w:p>
            <w:pPr>
              <w:pStyle w:val="Compact"/>
            </w:pPr>
            <w:r>
              <w:t xml:space="preserve">Commercial financial reporting for BIRDC</w:t>
            </w:r>
          </w:p>
        </w:tc>
      </w:tr>
      <w:tr>
        <w:tc>
          <w:tcPr/>
          <w:p>
            <w:pPr>
              <w:pStyle w:val="Compact"/>
            </w:pPr>
            <w:r>
              <w:t xml:space="preserve">ISO 22000:2018</w:t>
            </w:r>
          </w:p>
        </w:tc>
        <w:tc>
          <w:tcPr/>
          <w:p>
            <w:pPr>
              <w:pStyle w:val="Compact"/>
            </w:pPr>
            <w:r>
              <w:t xml:space="preserve">ISO / MAAIF</w:t>
            </w:r>
          </w:p>
        </w:tc>
        <w:tc>
          <w:tcPr/>
          <w:p>
            <w:pPr>
              <w:pStyle w:val="Compact"/>
            </w:pPr>
            <w:r>
              <w:t xml:space="preserve">Food safety management for export markets</w:t>
            </w:r>
          </w:p>
        </w:tc>
      </w:tr>
      <w:tr>
        <w:tc>
          <w:tcPr/>
          <w:p>
            <w:pPr>
              <w:pStyle w:val="Compact"/>
            </w:pPr>
            <w:r>
              <w:t xml:space="preserve">Codex Alimentarius</w:t>
            </w:r>
          </w:p>
        </w:tc>
        <w:tc>
          <w:tcPr/>
          <w:p>
            <w:pPr>
              <w:pStyle w:val="Compact"/>
            </w:pPr>
            <w:r>
              <w:t xml:space="preserve">FAO / WHO</w:t>
            </w:r>
          </w:p>
        </w:tc>
        <w:tc>
          <w:tcPr/>
          <w:p>
            <w:pPr>
              <w:pStyle w:val="Compact"/>
            </w:pPr>
            <w:r>
              <w:t xml:space="preserve">International food standards referenced in export CoA</w:t>
            </w:r>
          </w:p>
        </w:tc>
      </w:tr>
      <w:tr>
        <w:tc>
          <w:tcPr/>
          <w:p>
            <w:pPr>
              <w:pStyle w:val="Compact"/>
            </w:pPr>
            <w:r>
              <w:t xml:space="preserve">OAG Uganda Audit Requirements</w:t>
            </w:r>
          </w:p>
        </w:tc>
        <w:tc>
          <w:tcPr/>
          <w:p>
            <w:pPr>
              <w:pStyle w:val="Compact"/>
            </w:pPr>
            <w:r>
              <w:t xml:space="preserve">Office of the Auditor General</w:t>
            </w:r>
          </w:p>
        </w:tc>
        <w:tc>
          <w:tcPr/>
          <w:p>
            <w:pPr>
              <w:pStyle w:val="Compact"/>
            </w:pPr>
            <w:r>
              <w:t xml:space="preserve">Annual audit of PIBID parliamentary accounts</w:t>
            </w:r>
          </w:p>
        </w:tc>
      </w:tr>
    </w:tbl>
    <w:bookmarkEnd w:id="20"/>
    <w:bookmarkEnd w:id="21"/>
    <w:bookmarkStart w:id="33" w:name="X36174dc8fa9bf905349f4dad7278a34ccbc3eea"/>
    <w:p>
      <w:pPr>
        <w:pStyle w:val="Heading1"/>
      </w:pPr>
      <w:r>
        <w:t xml:space="preserve">Section 2: Uganda Data Protection and Privacy Act 2019</w:t>
      </w:r>
    </w:p>
    <w:p>
      <w:pPr>
        <w:pStyle w:val="FirstParagraph"/>
      </w:pPr>
      <w:r>
        <w:rPr>
          <w:i/>
          <w:iCs/>
        </w:rPr>
        <w:t xml:space="preserve">This section is a Conditional Compliance section. The system architecture implements the technical controls described below; however, the lawful basis determination and data subject rights procedures require legal review by counsel familiar with the DPPA 2019 before go-live. See [CONTEXT-GAP: GAP-004].</w:t>
      </w:r>
    </w:p>
    <w:bookmarkStart w:id="24" w:name="Xbe693dfb29f5d1f59c088740ce14e73cc21865f"/>
    <w:p>
      <w:pPr>
        <w:pStyle w:val="Heading2"/>
      </w:pPr>
      <w:r>
        <w:t xml:space="preserve">2.1 Personal Data Collected by the System</w:t>
      </w:r>
    </w:p>
    <w:p>
      <w:pPr>
        <w:pStyle w:val="FirstParagraph"/>
      </w:pPr>
      <w:r>
        <w:t xml:space="preserve">The BIRDC ERP system collects and processes the following categories of personal data:</w:t>
      </w:r>
    </w:p>
    <w:bookmarkStart w:id="22" w:name="X896af5cd0129724f2bf1c3cd27aa96cab3c8e14"/>
    <w:p>
      <w:pPr>
        <w:pStyle w:val="Heading3"/>
      </w:pPr>
      <w:r>
        <w:t xml:space="preserve">2.1.1 Farmer Personal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Element</w:t>
            </w:r>
          </w:p>
        </w:tc>
        <w:tc>
          <w:tcPr/>
          <w:p>
            <w:pPr>
              <w:pStyle w:val="Compact"/>
            </w:pPr>
            <w:r>
              <w:t xml:space="preserve">Module</w:t>
            </w:r>
          </w:p>
        </w:tc>
        <w:tc>
          <w:tcPr/>
          <w:p>
            <w:pPr>
              <w:pStyle w:val="Compact"/>
            </w:pPr>
            <w:r>
              <w:t xml:space="preserve">Sensitivity</w:t>
            </w:r>
          </w:p>
        </w:tc>
        <w:tc>
          <w:tcPr/>
          <w:p>
            <w:pPr>
              <w:pStyle w:val="Compact"/>
            </w:pPr>
            <w:r>
              <w:t xml:space="preserve">Retention Period</w:t>
            </w:r>
          </w:p>
        </w:tc>
      </w:tr>
      <w:tr>
        <w:tc>
          <w:tcPr/>
          <w:p>
            <w:pPr>
              <w:pStyle w:val="Compact"/>
            </w:pPr>
            <w:r>
              <w:t xml:space="preserve">Full name</w:t>
            </w:r>
          </w:p>
        </w:tc>
        <w:tc>
          <w:tcPr/>
          <w:p>
            <w:pPr>
              <w:pStyle w:val="Compact"/>
            </w:pPr>
            <w:r>
              <w:t xml:space="preserve">F-010 Farmer Management</w:t>
            </w:r>
          </w:p>
        </w:tc>
        <w:tc>
          <w:tcPr/>
          <w:p>
            <w:pPr>
              <w:pStyle w:val="Compact"/>
            </w:pPr>
            <w:r>
              <w:t xml:space="preserve">Standard</w:t>
            </w:r>
          </w:p>
        </w:tc>
        <w:tc>
          <w:tcPr/>
          <w:p>
            <w:pPr>
              <w:pStyle w:val="Compact"/>
            </w:pPr>
            <w:r>
              <w:t xml:space="preserve">Duration of cooperative membership + 7 years</w:t>
            </w:r>
          </w:p>
        </w:tc>
      </w:tr>
      <w:tr>
        <w:tc>
          <w:tcPr/>
          <w:p>
            <w:pPr>
              <w:pStyle w:val="Compact"/>
            </w:pPr>
            <w:r>
              <w:t xml:space="preserve">National Identification Number (NIN)</w:t>
            </w:r>
          </w:p>
        </w:tc>
        <w:tc>
          <w:tcPr/>
          <w:p>
            <w:pPr>
              <w:pStyle w:val="Compact"/>
            </w:pPr>
            <w:r>
              <w:t xml:space="preserve">F-010, F-009</w:t>
            </w:r>
          </w:p>
        </w:tc>
        <w:tc>
          <w:tcPr/>
          <w:p>
            <w:pPr>
              <w:pStyle w:val="Compact"/>
            </w:pPr>
            <w:r>
              <w:t xml:space="preserve">Sensitive</w:t>
            </w:r>
          </w:p>
        </w:tc>
        <w:tc>
          <w:tcPr/>
          <w:p>
            <w:pPr>
              <w:pStyle w:val="Compact"/>
            </w:pPr>
            <w:r>
              <w:t xml:space="preserve">Duration of cooperative membership + 7 years</w:t>
            </w:r>
          </w:p>
        </w:tc>
      </w:tr>
      <w:tr>
        <w:tc>
          <w:tcPr/>
          <w:p>
            <w:pPr>
              <w:pStyle w:val="Compact"/>
            </w:pPr>
            <w:r>
              <w:t xml:space="preserve">GPS farm coordinates (farm polygon)</w:t>
            </w:r>
          </w:p>
        </w:tc>
        <w:tc>
          <w:tcPr/>
          <w:p>
            <w:pPr>
              <w:pStyle w:val="Compact"/>
            </w:pPr>
            <w:r>
              <w:t xml:space="preserve">F-010</w:t>
            </w:r>
          </w:p>
        </w:tc>
        <w:tc>
          <w:tcPr/>
          <w:p>
            <w:pPr>
              <w:pStyle w:val="Compact"/>
            </w:pPr>
            <w:r>
              <w:t xml:space="preserve">Standard — geolocation</w:t>
            </w:r>
          </w:p>
        </w:tc>
        <w:tc>
          <w:tcPr/>
          <w:p>
            <w:pPr>
              <w:pStyle w:val="Compact"/>
            </w:pPr>
            <w:r>
              <w:t xml:space="preserve">Duration of cooperative membership + 7 years</w:t>
            </w:r>
          </w:p>
        </w:tc>
      </w:tr>
      <w:tr>
        <w:tc>
          <w:tcPr/>
          <w:p>
            <w:pPr>
              <w:pStyle w:val="Compact"/>
            </w:pPr>
            <w:r>
              <w:t xml:space="preserve">Photo</w:t>
            </w:r>
          </w:p>
        </w:tc>
        <w:tc>
          <w:tcPr/>
          <w:p>
            <w:pPr>
              <w:pStyle w:val="Compact"/>
            </w:pPr>
            <w:r>
              <w:t xml:space="preserve">F-010</w:t>
            </w:r>
          </w:p>
        </w:tc>
        <w:tc>
          <w:tcPr/>
          <w:p>
            <w:pPr>
              <w:pStyle w:val="Compact"/>
            </w:pPr>
            <w:r>
              <w:t xml:space="preserve">Biometric-adjacent</w:t>
            </w:r>
          </w:p>
        </w:tc>
        <w:tc>
          <w:tcPr/>
          <w:p>
            <w:pPr>
              <w:pStyle w:val="Compact"/>
            </w:pPr>
            <w:r>
              <w:t xml:space="preserve">Duration of cooperative membership + 7 years</w:t>
            </w:r>
          </w:p>
        </w:tc>
      </w:tr>
      <w:tr>
        <w:tc>
          <w:tcPr/>
          <w:p>
            <w:pPr>
              <w:pStyle w:val="Compact"/>
            </w:pPr>
            <w:r>
              <w:t xml:space="preserve">Mobile money number</w:t>
            </w:r>
          </w:p>
        </w:tc>
        <w:tc>
          <w:tcPr/>
          <w:p>
            <w:pPr>
              <w:pStyle w:val="Compact"/>
            </w:pPr>
            <w:r>
              <w:t xml:space="preserve">F-010, F-007</w:t>
            </w:r>
          </w:p>
        </w:tc>
        <w:tc>
          <w:tcPr/>
          <w:p>
            <w:pPr>
              <w:pStyle w:val="Compact"/>
            </w:pPr>
            <w:r>
              <w:t xml:space="preserve">Financial</w:t>
            </w:r>
          </w:p>
        </w:tc>
        <w:tc>
          <w:tcPr/>
          <w:p>
            <w:pPr>
              <w:pStyle w:val="Compact"/>
            </w:pPr>
            <w:r>
              <w:t xml:space="preserve">Duration of cooperative membership + 7 years</w:t>
            </w:r>
          </w:p>
        </w:tc>
      </w:tr>
      <w:tr>
        <w:tc>
          <w:tcPr/>
          <w:p>
            <w:pPr>
              <w:pStyle w:val="Compact"/>
            </w:pPr>
            <w:r>
              <w:t xml:space="preserve">Contact phone number</w:t>
            </w:r>
          </w:p>
        </w:tc>
        <w:tc>
          <w:tcPr/>
          <w:p>
            <w:pPr>
              <w:pStyle w:val="Compact"/>
            </w:pPr>
            <w:r>
              <w:t xml:space="preserve">F-010</w:t>
            </w:r>
          </w:p>
        </w:tc>
        <w:tc>
          <w:tcPr/>
          <w:p>
            <w:pPr>
              <w:pStyle w:val="Compact"/>
            </w:pPr>
            <w:r>
              <w:t xml:space="preserve">Standard</w:t>
            </w:r>
          </w:p>
        </w:tc>
        <w:tc>
          <w:tcPr/>
          <w:p>
            <w:pPr>
              <w:pStyle w:val="Compact"/>
            </w:pPr>
            <w:r>
              <w:t xml:space="preserve">Duration of cooperative membership + 7 years</w:t>
            </w:r>
          </w:p>
        </w:tc>
      </w:tr>
      <w:tr>
        <w:tc>
          <w:tcPr/>
          <w:p>
            <w:pPr>
              <w:pStyle w:val="Compact"/>
            </w:pPr>
            <w:r>
              <w:t xml:space="preserve">Delivery history and payment records</w:t>
            </w:r>
          </w:p>
        </w:tc>
        <w:tc>
          <w:tcPr/>
          <w:p>
            <w:pPr>
              <w:pStyle w:val="Compact"/>
            </w:pPr>
            <w:r>
              <w:t xml:space="preserve">F-009, F-007</w:t>
            </w:r>
          </w:p>
        </w:tc>
        <w:tc>
          <w:tcPr/>
          <w:p>
            <w:pPr>
              <w:pStyle w:val="Compact"/>
            </w:pPr>
            <w:r>
              <w:t xml:space="preserve">Financial</w:t>
            </w:r>
          </w:p>
        </w:tc>
        <w:tc>
          <w:tcPr/>
          <w:p>
            <w:pPr>
              <w:pStyle w:val="Compact"/>
            </w:pPr>
            <w:r>
              <w:t xml:space="preserve">7 years per Income Tax Act</w:t>
            </w:r>
          </w:p>
        </w:tc>
      </w:tr>
    </w:tbl>
    <w:p>
      <w:pPr>
        <w:pStyle w:val="BodyText"/>
      </w:pPr>
      <w:r>
        <w:rPr>
          <w:b/>
          <w:bCs/>
        </w:rPr>
        <w:t xml:space="preserve">Lawful basis:</w:t>
      </w:r>
      <w:r>
        <w:t xml:space="preserve"> </w:t>
      </w:r>
      <w:r>
        <w:t xml:space="preserve">[CONTEXT-GAP: GAP-004] — To be confirmed by legal counsel. Likely candidates: consent (signed farmer registration form) and/or legitimate interest (necessary for cooperative procurement and payment). The Finance Director must confirm the lawful basis before farmer registration module goes live.</w:t>
      </w:r>
    </w:p>
    <w:bookmarkEnd w:id="22"/>
    <w:bookmarkStart w:id="23" w:name="X01fef864477fcda4f3d6797dc86192f82080ead"/>
    <w:p>
      <w:pPr>
        <w:pStyle w:val="Heading3"/>
      </w:pPr>
      <w:r>
        <w:t xml:space="preserve">2.1.2 Employee Personal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 Element</w:t>
            </w:r>
          </w:p>
        </w:tc>
        <w:tc>
          <w:tcPr/>
          <w:p>
            <w:pPr>
              <w:pStyle w:val="Compact"/>
            </w:pPr>
            <w:r>
              <w:t xml:space="preserve">Module</w:t>
            </w:r>
          </w:p>
        </w:tc>
        <w:tc>
          <w:tcPr/>
          <w:p>
            <w:pPr>
              <w:pStyle w:val="Compact"/>
            </w:pPr>
            <w:r>
              <w:t xml:space="preserve">Sensitivity</w:t>
            </w:r>
          </w:p>
        </w:tc>
        <w:tc>
          <w:tcPr/>
          <w:p>
            <w:pPr>
              <w:pStyle w:val="Compact"/>
            </w:pPr>
            <w:r>
              <w:t xml:space="preserve">Retention Period</w:t>
            </w:r>
          </w:p>
        </w:tc>
      </w:tr>
      <w:tr>
        <w:tc>
          <w:tcPr/>
          <w:p>
            <w:pPr>
              <w:pStyle w:val="Compact"/>
            </w:pPr>
            <w:r>
              <w:t xml:space="preserve">Full name, contact, address</w:t>
            </w:r>
          </w:p>
        </w:tc>
        <w:tc>
          <w:tcPr/>
          <w:p>
            <w:pPr>
              <w:pStyle w:val="Compact"/>
            </w:pPr>
            <w:r>
              <w:t xml:space="preserve">F-013 HR</w:t>
            </w:r>
          </w:p>
        </w:tc>
        <w:tc>
          <w:tcPr/>
          <w:p>
            <w:pPr>
              <w:pStyle w:val="Compact"/>
            </w:pPr>
            <w:r>
              <w:t xml:space="preserve">Standard</w:t>
            </w:r>
          </w:p>
        </w:tc>
        <w:tc>
          <w:tcPr/>
          <w:p>
            <w:pPr>
              <w:pStyle w:val="Compact"/>
            </w:pPr>
            <w:r>
              <w:t xml:space="preserve">Duration of employment + 7 years</w:t>
            </w:r>
          </w:p>
        </w:tc>
      </w:tr>
      <w:tr>
        <w:tc>
          <w:tcPr/>
          <w:p>
            <w:pPr>
              <w:pStyle w:val="Compact"/>
            </w:pPr>
            <w:r>
              <w:t xml:space="preserve">National Identification Number (NIN)</w:t>
            </w:r>
          </w:p>
        </w:tc>
        <w:tc>
          <w:tcPr/>
          <w:p>
            <w:pPr>
              <w:pStyle w:val="Compact"/>
            </w:pPr>
            <w:r>
              <w:t xml:space="preserve">F-013 HR</w:t>
            </w:r>
          </w:p>
        </w:tc>
        <w:tc>
          <w:tcPr/>
          <w:p>
            <w:pPr>
              <w:pStyle w:val="Compact"/>
            </w:pPr>
            <w:r>
              <w:t xml:space="preserve">Sensitive</w:t>
            </w:r>
          </w:p>
        </w:tc>
        <w:tc>
          <w:tcPr/>
          <w:p>
            <w:pPr>
              <w:pStyle w:val="Compact"/>
            </w:pPr>
            <w:r>
              <w:t xml:space="preserve">Duration of employment + 7 years</w:t>
            </w:r>
          </w:p>
        </w:tc>
      </w:tr>
      <w:tr>
        <w:tc>
          <w:tcPr/>
          <w:p>
            <w:pPr>
              <w:pStyle w:val="Compact"/>
            </w:pPr>
            <w:r>
              <w:t xml:space="preserve">Contract type, salary, job grade</w:t>
            </w:r>
          </w:p>
        </w:tc>
        <w:tc>
          <w:tcPr/>
          <w:p>
            <w:pPr>
              <w:pStyle w:val="Compact"/>
            </w:pPr>
            <w:r>
              <w:t xml:space="preserve">F-013, F-014 Payroll</w:t>
            </w:r>
          </w:p>
        </w:tc>
        <w:tc>
          <w:tcPr/>
          <w:p>
            <w:pPr>
              <w:pStyle w:val="Compact"/>
            </w:pPr>
            <w:r>
              <w:t xml:space="preserve">Financial</w:t>
            </w:r>
          </w:p>
        </w:tc>
        <w:tc>
          <w:tcPr/>
          <w:p>
            <w:pPr>
              <w:pStyle w:val="Compact"/>
            </w:pPr>
            <w:r>
              <w:t xml:space="preserve">Duration of employment + 7 years (Income Tax Act)</w:t>
            </w:r>
          </w:p>
        </w:tc>
      </w:tr>
      <w:tr>
        <w:tc>
          <w:tcPr/>
          <w:p>
            <w:pPr>
              <w:pStyle w:val="Compact"/>
            </w:pPr>
            <w:r>
              <w:t xml:space="preserve">Biometric fingerprint data</w:t>
            </w:r>
          </w:p>
        </w:tc>
        <w:tc>
          <w:tcPr/>
          <w:p>
            <w:pPr>
              <w:pStyle w:val="Compact"/>
            </w:pPr>
            <w:r>
              <w:t xml:space="preserve">F-013 (ZKTeco device)</w:t>
            </w:r>
          </w:p>
        </w:tc>
        <w:tc>
          <w:tcPr/>
          <w:p>
            <w:pPr>
              <w:pStyle w:val="Compact"/>
            </w:pPr>
            <w:r>
              <w:t xml:space="preserve">Biometric — highly sensitive</w:t>
            </w:r>
          </w:p>
        </w:tc>
        <w:tc>
          <w:tcPr/>
          <w:p>
            <w:pPr>
              <w:pStyle w:val="Compact"/>
            </w:pPr>
            <w:r>
              <w:t xml:space="preserve">Duration of employment; delete on exit</w:t>
            </w:r>
          </w:p>
        </w:tc>
      </w:tr>
      <w:tr>
        <w:tc>
          <w:tcPr/>
          <w:p>
            <w:pPr>
              <w:pStyle w:val="Compact"/>
            </w:pPr>
            <w:r>
              <w:t xml:space="preserve">Leave records, disciplinary records</w:t>
            </w:r>
          </w:p>
        </w:tc>
        <w:tc>
          <w:tcPr/>
          <w:p>
            <w:pPr>
              <w:pStyle w:val="Compact"/>
            </w:pPr>
            <w:r>
              <w:t xml:space="preserve">F-013 HR</w:t>
            </w:r>
          </w:p>
        </w:tc>
        <w:tc>
          <w:tcPr/>
          <w:p>
            <w:pPr>
              <w:pStyle w:val="Compact"/>
            </w:pPr>
            <w:r>
              <w:t xml:space="preserve">HR sensitive</w:t>
            </w:r>
          </w:p>
        </w:tc>
        <w:tc>
          <w:tcPr/>
          <w:p>
            <w:pPr>
              <w:pStyle w:val="Compact"/>
            </w:pPr>
            <w:r>
              <w:t xml:space="preserve">Duration of employment + 7 years</w:t>
            </w:r>
          </w:p>
        </w:tc>
      </w:tr>
      <w:tr>
        <w:tc>
          <w:tcPr/>
          <w:p>
            <w:pPr>
              <w:pStyle w:val="Compact"/>
            </w:pPr>
            <w:r>
              <w:t xml:space="preserve">Payroll records, payslips</w:t>
            </w:r>
          </w:p>
        </w:tc>
        <w:tc>
          <w:tcPr/>
          <w:p>
            <w:pPr>
              <w:pStyle w:val="Compact"/>
            </w:pPr>
            <w:r>
              <w:t xml:space="preserve">F-014 Payroll</w:t>
            </w:r>
          </w:p>
        </w:tc>
        <w:tc>
          <w:tcPr/>
          <w:p>
            <w:pPr>
              <w:pStyle w:val="Compact"/>
            </w:pPr>
            <w:r>
              <w:t xml:space="preserve">Financial</w:t>
            </w:r>
          </w:p>
        </w:tc>
        <w:tc>
          <w:tcPr/>
          <w:p>
            <w:pPr>
              <w:pStyle w:val="Compact"/>
            </w:pPr>
            <w:r>
              <w:t xml:space="preserve">7 years per Income Tax Act</w:t>
            </w:r>
          </w:p>
        </w:tc>
      </w:tr>
      <w:tr>
        <w:tc>
          <w:tcPr/>
          <w:p>
            <w:pPr>
              <w:pStyle w:val="Compact"/>
            </w:pPr>
            <w:r>
              <w:t xml:space="preserve">Bank account details</w:t>
            </w:r>
          </w:p>
        </w:tc>
        <w:tc>
          <w:tcPr/>
          <w:p>
            <w:pPr>
              <w:pStyle w:val="Compact"/>
            </w:pPr>
            <w:r>
              <w:t xml:space="preserve">F-014 Payroll</w:t>
            </w:r>
          </w:p>
        </w:tc>
        <w:tc>
          <w:tcPr/>
          <w:p>
            <w:pPr>
              <w:pStyle w:val="Compact"/>
            </w:pPr>
            <w:r>
              <w:t xml:space="preserve">Financial</w:t>
            </w:r>
          </w:p>
        </w:tc>
        <w:tc>
          <w:tcPr/>
          <w:p>
            <w:pPr>
              <w:pStyle w:val="Compact"/>
            </w:pPr>
            <w:r>
              <w:t xml:space="preserve">Duration of employment + 7 years</w:t>
            </w:r>
          </w:p>
        </w:tc>
      </w:tr>
    </w:tbl>
    <w:p>
      <w:pPr>
        <w:pStyle w:val="BodyText"/>
      </w:pPr>
      <w:r>
        <w:rPr>
          <w:b/>
          <w:bCs/>
        </w:rPr>
        <w:t xml:space="preserve">Lawful basis:</w:t>
      </w:r>
      <w:r>
        <w:t xml:space="preserve"> </w:t>
      </w:r>
      <w:r>
        <w:t xml:space="preserve">Employment contract and legal obligation (Income Tax Act, NSSF Act) provide lawful basis for most employee data. Biometric fingerprint data requires explicit consent or a specific legal basis under DPPA 2019. [CONTEXT-GAP: GAP-004]</w:t>
      </w:r>
    </w:p>
    <w:bookmarkEnd w:id="23"/>
    <w:bookmarkEnd w:id="24"/>
    <w:bookmarkStart w:id="30" w:name="X143d2ed700b96cbc3adcdd9bc32507608fc3436"/>
    <w:p>
      <w:pPr>
        <w:pStyle w:val="Heading2"/>
      </w:pPr>
      <w:r>
        <w:t xml:space="preserve">2.2 Technical Controls Implemented by the System</w:t>
      </w:r>
    </w:p>
    <w:bookmarkStart w:id="25" w:name="X4b8187fd50e14a37326dfdbb6e01b747c74e3e3"/>
    <w:p>
      <w:pPr>
        <w:pStyle w:val="Heading3"/>
      </w:pPr>
      <w:r>
        <w:t xml:space="preserve">2.2.1 Encryption at Rest</w:t>
      </w:r>
    </w:p>
    <w:p>
      <w:pPr>
        <w:pStyle w:val="FirstParagraph"/>
      </w:pPr>
      <w:r>
        <w:t xml:space="preserve">FR-FAR-001 mandates that all farmer PII fields (NIN, GPS coordinates, mobile money number, and photo) are encrypted at rest in the database. The same standard applies to employee NIN and bank account details in the HR and Payroll modules. The encryption mechanism shall use AES-256 symmetric encryption with keys stored separately from the encrypted data fields.</w:t>
      </w:r>
    </w:p>
    <w:bookmarkEnd w:id="25"/>
    <w:bookmarkStart w:id="26" w:name="X0f463882e36ba7ee6b5d8b4817eff9d7846effc"/>
    <w:p>
      <w:pPr>
        <w:pStyle w:val="Heading3"/>
      </w:pPr>
      <w:r>
        <w:t xml:space="preserve">2.2.2 Access Controls</w:t>
      </w:r>
    </w:p>
    <w:p>
      <w:pPr>
        <w:pStyle w:val="FirstParagraph"/>
      </w:pPr>
      <w:r>
        <w:t xml:space="preserve">FR-FAR-009 restricts access to farmer PII to authorised Procurement and Finance roles only. This is enforced through the 8-layer authorisation model (FR-SYS-001), which controls access at the API endpoint level — not just the UI level. A user who does not have the Procurement or Finance role cannot retrieve farmer NIN, GPS coordinates, or mobile money data through any system interface.</w:t>
      </w:r>
    </w:p>
    <w:p>
      <w:pPr>
        <w:pStyle w:val="BodyText"/>
      </w:pPr>
      <w:r>
        <w:t xml:space="preserve">Employee biometric data is not stored in the application database; it resides on the ZKTeco device only. The system receives only attendance timestamps (in/out times) from the device, not raw fingerprint templates.</w:t>
      </w:r>
    </w:p>
    <w:bookmarkEnd w:id="26"/>
    <w:bookmarkStart w:id="27" w:name="X12aeded057de6bb25f56ff66c8d6cd045a0791d"/>
    <w:p>
      <w:pPr>
        <w:pStyle w:val="Heading3"/>
      </w:pPr>
      <w:r>
        <w:t xml:space="preserve">2.2.3 Audit Trail for Personal Data Access</w:t>
      </w:r>
    </w:p>
    <w:p>
      <w:pPr>
        <w:pStyle w:val="FirstParagraph"/>
      </w:pPr>
      <w:r>
        <w:t xml:space="preserve">Every access to a farmer or employee profile record is logged in the system audit trail (FR-SYS-003) with the user identity, action, and timestamp. The Finance Director or IT Administrator can query all access events for any specific data subject's record at any time.</w:t>
      </w:r>
    </w:p>
    <w:bookmarkEnd w:id="27"/>
    <w:bookmarkStart w:id="28" w:name="Xf22f05774e11e50e5a4138a048a0ea05d91c939"/>
    <w:p>
      <w:pPr>
        <w:pStyle w:val="Heading3"/>
      </w:pPr>
      <w:r>
        <w:t xml:space="preserve">2.2.4 Data Retention Enforcement</w:t>
      </w:r>
    </w:p>
    <w:p>
      <w:pPr>
        <w:pStyle w:val="FirstParagraph"/>
      </w:pPr>
      <w:r>
        <w:t xml:space="preserve">FR-SYS-004 blocks automated deletion of any record within the 7-year retention period. Data subject deletion requests during the retention period must be evaluated against the Income Tax Act and NSSF Act obligations, which require retention of financial and employment records for 7 years regardless of a deletion request. [CONTEXT-GAP: GAP-004 — legal advice required on how to handle a farmer's deletion request where the financial records must be retained.]</w:t>
      </w:r>
    </w:p>
    <w:bookmarkEnd w:id="28"/>
    <w:bookmarkStart w:id="29" w:name="Xe7417fe4e4fdd8f1e4984aa63baa6352594b24f"/>
    <w:p>
      <w:pPr>
        <w:pStyle w:val="Heading3"/>
      </w:pPr>
      <w:r>
        <w:t xml:space="preserve">2.2.5 Data Sovereignty</w:t>
      </w:r>
    </w:p>
    <w:p>
      <w:pPr>
        <w:pStyle w:val="FirstParagraph"/>
      </w:pPr>
      <w:r>
        <w:t xml:space="preserve">FR-SYS-006 mandates that all BIRDC data is stored on BIRDC's own servers at Nyaruzinga, Bushenyi. No personal data is transmitted to or stored on external SaaS vendor infrastructure. This satisfies the DPPA 2019 data localisation requirement for Ugandan personal data.</w:t>
      </w:r>
    </w:p>
    <w:bookmarkEnd w:id="29"/>
    <w:bookmarkEnd w:id="30"/>
    <w:bookmarkStart w:id="31" w:name="X64cf0aa4cdfa24629881beddd588d7a73db45ae"/>
    <w:p>
      <w:pPr>
        <w:pStyle w:val="Heading2"/>
      </w:pPr>
      <w:r>
        <w:t xml:space="preserve">2.3 Data Subject Rights</w:t>
      </w:r>
    </w:p>
    <w:p>
      <w:pPr>
        <w:pStyle w:val="FirstParagraph"/>
      </w:pPr>
      <w:r>
        <w:t xml:space="preserve">The Uganda Data Protection and Privacy Act 2019 grants data subjects the following rights. The table records how the system supports each right.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Right</w:t>
            </w:r>
          </w:p>
        </w:tc>
        <w:tc>
          <w:tcPr/>
          <w:p>
            <w:pPr>
              <w:pStyle w:val="Compact"/>
            </w:pPr>
            <w:r>
              <w:t xml:space="preserve">DPPA 2019 Provision</w:t>
            </w:r>
          </w:p>
        </w:tc>
        <w:tc>
          <w:tcPr/>
          <w:p>
            <w:pPr>
              <w:pStyle w:val="Compact"/>
            </w:pPr>
            <w:r>
              <w:t xml:space="preserve">System Support</w:t>
            </w:r>
          </w:p>
        </w:tc>
      </w:tr>
      <w:tr>
        <w:tc>
          <w:tcPr/>
          <w:p>
            <w:pPr>
              <w:pStyle w:val="Compact"/>
            </w:pPr>
            <w:r>
              <w:t xml:space="preserve">Right to access</w:t>
            </w:r>
          </w:p>
        </w:tc>
        <w:tc>
          <w:tcPr/>
          <w:p>
            <w:pPr>
              <w:pStyle w:val="Compact"/>
            </w:pPr>
            <w:r>
              <w:t xml:space="preserve">S.27 — data subject may request a copy of their data</w:t>
            </w:r>
          </w:p>
        </w:tc>
        <w:tc>
          <w:tcPr/>
          <w:p>
            <w:pPr>
              <w:pStyle w:val="Compact"/>
            </w:pPr>
            <w:r>
              <w:t xml:space="preserve">IT Administrator can generate a farmer or employee data export from the profile screen; HR Self-Service App allows employees to view their own data</w:t>
            </w:r>
          </w:p>
        </w:tc>
      </w:tr>
      <w:tr>
        <w:tc>
          <w:tcPr/>
          <w:p>
            <w:pPr>
              <w:pStyle w:val="Compact"/>
            </w:pPr>
            <w:r>
              <w:t xml:space="preserve">Right to correction</w:t>
            </w:r>
          </w:p>
        </w:tc>
        <w:tc>
          <w:tcPr/>
          <w:p>
            <w:pPr>
              <w:pStyle w:val="Compact"/>
            </w:pPr>
            <w:r>
              <w:t xml:space="preserve">S.28 — data subject may request correction of inaccurate data</w:t>
            </w:r>
          </w:p>
        </w:tc>
        <w:tc>
          <w:tcPr/>
          <w:p>
            <w:pPr>
              <w:pStyle w:val="Compact"/>
            </w:pPr>
            <w:r>
              <w:t xml:space="preserve">Any authorised user can update farmer and employee profile fields; all changes are logged in the audit trail with previous and new values</w:t>
            </w:r>
          </w:p>
        </w:tc>
      </w:tr>
      <w:tr>
        <w:tc>
          <w:tcPr/>
          <w:p>
            <w:pPr>
              <w:pStyle w:val="Compact"/>
            </w:pPr>
            <w:r>
              <w:t xml:space="preserve">Right to deletion</w:t>
            </w:r>
          </w:p>
        </w:tc>
        <w:tc>
          <w:tcPr/>
          <w:p>
            <w:pPr>
              <w:pStyle w:val="Compact"/>
            </w:pPr>
            <w:r>
              <w:t xml:space="preserve">S.29 — data subject may request deletion</w:t>
            </w:r>
          </w:p>
        </w:tc>
        <w:tc>
          <w:tcPr/>
          <w:p>
            <w:pPr>
              <w:pStyle w:val="Compact"/>
            </w:pPr>
            <w:r>
              <w:t xml:space="preserve">System supports deactivation of farmer and employee accounts; full deletion of financial records is constrained by 7-year statutory retention; legal advice required on the correct procedure for deletion requests [CONTEXT-GAP: GAP-004]</w:t>
            </w:r>
          </w:p>
        </w:tc>
      </w:tr>
      <w:tr>
        <w:tc>
          <w:tcPr/>
          <w:p>
            <w:pPr>
              <w:pStyle w:val="Compact"/>
            </w:pPr>
            <w:r>
              <w:t xml:space="preserve">Right to object to processing</w:t>
            </w:r>
          </w:p>
        </w:tc>
        <w:tc>
          <w:tcPr/>
          <w:p>
            <w:pPr>
              <w:pStyle w:val="Compact"/>
            </w:pPr>
            <w:r>
              <w:t xml:space="preserve">S.30</w:t>
            </w:r>
          </w:p>
        </w:tc>
        <w:tc>
          <w:tcPr/>
          <w:p>
            <w:pPr>
              <w:pStyle w:val="Compact"/>
            </w:pPr>
            <w:r>
              <w:t xml:space="preserve">No automated processing for profiling or marketing; all processing is operational (cooperative procurement, payroll); objection procedure requires legal guidance [CONTEXT-GAP: GAP-004]</w:t>
            </w:r>
          </w:p>
        </w:tc>
      </w:tr>
      <w:tr>
        <w:tc>
          <w:tcPr/>
          <w:p>
            <w:pPr>
              <w:pStyle w:val="Compact"/>
            </w:pPr>
            <w:r>
              <w:t xml:space="preserve">Right to data portability</w:t>
            </w:r>
          </w:p>
        </w:tc>
        <w:tc>
          <w:tcPr/>
          <w:p>
            <w:pPr>
              <w:pStyle w:val="Compact"/>
            </w:pPr>
            <w:r>
              <w:t xml:space="preserve">S.31</w:t>
            </w:r>
          </w:p>
        </w:tc>
        <w:tc>
          <w:tcPr/>
          <w:p>
            <w:pPr>
              <w:pStyle w:val="Compact"/>
            </w:pPr>
            <w:r>
              <w:t xml:space="preserve">Farmer delivery history and employee payslips are exportable in PDF and CSV formats</w:t>
            </w:r>
          </w:p>
        </w:tc>
      </w:tr>
    </w:tbl>
    <w:bookmarkEnd w:id="31"/>
    <w:bookmarkStart w:id="32" w:name="X4625f06180352b89f6aaea8ae1f914b10058d56"/>
    <w:p>
      <w:pPr>
        <w:pStyle w:val="Heading2"/>
      </w:pPr>
      <w:r>
        <w:t xml:space="preserve">2.4 DPPA Compliance Summary</w:t>
      </w:r>
    </w:p>
    <w:p>
      <w:pPr>
        <w:pStyle w:val="FirstParagraph"/>
      </w:pPr>
      <w:r>
        <w:t xml:space="preserve">The system implements all technical privacy controls required by the DPPA 2019. The outstanding compliance item is the legal confirmation of lawful basis and the drafting of data subject rights procedures (privacy notice, consent form for farmer registration, employee biometric consent). These are legal and procedural tasks — not system development tasks — and must be completed by BIRDC's legal counsel before the farmer registration module goes live.</w:t>
      </w:r>
    </w:p>
    <w:bookmarkEnd w:id="32"/>
    <w:bookmarkEnd w:id="33"/>
    <w:bookmarkStart w:id="42" w:name="section-3-ppda-act-compliance"/>
    <w:p>
      <w:pPr>
        <w:pStyle w:val="Heading1"/>
      </w:pPr>
      <w:r>
        <w:t xml:space="preserve">Section 3: PPDA Act Compliance</w:t>
      </w:r>
    </w:p>
    <w:bookmarkStart w:id="34" w:name="X075156d535e512ce3deb312250b7fa89d57454f"/>
    <w:p>
      <w:pPr>
        <w:pStyle w:val="Heading2"/>
      </w:pPr>
      <w:r>
        <w:t xml:space="preserve">3.1 Scope of PPDA Obligation</w:t>
      </w:r>
    </w:p>
    <w:p>
      <w:pPr>
        <w:pStyle w:val="FirstParagraph"/>
      </w:pPr>
      <w:r>
        <w:t xml:space="preserve">BIRDC is a government entity (PIBID, established by presidential directive 2005) and therefore all procurement transactions are subject to the Public Procurement and Disposal of Public Assets Act (PPDA Act, Cap 305) and associated regulations. Every purchase — from office stationery to capital equipment — must be classified, documented, and approved per the PPDA Act requirements.</w:t>
      </w:r>
    </w:p>
    <w:bookmarkEnd w:id="34"/>
    <w:bookmarkStart w:id="40" w:name="X282b6a1dcd424cffc1c372992690a0455284c6b"/>
    <w:p>
      <w:pPr>
        <w:pStyle w:val="Heading2"/>
      </w:pPr>
      <w:r>
        <w:t xml:space="preserve">3.2 How the System Enforces PPDA Compliance</w:t>
      </w:r>
    </w:p>
    <w:bookmarkStart w:id="35" w:name="X489dd429892fa357dbd973267b3e957add3c973"/>
    <w:p>
      <w:pPr>
        <w:pStyle w:val="Heading3"/>
      </w:pPr>
      <w:r>
        <w:t xml:space="preserve">3.2.1 Procurement Category Classification (BR-005)</w:t>
      </w:r>
    </w:p>
    <w:p>
      <w:pPr>
        <w:pStyle w:val="FirstParagraph"/>
      </w:pPr>
      <w:r>
        <w:t xml:space="preserve">FR-PRO-001 mandates that every procurement transaction is classified by PPDA category at the time of purchase request creation. The four categories are:</w:t>
      </w:r>
    </w:p>
    <w:p>
      <w:pPr>
        <w:pStyle w:val="Compact"/>
        <w:numPr>
          <w:ilvl w:val="0"/>
          <w:numId w:val="1001"/>
        </w:numPr>
      </w:pPr>
      <w:r>
        <w:rPr>
          <w:i/>
          <w:iCs/>
        </w:rPr>
        <w:t xml:space="preserve">Micro procurement</w:t>
      </w:r>
      <w:r>
        <w:t xml:space="preserve"> </w:t>
      </w:r>
      <w:r>
        <w:t xml:space="preserve">— below the micro threshold (UGX value to be configured per [CONTEXT-GAP: GAP-007])</w:t>
      </w:r>
    </w:p>
    <w:p>
      <w:pPr>
        <w:pStyle w:val="Compact"/>
        <w:numPr>
          <w:ilvl w:val="0"/>
          <w:numId w:val="1001"/>
        </w:numPr>
      </w:pPr>
      <w:r>
        <w:rPr>
          <w:i/>
          <w:iCs/>
        </w:rPr>
        <w:t xml:space="preserve">Small procurement</w:t>
      </w:r>
      <w:r>
        <w:t xml:space="preserve"> </w:t>
      </w:r>
      <w:r>
        <w:t xml:space="preserve">— between micro and small thresholds</w:t>
      </w:r>
    </w:p>
    <w:p>
      <w:pPr>
        <w:pStyle w:val="Compact"/>
        <w:numPr>
          <w:ilvl w:val="0"/>
          <w:numId w:val="1001"/>
        </w:numPr>
      </w:pPr>
      <w:r>
        <w:rPr>
          <w:i/>
          <w:iCs/>
        </w:rPr>
        <w:t xml:space="preserve">Large procurement</w:t>
      </w:r>
      <w:r>
        <w:t xml:space="preserve"> </w:t>
      </w:r>
      <w:r>
        <w:t xml:space="preserve">— above the small threshold, below restricted</w:t>
      </w:r>
    </w:p>
    <w:p>
      <w:pPr>
        <w:pStyle w:val="Compact"/>
        <w:numPr>
          <w:ilvl w:val="0"/>
          <w:numId w:val="1001"/>
        </w:numPr>
      </w:pPr>
      <w:r>
        <w:rPr>
          <w:i/>
          <w:iCs/>
        </w:rPr>
        <w:t xml:space="preserve">Restricted procurement</w:t>
      </w:r>
      <w:r>
        <w:t xml:space="preserve"> </w:t>
      </w:r>
      <w:r>
        <w:t xml:space="preserve">— sole-source or emergency procurement</w:t>
      </w:r>
    </w:p>
    <w:p>
      <w:pPr>
        <w:pStyle w:val="FirstParagraph"/>
      </w:pPr>
      <w:r>
        <w:t xml:space="preserve">The threshold values are stored in a configuration table (Design Covenant DC-002) and can be updated by the IT Administrator or Finance Director via the UI when PPDA publishes revised thresholds, without developer involvement.</w:t>
      </w:r>
    </w:p>
    <w:bookmarkEnd w:id="35"/>
    <w:bookmarkStart w:id="36" w:name="X597d345a7a1b1162515e7982bbc4fd93fd19aa4"/>
    <w:p>
      <w:pPr>
        <w:pStyle w:val="Heading3"/>
      </w:pPr>
      <w:r>
        <w:t xml:space="preserve">3.2.2 PPDA Approval Matrix Enforcement (BR-005)</w:t>
      </w:r>
    </w:p>
    <w:p>
      <w:pPr>
        <w:pStyle w:val="FirstParagraph"/>
      </w:pPr>
      <w:r>
        <w:t xml:space="preserve">FR-PRO-002 enforces the approval matrix at the API layer. A procurement request cannot advance to the LPO issuance stage unless every required approval in the matrix has been obtained: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PPDA Category</w:t>
            </w:r>
          </w:p>
        </w:tc>
        <w:tc>
          <w:tcPr/>
          <w:p>
            <w:pPr>
              <w:pStyle w:val="Compact"/>
            </w:pPr>
            <w:r>
              <w:t xml:space="preserve">Required Approvals</w:t>
            </w:r>
          </w:p>
        </w:tc>
        <w:tc>
          <w:tcPr/>
          <w:p>
            <w:pPr>
              <w:pStyle w:val="Compact"/>
            </w:pPr>
            <w:r>
              <w:t xml:space="preserve">System Enforcement</w:t>
            </w:r>
          </w:p>
        </w:tc>
      </w:tr>
      <w:tr>
        <w:tc>
          <w:tcPr/>
          <w:p>
            <w:pPr>
              <w:pStyle w:val="Compact"/>
            </w:pPr>
            <w:r>
              <w:t xml:space="preserve">Micro</w:t>
            </w:r>
          </w:p>
        </w:tc>
        <w:tc>
          <w:tcPr/>
          <w:p>
            <w:pPr>
              <w:pStyle w:val="Compact"/>
            </w:pPr>
            <w:r>
              <w:t xml:space="preserve">Department Head</w:t>
            </w:r>
          </w:p>
        </w:tc>
        <w:tc>
          <w:tcPr/>
          <w:p>
            <w:pPr>
              <w:pStyle w:val="Compact"/>
            </w:pPr>
            <w:r>
              <w:t xml:space="preserve">System checks that Department Head approval flag = true before LPO issuance</w:t>
            </w:r>
          </w:p>
        </w:tc>
      </w:tr>
      <w:tr>
        <w:tc>
          <w:tcPr/>
          <w:p>
            <w:pPr>
              <w:pStyle w:val="Compact"/>
            </w:pPr>
            <w:r>
              <w:t xml:space="preserve">Small</w:t>
            </w:r>
          </w:p>
        </w:tc>
        <w:tc>
          <w:tcPr/>
          <w:p>
            <w:pPr>
              <w:pStyle w:val="Compact"/>
            </w:pPr>
            <w:r>
              <w:t xml:space="preserve">Finance Manager + Procurement Officer</w:t>
            </w:r>
          </w:p>
        </w:tc>
        <w:tc>
          <w:tcPr/>
          <w:p>
            <w:pPr>
              <w:pStyle w:val="Compact"/>
            </w:pPr>
            <w:r>
              <w:t xml:space="preserve">Both approval flags must be set; sequential enforcement</w:t>
            </w:r>
          </w:p>
        </w:tc>
      </w:tr>
      <w:tr>
        <w:tc>
          <w:tcPr/>
          <w:p>
            <w:pPr>
              <w:pStyle w:val="Compact"/>
            </w:pPr>
            <w:r>
              <w:t xml:space="preserve">Large</w:t>
            </w:r>
          </w:p>
        </w:tc>
        <w:tc>
          <w:tcPr/>
          <w:p>
            <w:pPr>
              <w:pStyle w:val="Compact"/>
            </w:pPr>
            <w:r>
              <w:t xml:space="preserve">Director + Finance Manager + Solicitor General clearance (where required)</w:t>
            </w:r>
          </w:p>
        </w:tc>
        <w:tc>
          <w:tcPr/>
          <w:p>
            <w:pPr>
              <w:pStyle w:val="Compact"/>
            </w:pPr>
            <w:r>
              <w:t xml:space="preserve">Three approval flags; Director approval is final gate</w:t>
            </w:r>
          </w:p>
        </w:tc>
      </w:tr>
      <w:tr>
        <w:tc>
          <w:tcPr/>
          <w:p>
            <w:pPr>
              <w:pStyle w:val="Compact"/>
            </w:pPr>
            <w:r>
              <w:t xml:space="preserve">Restricted</w:t>
            </w:r>
          </w:p>
        </w:tc>
        <w:tc>
          <w:tcPr/>
          <w:p>
            <w:pPr>
              <w:pStyle w:val="Compact"/>
            </w:pPr>
            <w:r>
              <w:t xml:space="preserve">Board approval + all PPDA documentation complete</w:t>
            </w:r>
          </w:p>
        </w:tc>
        <w:tc>
          <w:tcPr/>
          <w:p>
            <w:pPr>
              <w:pStyle w:val="Compact"/>
            </w:pPr>
            <w:r>
              <w:t xml:space="preserve">Board approval flag + document completeness check</w:t>
            </w:r>
          </w:p>
        </w:tc>
      </w:tr>
    </w:tbl>
    <w:p>
      <w:pPr>
        <w:pStyle w:val="BodyText"/>
      </w:pPr>
      <w:r>
        <w:t xml:space="preserve">FR-PRO-003 adds a payment-level block: the Accounts Payable module will not process payment for a procurement transaction unless the PPDA document checklist is 100% complete. This creates a hard stop at the payment stage that is independent of the procurement approval workflow — a second independent control.</w:t>
      </w:r>
    </w:p>
    <w:bookmarkEnd w:id="36"/>
    <w:bookmarkStart w:id="37" w:name="Xa29cbeee9f2300642bc6ea0903079ea673e54ce"/>
    <w:p>
      <w:pPr>
        <w:pStyle w:val="Heading3"/>
      </w:pPr>
      <w:r>
        <w:t xml:space="preserve">3.2.3 PPDA Document Management</w:t>
      </w:r>
    </w:p>
    <w:p>
      <w:pPr>
        <w:pStyle w:val="FirstParagraph"/>
      </w:pPr>
      <w:r>
        <w:t xml:space="preserve">FR-ADM-001 manages the full PPDA document set for each procurement category. The required documents per category 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Document</w:t>
            </w:r>
          </w:p>
        </w:tc>
        <w:tc>
          <w:tcPr/>
          <w:p>
            <w:pPr>
              <w:pStyle w:val="Compact"/>
            </w:pPr>
            <w:r>
              <w:t xml:space="preserve">Micro</w:t>
            </w:r>
          </w:p>
        </w:tc>
        <w:tc>
          <w:tcPr/>
          <w:p>
            <w:pPr>
              <w:pStyle w:val="Compact"/>
            </w:pPr>
            <w:r>
              <w:t xml:space="preserve">Small</w:t>
            </w:r>
          </w:p>
        </w:tc>
        <w:tc>
          <w:tcPr/>
          <w:p>
            <w:pPr>
              <w:pStyle w:val="Compact"/>
            </w:pPr>
            <w:r>
              <w:t xml:space="preserve">Large</w:t>
            </w:r>
          </w:p>
        </w:tc>
        <w:tc>
          <w:tcPr/>
          <w:p>
            <w:pPr>
              <w:pStyle w:val="Compact"/>
            </w:pPr>
            <w:r>
              <w:t xml:space="preserve">Restricted</w:t>
            </w:r>
          </w:p>
        </w:tc>
      </w:tr>
      <w:tr>
        <w:tc>
          <w:tcPr/>
          <w:p>
            <w:pPr>
              <w:pStyle w:val="Compact"/>
            </w:pPr>
            <w:r>
              <w:t xml:space="preserve">Purchase Request</w:t>
            </w:r>
          </w:p>
        </w:tc>
        <w:tc>
          <w:tcPr/>
          <w:p>
            <w:pPr>
              <w:pStyle w:val="Compact"/>
            </w:pPr>
            <w:r>
              <w:t xml:space="preserve">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Quotations (minimum number)</w:t>
            </w:r>
          </w:p>
        </w:tc>
        <w:tc>
          <w:tcPr/>
          <w:p>
            <w:pPr>
              <w:pStyle w:val="Compact"/>
            </w:pPr>
            <w:r>
              <w:t xml:space="preserve">1</w:t>
            </w:r>
          </w:p>
        </w:tc>
        <w:tc>
          <w:tcPr/>
          <w:p>
            <w:pPr>
              <w:pStyle w:val="Compact"/>
            </w:pPr>
            <w:r>
              <w:t xml:space="preserve">3</w:t>
            </w:r>
          </w:p>
        </w:tc>
        <w:tc>
          <w:tcPr/>
          <w:p>
            <w:pPr>
              <w:pStyle w:val="Compact"/>
            </w:pPr>
            <w:r>
              <w:t xml:space="preserve">5</w:t>
            </w:r>
          </w:p>
        </w:tc>
        <w:tc>
          <w:tcPr/>
          <w:p>
            <w:pPr>
              <w:pStyle w:val="Compact"/>
            </w:pPr>
            <w:r>
              <w:t xml:space="preserve">Per PPDA guidance</w:t>
            </w:r>
          </w:p>
        </w:tc>
      </w:tr>
      <w:tr>
        <w:tc>
          <w:tcPr/>
          <w:p>
            <w:pPr>
              <w:pStyle w:val="Compact"/>
            </w:pPr>
            <w:r>
              <w:t xml:space="preserve">Evaluation Report</w:t>
            </w:r>
          </w:p>
        </w:tc>
        <w:tc>
          <w:tcPr/>
          <w:p>
            <w:pPr>
              <w:pStyle w:val="Compact"/>
            </w:pPr>
            <w:r>
              <w:t xml:space="preserve">Not 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Local Purchase Order</w:t>
            </w:r>
          </w:p>
        </w:tc>
        <w:tc>
          <w:tcPr/>
          <w:p>
            <w:pPr>
              <w:pStyle w:val="Compact"/>
            </w:pPr>
            <w:r>
              <w:t xml:space="preserve">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Goods Receipt Note</w:t>
            </w:r>
          </w:p>
        </w:tc>
        <w:tc>
          <w:tcPr/>
          <w:p>
            <w:pPr>
              <w:pStyle w:val="Compact"/>
            </w:pPr>
            <w:r>
              <w:t xml:space="preserve">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Vendor Invoice</w:t>
            </w:r>
          </w:p>
        </w:tc>
        <w:tc>
          <w:tcPr/>
          <w:p>
            <w:pPr>
              <w:pStyle w:val="Compact"/>
            </w:pPr>
            <w:r>
              <w:t xml:space="preserve">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Payment Voucher</w:t>
            </w:r>
          </w:p>
        </w:tc>
        <w:tc>
          <w:tcPr/>
          <w:p>
            <w:pPr>
              <w:pStyle w:val="Compact"/>
            </w:pPr>
            <w:r>
              <w:t xml:space="preserve">Required</w:t>
            </w:r>
          </w:p>
        </w:tc>
        <w:tc>
          <w:tcPr/>
          <w:p>
            <w:pPr>
              <w:pStyle w:val="Compact"/>
            </w:pPr>
            <w:r>
              <w:t xml:space="preserve">Required</w:t>
            </w:r>
          </w:p>
        </w:tc>
        <w:tc>
          <w:tcPr/>
          <w:p>
            <w:pPr>
              <w:pStyle w:val="Compact"/>
            </w:pPr>
            <w:r>
              <w:t xml:space="preserve">Required</w:t>
            </w:r>
          </w:p>
        </w:tc>
        <w:tc>
          <w:tcPr/>
          <w:p>
            <w:pPr>
              <w:pStyle w:val="Compact"/>
            </w:pPr>
            <w:r>
              <w:t xml:space="preserve">Required</w:t>
            </w:r>
          </w:p>
        </w:tc>
      </w:tr>
      <w:tr>
        <w:tc>
          <w:tcPr/>
          <w:p>
            <w:pPr>
              <w:pStyle w:val="Compact"/>
            </w:pPr>
            <w:r>
              <w:t xml:space="preserve">Solicitor General Clearance</w:t>
            </w:r>
          </w:p>
        </w:tc>
        <w:tc>
          <w:tcPr/>
          <w:p>
            <w:pPr>
              <w:pStyle w:val="Compact"/>
            </w:pPr>
            <w:r>
              <w:t xml:space="preserve">—</w:t>
            </w:r>
          </w:p>
        </w:tc>
        <w:tc>
          <w:tcPr/>
          <w:p>
            <w:pPr>
              <w:pStyle w:val="Compact"/>
            </w:pPr>
            <w:r>
              <w:t xml:space="preserve">—</w:t>
            </w:r>
          </w:p>
        </w:tc>
        <w:tc>
          <w:tcPr/>
          <w:p>
            <w:pPr>
              <w:pStyle w:val="Compact"/>
            </w:pPr>
            <w:r>
              <w:t xml:space="preserve">Where applicable</w:t>
            </w:r>
          </w:p>
        </w:tc>
        <w:tc>
          <w:tcPr/>
          <w:p>
            <w:pPr>
              <w:pStyle w:val="Compact"/>
            </w:pPr>
            <w:r>
              <w:t xml:space="preserve">Where applicable</w:t>
            </w:r>
          </w:p>
        </w:tc>
      </w:tr>
      <w:tr>
        <w:tc>
          <w:tcPr/>
          <w:p>
            <w:pPr>
              <w:pStyle w:val="Compact"/>
            </w:pPr>
            <w:r>
              <w:t xml:space="preserve">Board Resolution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Required</w:t>
            </w:r>
          </w:p>
        </w:tc>
      </w:tr>
    </w:tbl>
    <w:p>
      <w:pPr>
        <w:pStyle w:val="BodyText"/>
      </w:pPr>
      <w:r>
        <w:t xml:space="preserve">FR-ADM-002 maintains the PPDA Procurement Register: a running record of every procurement transaction with its PPDA category, approval status, and document completion status. This register is the primary artefact presented to PPDA inspectors and parliamentary committees.</w:t>
      </w:r>
    </w:p>
    <w:bookmarkEnd w:id="37"/>
    <w:bookmarkStart w:id="38" w:name="Xecd63b665d9f9b11e6030b7e97b3bad65e7d7c3"/>
    <w:p>
      <w:pPr>
        <w:pStyle w:val="Heading3"/>
      </w:pPr>
      <w:r>
        <w:t xml:space="preserve">3.2.4 Parliamentary Review Export</w:t>
      </w:r>
    </w:p>
    <w:p>
      <w:pPr>
        <w:pStyle w:val="FirstParagraph"/>
      </w:pPr>
      <w:r>
        <w:t xml:space="preserve">FR-ADM-003 generates a PPDA Procurement Register export in a format suitable for parliamentary review. The export includes: transaction date, vendor name, item description, PPDA category, value (UGX), approval chain with timestamps, document completeness status, and vote code (for PIBID budget-funded procurement). This export satisfies the requirement for Parliament's Budget Committee (STK-004) to verify that every shilling of the UGX 200 billion investment is procured in compliance with PPDA rules.</w:t>
      </w:r>
    </w:p>
    <w:bookmarkEnd w:id="38"/>
    <w:bookmarkStart w:id="39" w:name="Xe5a030e55e3395059fad7b77c2084e664fc52a4"/>
    <w:p>
      <w:pPr>
        <w:pStyle w:val="Heading3"/>
      </w:pPr>
      <w:r>
        <w:t xml:space="preserve">3.2.5 Audit Trail for Parliamentary Review</w:t>
      </w:r>
    </w:p>
    <w:p>
      <w:pPr>
        <w:pStyle w:val="FirstParagraph"/>
      </w:pPr>
      <w:r>
        <w:t xml:space="preserve">Every procurement action — creation, approval, rejection, payment — is recorded in the system audit trail (FR-SYS-003) with user identity and timestamp. The audit trail is immutable (DC-003) and retained for 7 years. The Office of the Auditor General can query the full procurement audit trail for any period during an annual audit without requiring any manual reconstruction.</w:t>
      </w:r>
    </w:p>
    <w:bookmarkEnd w:id="39"/>
    <w:bookmarkEnd w:id="40"/>
    <w:bookmarkStart w:id="41" w:name="Xc287d75b0d1b38f35ae90690a29fe9a3a332017"/>
    <w:p>
      <w:pPr>
        <w:pStyle w:val="Heading2"/>
      </w:pPr>
      <w:r>
        <w:t xml:space="preserve">3.3 PPDA Compliance Summary</w:t>
      </w:r>
    </w:p>
    <w:p>
      <w:pPr>
        <w:pStyle w:val="FirstParagraph"/>
      </w:pPr>
      <w:r>
        <w:t xml:space="preserve">The system enforces PPDA compliance at 3 independent control points: (1) purchase request classification and approval routing, (2) LPO issuance blocked without required approvals, and (3) payment blocked without complete documentation. This triple-control architecture exceeds the PPDA minimum requirement of a single approval workflow. The outstanding item is the confirmation of current PPDA threshold values [CONTEXT-GAP: GAP-007].</w:t>
      </w:r>
    </w:p>
    <w:bookmarkEnd w:id="41"/>
    <w:bookmarkEnd w:id="42"/>
    <w:bookmarkStart w:id="59" w:name="Xf2f191a25bdffcf36746959164bef553961c1b6"/>
    <w:p>
      <w:pPr>
        <w:pStyle w:val="Heading1"/>
      </w:pPr>
      <w:r>
        <w:t xml:space="preserve">Section 4: Uganda Revenue Authority — EFRIS, PAYE, and WHT Compliance</w:t>
      </w:r>
    </w:p>
    <w:bookmarkStart w:id="48" w:name="Xe26e2bb3d786e80a3a5ad00e287c869e40ffd4f"/>
    <w:p>
      <w:pPr>
        <w:pStyle w:val="Heading2"/>
      </w:pPr>
      <w:r>
        <w:t xml:space="preserve">4.1 EFRIS Compliance</w:t>
      </w:r>
    </w:p>
    <w:bookmarkStart w:id="43" w:name="X27c4df48163c386a2d9782dc378c5d723c33d36"/>
    <w:p>
      <w:pPr>
        <w:pStyle w:val="Heading3"/>
      </w:pPr>
      <w:r>
        <w:t xml:space="preserve">4.1.1 Legal Obligation</w:t>
      </w:r>
    </w:p>
    <w:p>
      <w:pPr>
        <w:pStyle w:val="FirstParagraph"/>
      </w:pPr>
      <w:r>
        <w:t xml:space="preserve">The Uganda Electronic Fiscal Receipting and Invoicing Solution (EFRIS) is mandated by the URA for all VAT-registered businesses. Every commercial invoice and receipt issued by BIRDC must be submitted to URA's EFRIS system in real time via the system-to-system API. Failure to submit results in the fiscal document being legally non-compliant and may trigger URA penalties.</w:t>
      </w:r>
    </w:p>
    <w:bookmarkEnd w:id="43"/>
    <w:bookmarkStart w:id="44" w:name="X7a29cf0e1d4b41dd408ac4ac993fd3c8f93fa9a"/>
    <w:p>
      <w:pPr>
        <w:pStyle w:val="Heading3"/>
      </w:pPr>
      <w:r>
        <w:t xml:space="preserve">4.1.2 System Implementation</w:t>
      </w:r>
    </w:p>
    <w:p>
      <w:pPr>
        <w:pStyle w:val="FirstParagraph"/>
      </w:pPr>
      <w:r>
        <w:t xml:space="preserve">FR-SAL-003 mandates real-time EFRIS submission for every sales invoice on posting. FR-POS-008 mandates submission for every POS receipt. FR-EFR-001 extends this to credit notes across all transaction types in Phase 7.</w:t>
      </w:r>
    </w:p>
    <w:p>
      <w:pPr>
        <w:pStyle w:val="BodyText"/>
      </w:pPr>
      <w:r>
        <w:t xml:space="preserve">The workflow for every commercial document is:</w:t>
      </w:r>
    </w:p>
    <w:p>
      <w:pPr>
        <w:pStyle w:val="Compact"/>
        <w:numPr>
          <w:ilvl w:val="0"/>
          <w:numId w:val="1002"/>
        </w:numPr>
      </w:pPr>
      <w:r>
        <w:t xml:space="preserve">User confirms the invoice or receipt in the system.</w:t>
      </w:r>
    </w:p>
    <w:p>
      <w:pPr>
        <w:pStyle w:val="Compact"/>
        <w:numPr>
          <w:ilvl w:val="0"/>
          <w:numId w:val="1002"/>
        </w:numPr>
      </w:pPr>
      <w:r>
        <w:t xml:space="preserve">The system posts the GL entry and generates the fiscal document.</w:t>
      </w:r>
    </w:p>
    <w:p>
      <w:pPr>
        <w:pStyle w:val="Compact"/>
        <w:numPr>
          <w:ilvl w:val="0"/>
          <w:numId w:val="1002"/>
        </w:numPr>
      </w:pPr>
      <w:r>
        <w:t xml:space="preserve">The system immediately submits the document to the URA EFRIS API.</w:t>
      </w:r>
    </w:p>
    <w:p>
      <w:pPr>
        <w:pStyle w:val="Compact"/>
        <w:numPr>
          <w:ilvl w:val="0"/>
          <w:numId w:val="1002"/>
        </w:numPr>
      </w:pPr>
      <w:r>
        <w:t xml:space="preserve">URA returns a Fiscal Document Number (FDN) and verification QR code.</w:t>
      </w:r>
    </w:p>
    <w:p>
      <w:pPr>
        <w:pStyle w:val="Compact"/>
        <w:numPr>
          <w:ilvl w:val="0"/>
          <w:numId w:val="1002"/>
        </w:numPr>
      </w:pPr>
      <w:r>
        <w:t xml:space="preserve">The system stores the FDN against the transaction record.</w:t>
      </w:r>
    </w:p>
    <w:p>
      <w:pPr>
        <w:pStyle w:val="Compact"/>
        <w:numPr>
          <w:ilvl w:val="0"/>
          <w:numId w:val="1002"/>
        </w:numPr>
      </w:pPr>
      <w:r>
        <w:t xml:space="preserve">The FDN and QR code are printed on the invoice or receipt (FR-EFR-002).</w:t>
      </w:r>
    </w:p>
    <w:p>
      <w:pPr>
        <w:pStyle w:val="FirstParagraph"/>
      </w:pPr>
      <w:r>
        <w:t xml:space="preserve">A document is only fully issued once the FDN is received and stored. Documents pending EFRIS submission are marked "Pending EFRIS" in the invoice lifecycle (FR-SAL-001).</w:t>
      </w:r>
    </w:p>
    <w:bookmarkEnd w:id="44"/>
    <w:bookmarkStart w:id="45" w:name="X0bc599518e84354bc5ccda8969d3091d9096b8b"/>
    <w:p>
      <w:pPr>
        <w:pStyle w:val="Heading3"/>
      </w:pPr>
      <w:r>
        <w:t xml:space="preserve">4.1.3 Failed Submission Handling</w:t>
      </w:r>
    </w:p>
    <w:p>
      <w:pPr>
        <w:pStyle w:val="FirstParagraph"/>
      </w:pPr>
      <w:r>
        <w:t xml:space="preserve">FR-EFR-003 manages a failed submission retry queue. When EFRIS submission fails (network timeout, API error, or URA system downtime), the system:</w:t>
      </w:r>
    </w:p>
    <w:p>
      <w:pPr>
        <w:pStyle w:val="Compact"/>
        <w:numPr>
          <w:ilvl w:val="0"/>
          <w:numId w:val="1003"/>
        </w:numPr>
      </w:pPr>
      <w:r>
        <w:t xml:space="preserve">Marks the document as "EFRIS Submission Failed" in the retry queue.</w:t>
      </w:r>
    </w:p>
    <w:p>
      <w:pPr>
        <w:pStyle w:val="Compact"/>
        <w:numPr>
          <w:ilvl w:val="0"/>
          <w:numId w:val="1003"/>
        </w:numPr>
      </w:pPr>
      <w:r>
        <w:t xml:space="preserve">Retries the submission automatically at configurable intervals.</w:t>
      </w:r>
    </w:p>
    <w:p>
      <w:pPr>
        <w:pStyle w:val="Compact"/>
        <w:numPr>
          <w:ilvl w:val="0"/>
          <w:numId w:val="1003"/>
        </w:numPr>
      </w:pPr>
      <w:r>
        <w:t xml:space="preserve">Alerts the Finance Manager within 60 seconds of the first failure (FR-SAL-012).</w:t>
      </w:r>
    </w:p>
    <w:p>
      <w:pPr>
        <w:pStyle w:val="Compact"/>
        <w:numPr>
          <w:ilvl w:val="0"/>
          <w:numId w:val="1003"/>
        </w:numPr>
      </w:pPr>
      <w:r>
        <w:t xml:space="preserve">Logs every submission attempt (success and failure) in the EFRIS audit log (FR-EFR-004).</w:t>
      </w:r>
    </w:p>
    <w:p>
      <w:pPr>
        <w:pStyle w:val="FirstParagraph"/>
      </w:pPr>
      <w:r>
        <w:t xml:space="preserve">The Finance Manager can view the full retry queue status on the Finance Dashboard at any time.</w:t>
      </w:r>
    </w:p>
    <w:bookmarkEnd w:id="45"/>
    <w:bookmarkStart w:id="46" w:name="X9539ff060c0d9aa7a1dbeaf27174664c583ba53"/>
    <w:p>
      <w:pPr>
        <w:pStyle w:val="Heading3"/>
      </w:pPr>
      <w:r>
        <w:t xml:space="preserve">4.1.4 EFRIS Audit Log</w:t>
      </w:r>
    </w:p>
    <w:p>
      <w:pPr>
        <w:pStyle w:val="FirstParagraph"/>
      </w:pPr>
      <w:r>
        <w:t xml:space="preserve">FR-EFR-004 maintains a tamper-evident EFRIS audit log with the hash chain integrity mechanism (BR-013). This log records every submission attempt, the API request payload, the URA response, and the stored FDN. This provides the complete audit trail that URA inspectors require when verifying EFRIS compliance.</w:t>
      </w:r>
    </w:p>
    <w:p>
      <w:pPr>
        <w:pStyle w:val="BodyText"/>
      </w:pPr>
      <w:r>
        <w:rPr>
          <w:i/>
          <w:iCs/>
        </w:rPr>
        <w:t xml:space="preserve">[CONTEXT-GAP: GAP-001]: EFRIS API sandbox credentials are required before this workflow can be tested. BIRDC IT must register on the URA EFRIS developer portal and obtain sandbox API credentials before Phase 1 invoice testing sprints begin.</w:t>
      </w:r>
    </w:p>
    <w:bookmarkEnd w:id="46"/>
    <w:bookmarkStart w:id="47" w:name="X4d9f417facb4be8b9b6b6d982bdb638c1460487"/>
    <w:p>
      <w:pPr>
        <w:pStyle w:val="Heading3"/>
      </w:pPr>
      <w:r>
        <w:t xml:space="preserve">4.1.5 EFRIS Penalty Risk</w:t>
      </w:r>
    </w:p>
    <w:p>
      <w:pPr>
        <w:pStyle w:val="FirstParagraph"/>
      </w:pPr>
      <w:r>
        <w:t xml:space="preserve">Non-submission or fraudulent document submission under EFRIS regulations carries URA penalties. The system's retry mechanism and immutable audit log are specifically designed to eliminate the risk of accidental non-compliance. Intentional circumvention of EFRIS (for example, issuing invoices outside the system) is architecturally prevented because no GL posting can occur without a corresponding EFRIS submission attempt — BIRDC cannot record revenue in the GL without triggering the EFRIS workflow.</w:t>
      </w:r>
    </w:p>
    <w:bookmarkEnd w:id="47"/>
    <w:bookmarkEnd w:id="48"/>
    <w:bookmarkStart w:id="52" w:name="Xc3625fa7c77db6b53f928553f2e51e00395ae29"/>
    <w:p>
      <w:pPr>
        <w:pStyle w:val="Heading2"/>
      </w:pPr>
      <w:r>
        <w:t xml:space="preserve">4.2 PAYE Compliance</w:t>
      </w:r>
    </w:p>
    <w:bookmarkStart w:id="49" w:name="X2a395226a3f6017b62adf36ee6351b9391cc90e"/>
    <w:p>
      <w:pPr>
        <w:pStyle w:val="Heading3"/>
      </w:pPr>
      <w:r>
        <w:t xml:space="preserve">4.2.1 Legal Obligation</w:t>
      </w:r>
    </w:p>
    <w:p>
      <w:pPr>
        <w:pStyle w:val="FirstParagraph"/>
      </w:pPr>
      <w:r>
        <w:t xml:space="preserve">The Uganda Income Tax Act (Cap 340) requires BIRDC as an employer to withhold Pay As You Earn (PAYE) income tax from employee salaries and remit it to URA monthly.</w:t>
      </w:r>
    </w:p>
    <w:bookmarkEnd w:id="49"/>
    <w:bookmarkStart w:id="50" w:name="X14e826d79274d9cca9b5155d4100f2d204488fa"/>
    <w:p>
      <w:pPr>
        <w:pStyle w:val="Heading3"/>
      </w:pPr>
      <w:r>
        <w:t xml:space="preserve">4.2.2 System Implementation</w:t>
      </w:r>
    </w:p>
    <w:p>
      <w:pPr>
        <w:pStyle w:val="FirstParagraph"/>
      </w:pPr>
      <w:r>
        <w:t xml:space="preserve">FR-PAY-002 implements PAYE calculation using configurable tax bands. The tax bands are stored in a configuration table and can be updated by the Finance Director via the UI (DC-002) within 24 hours of URA publishing new bands — without requiring developer involvement. [CONTEXT-GAP: GAP-008: 2025/26 PAYE tax bands to be confirmed before payroll module development begins.]</w:t>
      </w:r>
    </w:p>
    <w:p>
      <w:pPr>
        <w:pStyle w:val="BodyText"/>
      </w:pPr>
      <w:r>
        <w:t xml:space="preserve">The PAYE calculation follows the standard Uganda progressive tax formula. For each employee:</w:t>
      </w:r>
    </w:p>
    <w:p>
      <w:pPr>
        <w:pStyle w:val="BodyText"/>
      </w:pPr>
      <m:oMath>
        <m:r>
          <m:t>P</m:t>
        </m:r>
        <m:r>
          <m:t>A</m:t>
        </m:r>
        <m:r>
          <m:t>Y</m:t>
        </m:r>
        <m:r>
          <m:t>E</m:t>
        </m:r>
        <m:r>
          <m:rPr>
            <m:sty m:val="p"/>
          </m:rPr>
          <m:t>=</m:t>
        </m:r>
        <m:nary>
          <m:naryPr>
            <m:chr m:val="∑"/>
            <m:limLoc m:val="undOvr"/>
            <m:subHide m:val="off"/>
            <m:supHide m:val="off"/>
          </m:naryPr>
          <m:sub>
            <m:r>
              <m:t>i</m:t>
            </m:r>
            <m:r>
              <m:rPr>
                <m:sty m:val="p"/>
              </m:rPr>
              <m:t>=</m:t>
            </m:r>
            <m:r>
              <m:t>1</m:t>
            </m:r>
          </m:sub>
          <m:sup>
            <m:r>
              <m:t>n</m:t>
            </m:r>
          </m:sup>
          <m:e>
            <m:r>
              <m:rPr>
                <m:sty m:val="p"/>
              </m:rPr>
              <m:t>(</m:t>
            </m:r>
          </m:e>
        </m:nary>
        <m:r>
          <m:t>B</m:t>
        </m:r>
        <m:r>
          <m:t>a</m:t>
        </m:r>
        <m:r>
          <m:t>n</m:t>
        </m:r>
        <m:sSub>
          <m:e>
            <m:r>
              <m:t>d</m:t>
            </m:r>
          </m:e>
          <m:sub>
            <m:r>
              <m:t>i</m:t>
            </m:r>
          </m:sub>
        </m:sSub>
        <m:r>
          <m:rPr>
            <m:sty m:val="p"/>
          </m:rPr>
          <m:t>_</m:t>
        </m:r>
        <m:r>
          <m:t>R</m:t>
        </m:r>
        <m:r>
          <m:t>a</m:t>
        </m:r>
        <m:r>
          <m:t>t</m:t>
        </m:r>
        <m:r>
          <m:t>e</m:t>
        </m:r>
        <m:r>
          <m:rPr>
            <m:sty m:val="p"/>
          </m:rPr>
          <m:t>×</m:t>
        </m:r>
        <m:r>
          <m:t>m</m:t>
        </m:r>
        <m:r>
          <m:t>i</m:t>
        </m:r>
        <m:r>
          <m:t>n</m:t>
        </m:r>
        <m:r>
          <m:rPr>
            <m:sty m:val="p"/>
          </m:rPr>
          <m:t>(</m:t>
        </m:r>
        <m:r>
          <m:t>T</m:t>
        </m:r>
        <m:r>
          <m:t>a</m:t>
        </m:r>
        <m:r>
          <m:t>x</m:t>
        </m:r>
        <m:r>
          <m:t>a</m:t>
        </m:r>
        <m:r>
          <m:t>b</m:t>
        </m:r>
        <m:r>
          <m:t>l</m:t>
        </m:r>
        <m:r>
          <m:t>e</m:t>
        </m:r>
        <m:r>
          <m:t>I</m:t>
        </m:r>
        <m:r>
          <m:t>n</m:t>
        </m:r>
        <m:r>
          <m:t>c</m:t>
        </m:r>
        <m:r>
          <m:t>o</m:t>
        </m:r>
        <m:r>
          <m:t>m</m:t>
        </m:r>
        <m:r>
          <m:t>e</m:t>
        </m:r>
        <m:r>
          <m:rPr>
            <m:sty m:val="p"/>
          </m:rPr>
          <m:t>,</m:t>
        </m:r>
        <m:r>
          <m:t>B</m:t>
        </m:r>
        <m:r>
          <m:t>a</m:t>
        </m:r>
        <m:r>
          <m:t>n</m:t>
        </m:r>
        <m:sSub>
          <m:e>
            <m:r>
              <m:t>d</m:t>
            </m:r>
          </m:e>
          <m:sub>
            <m:r>
              <m:t>i</m:t>
            </m:r>
          </m:sub>
        </m:sSub>
        <m:r>
          <m:rPr>
            <m:sty m:val="p"/>
          </m:rPr>
          <m:t>_</m:t>
        </m:r>
        <m:r>
          <m:t>U</m:t>
        </m:r>
        <m:r>
          <m:t>p</m:t>
        </m:r>
        <m:r>
          <m:t>p</m:t>
        </m:r>
        <m:r>
          <m:t>e</m:t>
        </m:r>
        <m:r>
          <m:t>r</m:t>
        </m:r>
        <m:r>
          <m:rPr>
            <m:sty m:val="p"/>
          </m:rPr>
          <m:t>)</m:t>
        </m:r>
        <m:r>
          <m:rPr>
            <m:sty m:val="p"/>
          </m:rPr>
          <m:t>−</m:t>
        </m:r>
        <m:r>
          <m:t>m</m:t>
        </m:r>
        <m:r>
          <m:t>i</m:t>
        </m:r>
        <m:r>
          <m:t>n</m:t>
        </m:r>
        <m:r>
          <m:rPr>
            <m:sty m:val="p"/>
          </m:rPr>
          <m:t>(</m:t>
        </m:r>
        <m:r>
          <m:t>T</m:t>
        </m:r>
        <m:r>
          <m:t>a</m:t>
        </m:r>
        <m:r>
          <m:t>x</m:t>
        </m:r>
        <m:r>
          <m:t>a</m:t>
        </m:r>
        <m:r>
          <m:t>b</m:t>
        </m:r>
        <m:r>
          <m:t>l</m:t>
        </m:r>
        <m:r>
          <m:t>e</m:t>
        </m:r>
        <m:r>
          <m:t>I</m:t>
        </m:r>
        <m:r>
          <m:t>n</m:t>
        </m:r>
        <m:r>
          <m:t>c</m:t>
        </m:r>
        <m:r>
          <m:t>o</m:t>
        </m:r>
        <m:r>
          <m:t>m</m:t>
        </m:r>
        <m:r>
          <m:t>e</m:t>
        </m:r>
        <m:r>
          <m:rPr>
            <m:sty m:val="p"/>
          </m:rPr>
          <m:t>,</m:t>
        </m:r>
        <m:r>
          <m:t>B</m:t>
        </m:r>
        <m:r>
          <m:t>a</m:t>
        </m:r>
        <m:r>
          <m:t>n</m:t>
        </m:r>
        <m:sSub>
          <m:e>
            <m:r>
              <m:t>d</m:t>
            </m:r>
          </m:e>
          <m:sub>
            <m:r>
              <m:t>i</m:t>
            </m:r>
          </m:sub>
        </m:sSub>
        <m:r>
          <m:rPr>
            <m:sty m:val="p"/>
          </m:rPr>
          <m:t>_</m:t>
        </m:r>
        <m:r>
          <m:t>L</m:t>
        </m:r>
        <m:r>
          <m:t>o</m:t>
        </m:r>
        <m:r>
          <m:t>w</m:t>
        </m:r>
        <m:r>
          <m:t>e</m:t>
        </m:r>
        <m:r>
          <m:t>r</m:t>
        </m:r>
        <m:r>
          <m:rPr>
            <m:sty m:val="p"/>
          </m:rPr>
          <m:t>)</m:t>
        </m:r>
        <m:r>
          <m:rPr>
            <m:sty m:val="p"/>
          </m:rPr>
          <m:t>)</m:t>
        </m:r>
      </m:oMath>
    </w:p>
    <w:p>
      <w:pPr>
        <w:pStyle w:val="BodyText"/>
      </w:pPr>
      <w:r>
        <w:t xml:space="preserve">Where taxable income = gross salary minus exempt allowances as defined in the Income Tax Act.</w:t>
      </w:r>
    </w:p>
    <w:p>
      <w:pPr>
        <w:pStyle w:val="BodyText"/>
      </w:pPr>
      <w:r>
        <w:t xml:space="preserve">The payroll run (FR-PAY-006) computes PAYE for all employees in a single batch. The Finance Manager approves and locks the payroll (BR-010, FR-PAY-007), at which point the PAYE liability is posted to the GL as a payable to URA (FR-PAY-009).</w:t>
      </w:r>
    </w:p>
    <w:bookmarkEnd w:id="50"/>
    <w:bookmarkStart w:id="51" w:name="X1fd78bcd81afaf2a1384d4315a4a6aca5c82718"/>
    <w:p>
      <w:pPr>
        <w:pStyle w:val="Heading3"/>
      </w:pPr>
      <w:r>
        <w:t xml:space="preserve">4.2.3 PAYE Remittance Tracking</w:t>
      </w:r>
    </w:p>
    <w:p>
      <w:pPr>
        <w:pStyle w:val="FirstParagraph"/>
      </w:pPr>
      <w:r>
        <w:t xml:space="preserve">The system tracks the monthly PAYE payable balance per URA's requirement. The Finance team can generate a PAYE remittance summary showing total PAYE deducted per period, remittance payments made to URA, and outstanding balance. This satisfies URA's monthly PAYE return requirement.</w:t>
      </w:r>
    </w:p>
    <w:bookmarkEnd w:id="51"/>
    <w:bookmarkEnd w:id="52"/>
    <w:bookmarkStart w:id="55" w:name="Xb323c364864302cba1e166271b6b992e78babbe"/>
    <w:p>
      <w:pPr>
        <w:pStyle w:val="Heading2"/>
      </w:pPr>
      <w:r>
        <w:t xml:space="preserve">4.3 Withholding Tax (WHT) Compliance</w:t>
      </w:r>
    </w:p>
    <w:bookmarkStart w:id="53" w:name="X37f6f507a2a4ce3c93f3a3af501be22dc2e2479"/>
    <w:p>
      <w:pPr>
        <w:pStyle w:val="Heading3"/>
      </w:pPr>
      <w:r>
        <w:t xml:space="preserve">4.3.1 Legal Obligation</w:t>
      </w:r>
    </w:p>
    <w:p>
      <w:pPr>
        <w:pStyle w:val="FirstParagraph"/>
      </w:pPr>
      <w:r>
        <w:t xml:space="preserve">Under the Uganda Income Tax Act (Cap 340), BIRDC is designated as a withholding agent. When making payments to local service suppliers (subject to WHT), BIRDC must withhold 6% of the payment value and remit it to URA. BIRDC must issue a WHT certificate to the supplier.</w:t>
      </w:r>
    </w:p>
    <w:bookmarkEnd w:id="53"/>
    <w:bookmarkStart w:id="54" w:name="X0a5a6036cf96f8ca6804a5fc5d5d4c057766488"/>
    <w:p>
      <w:pPr>
        <w:pStyle w:val="Heading3"/>
      </w:pPr>
      <w:r>
        <w:t xml:space="preserve">4.3.2 System Implementation</w:t>
      </w:r>
    </w:p>
    <w:p>
      <w:pPr>
        <w:pStyle w:val="FirstParagraph"/>
      </w:pPr>
      <w:r>
        <w:t xml:space="preserve">FR-AP-007 calculates WHT at 6% on all applicable local service supplier payments. The system identifies WHT-applicable suppliers through a flag on the vendor record. When the Accounts Payable module processes a qualifying payment, it:</w:t>
      </w:r>
    </w:p>
    <w:p>
      <w:pPr>
        <w:pStyle w:val="Compact"/>
        <w:numPr>
          <w:ilvl w:val="0"/>
          <w:numId w:val="1004"/>
        </w:numPr>
      </w:pPr>
      <w:r>
        <w:t xml:space="preserve">Deducts 6% WHT from the payment amount automatically.</w:t>
      </w:r>
    </w:p>
    <w:p>
      <w:pPr>
        <w:pStyle w:val="Compact"/>
        <w:numPr>
          <w:ilvl w:val="0"/>
          <w:numId w:val="1004"/>
        </w:numPr>
      </w:pPr>
      <w:r>
        <w:t xml:space="preserve">Posts the WHT liability: DR Expense / CR Vendor Payable / CR WHT Payable (URA).</w:t>
      </w:r>
    </w:p>
    <w:p>
      <w:pPr>
        <w:pStyle w:val="Compact"/>
        <w:numPr>
          <w:ilvl w:val="0"/>
          <w:numId w:val="1004"/>
        </w:numPr>
      </w:pPr>
      <w:r>
        <w:t xml:space="preserve">Generates a URA WHT certificate (Form WHT 1) for the supplier.</w:t>
      </w:r>
    </w:p>
    <w:p>
      <w:pPr>
        <w:pStyle w:val="Compact"/>
        <w:numPr>
          <w:ilvl w:val="0"/>
          <w:numId w:val="1004"/>
        </w:numPr>
      </w:pPr>
      <w:r>
        <w:t xml:space="preserve">Records the WHT amount in the WHT register for monthly URA remittance.</w:t>
      </w:r>
    </w:p>
    <w:p>
      <w:pPr>
        <w:pStyle w:val="FirstParagraph"/>
      </w:pPr>
      <w:r>
        <w:t xml:space="preserve">The Finance Director can generate a WHT remittance report for any period showing all WHT deducted, certificates issued, and outstanding remittance to URA.</w:t>
      </w:r>
    </w:p>
    <w:bookmarkEnd w:id="54"/>
    <w:bookmarkEnd w:id="55"/>
    <w:bookmarkStart w:id="58" w:name="Xab102d8226b5e07f8155968376c160ba6da4377"/>
    <w:p>
      <w:pPr>
        <w:pStyle w:val="Heading2"/>
      </w:pPr>
      <w:r>
        <w:t xml:space="preserve">4.4 Seven-Year Record Retention Compliance</w:t>
      </w:r>
    </w:p>
    <w:bookmarkStart w:id="56" w:name="X044540a53345a6aa16870f3157549e95fb07182"/>
    <w:p>
      <w:pPr>
        <w:pStyle w:val="Heading3"/>
      </w:pPr>
      <w:r>
        <w:t xml:space="preserve">4.4.1 Legal Obligation</w:t>
      </w:r>
    </w:p>
    <w:p>
      <w:pPr>
        <w:pStyle w:val="FirstParagraph"/>
      </w:pPr>
      <w:r>
        <w:t xml:space="preserve">The Uganda Income Tax Act (Cap 340) and Uganda Companies Act (Cap 110) both require BIRDC to retain financial records for 7 years.</w:t>
      </w:r>
    </w:p>
    <w:bookmarkEnd w:id="56"/>
    <w:bookmarkStart w:id="57" w:name="X4e3254a909ec2e87d9949c3fa15a5f378caeca5"/>
    <w:p>
      <w:pPr>
        <w:pStyle w:val="Heading3"/>
      </w:pPr>
      <w:r>
        <w:t xml:space="preserve">4.4.2 System Implementation</w:t>
      </w:r>
    </w:p>
    <w:p>
      <w:pPr>
        <w:pStyle w:val="FirstParagraph"/>
      </w:pPr>
      <w:r>
        <w:t xml:space="preserve">FR-SYS-004 enforces 7-year retention as a system-level constraint. The database schema marks all financial records with a</w:t>
      </w:r>
      <w:r>
        <w:t xml:space="preserve"> </w:t>
      </w:r>
      <w:r>
        <w:rPr>
          <w:rStyle w:val="VerbatimChar"/>
        </w:rPr>
        <w:t xml:space="preserve">retention_until</w:t>
      </w:r>
      <w:r>
        <w:t xml:space="preserve"> </w:t>
      </w:r>
      <w:r>
        <w:t xml:space="preserve">field set to 7 years from the record's creation date. The system's automated record management process cannot delete any record before this date. An IT Administrator cannot override this restriction without a database-level intervention that would generate an audit log alert.</w:t>
      </w:r>
    </w:p>
    <w:p>
      <w:pPr>
        <w:pStyle w:val="BodyText"/>
      </w:pPr>
      <w:r>
        <w:t xml:space="preserve">FR-FIN-007 (hash chain integrity) ensures that retained records are tamper-evident. Any attempt to modify a historical GL entry breaks the cryptographic hash chain and is detectable by the Finance Director or OAG auditor running the hash chain verification report.</w:t>
      </w:r>
    </w:p>
    <w:p>
      <w:pPr>
        <w:pStyle w:val="BodyText"/>
      </w:pPr>
      <w:r>
        <w:t xml:space="preserve">The database backup policy (FR-SYS-005) requires daily full backups completing within ≤ 4 hours, with a retention period for backups aligned to the 7-year statutory requirement. Backup storage is on BIRDC's own infrastructure (DC-006).</w:t>
      </w:r>
    </w:p>
    <w:bookmarkEnd w:id="57"/>
    <w:bookmarkEnd w:id="58"/>
    <w:bookmarkEnd w:id="59"/>
    <w:bookmarkStart w:id="75" w:name="Xcb72ca64666dce8b3e991f9fdbd439a329adbf6"/>
    <w:p>
      <w:pPr>
        <w:pStyle w:val="Heading1"/>
      </w:pPr>
      <w:r>
        <w:t xml:space="preserve">Section 5: NSSF, ICPAU, ISO 22000, and OAG Compliance</w:t>
      </w:r>
    </w:p>
    <w:bookmarkStart w:id="62" w:name="Xe7650832e5aa1e1482c1bb9cd80127c2f9229dd"/>
    <w:p>
      <w:pPr>
        <w:pStyle w:val="Heading2"/>
      </w:pPr>
      <w:r>
        <w:t xml:space="preserve">5.1 NSSF Act Compliance</w:t>
      </w:r>
    </w:p>
    <w:bookmarkStart w:id="60" w:name="X25246d96c28bcaefd5fe591a642233d546d645d"/>
    <w:p>
      <w:pPr>
        <w:pStyle w:val="Heading3"/>
      </w:pPr>
      <w:r>
        <w:t xml:space="preserve">5.1.1 Legal Obligation</w:t>
      </w:r>
    </w:p>
    <w:p>
      <w:pPr>
        <w:pStyle w:val="FirstParagraph"/>
      </w:pPr>
      <w:r>
        <w:t xml:space="preserve">The Uganda National Social Security Fund Act requires BIRDC to deduct NSSF contributions from employee salaries and remit the combined employer and employee contributions monthly to NSSF Uganda. The employer contribution rate is 10% of gross salary; the employee contribution rate is 5% of gross salary.</w:t>
      </w:r>
    </w:p>
    <w:bookmarkEnd w:id="60"/>
    <w:bookmarkStart w:id="61" w:name="X1e6b5f8a57ac7ac569ee2a658d2d09a8ee99f1e"/>
    <w:p>
      <w:pPr>
        <w:pStyle w:val="Heading3"/>
      </w:pPr>
      <w:r>
        <w:t xml:space="preserve">5.1.2 System Implementation</w:t>
      </w:r>
    </w:p>
    <w:p>
      <w:pPr>
        <w:pStyle w:val="FirstParagraph"/>
      </w:pPr>
      <w:r>
        <w:t xml:space="preserve">FR-PAY-003 calculates NSSF contributions for every employee in the payroll run:</w:t>
      </w:r>
    </w:p>
    <w:p>
      <w:pPr>
        <w:pStyle w:val="Compact"/>
        <w:numPr>
          <w:ilvl w:val="0"/>
          <w:numId w:val="1005"/>
        </w:numPr>
      </w:pPr>
      <w:r>
        <w:t xml:space="preserve">Employee deduction:</w:t>
      </w:r>
      <w:r>
        <w:t xml:space="preserve"> </w:t>
      </w:r>
      <m:oMath>
        <m:r>
          <m:t>N</m:t>
        </m:r>
        <m:r>
          <m:t>S</m:t>
        </m:r>
        <m:r>
          <m:t>S</m:t>
        </m:r>
        <m:sSub>
          <m:e>
            <m:r>
              <m:t>F</m:t>
            </m:r>
          </m:e>
          <m:sub>
            <m:r>
              <m:t>e</m:t>
            </m:r>
            <m:r>
              <m:t>m</m:t>
            </m:r>
            <m:r>
              <m:t>p</m:t>
            </m:r>
            <m:r>
              <m:t>l</m:t>
            </m:r>
            <m:r>
              <m:t>o</m:t>
            </m:r>
            <m:r>
              <m:t>y</m:t>
            </m:r>
            <m:r>
              <m:t>e</m:t>
            </m:r>
            <m:r>
              <m:t>e</m:t>
            </m:r>
          </m:sub>
        </m:sSub>
        <m:r>
          <m:rPr>
            <m:sty m:val="p"/>
          </m:rPr>
          <m:t>=</m:t>
        </m:r>
        <m:r>
          <m:t>G</m:t>
        </m:r>
        <m:r>
          <m:t>r</m:t>
        </m:r>
        <m:r>
          <m:t>o</m:t>
        </m:r>
        <m:r>
          <m:t>s</m:t>
        </m:r>
        <m:r>
          <m:t>s</m:t>
        </m:r>
        <m:r>
          <m:t>S</m:t>
        </m:r>
        <m:r>
          <m:t>a</m:t>
        </m:r>
        <m:r>
          <m:t>l</m:t>
        </m:r>
        <m:r>
          <m:t>a</m:t>
        </m:r>
        <m:r>
          <m:t>r</m:t>
        </m:r>
        <m:r>
          <m:t>y</m:t>
        </m:r>
        <m:r>
          <m:rPr>
            <m:sty m:val="p"/>
          </m:rPr>
          <m:t>×</m:t>
        </m:r>
        <m:r>
          <m:t>0.05</m:t>
        </m:r>
      </m:oMath>
    </w:p>
    <w:p>
      <w:pPr>
        <w:pStyle w:val="Compact"/>
        <w:numPr>
          <w:ilvl w:val="0"/>
          <w:numId w:val="1005"/>
        </w:numPr>
      </w:pPr>
      <w:r>
        <w:t xml:space="preserve">Employer contribution:</w:t>
      </w:r>
      <w:r>
        <w:t xml:space="preserve"> </w:t>
      </w:r>
      <m:oMath>
        <m:r>
          <m:t>N</m:t>
        </m:r>
        <m:r>
          <m:t>S</m:t>
        </m:r>
        <m:r>
          <m:t>S</m:t>
        </m:r>
        <m:sSub>
          <m:e>
            <m:r>
              <m:t>F</m:t>
            </m:r>
          </m:e>
          <m:sub>
            <m:r>
              <m:t>e</m:t>
            </m:r>
            <m:r>
              <m:t>m</m:t>
            </m:r>
            <m:r>
              <m:t>p</m:t>
            </m:r>
            <m:r>
              <m:t>l</m:t>
            </m:r>
            <m:r>
              <m:t>o</m:t>
            </m:r>
            <m:r>
              <m:t>y</m:t>
            </m:r>
            <m:r>
              <m:t>e</m:t>
            </m:r>
            <m:r>
              <m:t>r</m:t>
            </m:r>
          </m:sub>
        </m:sSub>
        <m:r>
          <m:rPr>
            <m:sty m:val="p"/>
          </m:rPr>
          <m:t>=</m:t>
        </m:r>
        <m:r>
          <m:t>G</m:t>
        </m:r>
        <m:r>
          <m:t>r</m:t>
        </m:r>
        <m:r>
          <m:t>o</m:t>
        </m:r>
        <m:r>
          <m:t>s</m:t>
        </m:r>
        <m:r>
          <m:t>s</m:t>
        </m:r>
        <m:r>
          <m:t>S</m:t>
        </m:r>
        <m:r>
          <m:t>a</m:t>
        </m:r>
        <m:r>
          <m:t>l</m:t>
        </m:r>
        <m:r>
          <m:t>a</m:t>
        </m:r>
        <m:r>
          <m:t>r</m:t>
        </m:r>
        <m:r>
          <m:t>y</m:t>
        </m:r>
        <m:r>
          <m:rPr>
            <m:sty m:val="p"/>
          </m:rPr>
          <m:t>×</m:t>
        </m:r>
        <m:r>
          <m:t>0.10</m:t>
        </m:r>
      </m:oMath>
    </w:p>
    <w:p>
      <w:pPr>
        <w:pStyle w:val="Compact"/>
        <w:numPr>
          <w:ilvl w:val="0"/>
          <w:numId w:val="1005"/>
        </w:numPr>
      </w:pPr>
      <w:r>
        <w:t xml:space="preserve">Total monthly NSSF remittance:</w:t>
      </w:r>
      <w:r>
        <w:t xml:space="preserve"> </w:t>
      </w:r>
      <m:oMath>
        <m:r>
          <m:t>N</m:t>
        </m:r>
        <m:r>
          <m:t>S</m:t>
        </m:r>
        <m:r>
          <m:t>S</m:t>
        </m:r>
        <m:sSub>
          <m:e>
            <m:r>
              <m:t>F</m:t>
            </m:r>
          </m:e>
          <m:sub>
            <m:r>
              <m:t>t</m:t>
            </m:r>
            <m:r>
              <m:t>o</m:t>
            </m:r>
            <m:r>
              <m:t>t</m:t>
            </m:r>
            <m:r>
              <m:t>a</m:t>
            </m:r>
            <m:r>
              <m:t>l</m:t>
            </m:r>
          </m:sub>
        </m:sSub>
        <m:r>
          <m:rPr>
            <m:sty m:val="p"/>
          </m:rPr>
          <m:t>=</m:t>
        </m:r>
        <m:r>
          <m:t>N</m:t>
        </m:r>
        <m:r>
          <m:t>S</m:t>
        </m:r>
        <m:r>
          <m:t>S</m:t>
        </m:r>
        <m:sSub>
          <m:e>
            <m:r>
              <m:t>F</m:t>
            </m:r>
          </m:e>
          <m:sub>
            <m:r>
              <m:t>e</m:t>
            </m:r>
            <m:r>
              <m:t>m</m:t>
            </m:r>
            <m:r>
              <m:t>p</m:t>
            </m:r>
            <m:r>
              <m:t>l</m:t>
            </m:r>
            <m:r>
              <m:t>o</m:t>
            </m:r>
            <m:r>
              <m:t>y</m:t>
            </m:r>
            <m:r>
              <m:t>e</m:t>
            </m:r>
            <m:r>
              <m:t>e</m:t>
            </m:r>
          </m:sub>
        </m:sSub>
        <m:r>
          <m:rPr>
            <m:sty m:val="p"/>
          </m:rPr>
          <m:t>+</m:t>
        </m:r>
        <m:r>
          <m:t>N</m:t>
        </m:r>
        <m:r>
          <m:t>S</m:t>
        </m:r>
        <m:r>
          <m:t>S</m:t>
        </m:r>
        <m:sSub>
          <m:e>
            <m:r>
              <m:t>F</m:t>
            </m:r>
          </m:e>
          <m:sub>
            <m:r>
              <m:t>e</m:t>
            </m:r>
            <m:r>
              <m:t>m</m:t>
            </m:r>
            <m:r>
              <m:t>p</m:t>
            </m:r>
            <m:r>
              <m:t>l</m:t>
            </m:r>
            <m:r>
              <m:t>o</m:t>
            </m:r>
            <m:r>
              <m:t>y</m:t>
            </m:r>
            <m:r>
              <m:t>e</m:t>
            </m:r>
            <m:r>
              <m:t>r</m:t>
            </m:r>
          </m:sub>
        </m:sSub>
      </m:oMath>
    </w:p>
    <w:p>
      <w:pPr>
        <w:pStyle w:val="FirstParagraph"/>
      </w:pPr>
      <w:r>
        <w:t xml:space="preserve">Both rates are stored in a configuration table (DC-002) and can be updated by the Finance Director via the UI if Parliament amends the NSSF Act rates.</w:t>
      </w:r>
    </w:p>
    <w:p>
      <w:pPr>
        <w:pStyle w:val="BodyText"/>
      </w:pPr>
      <w:r>
        <w:t xml:space="preserve">FR-PAY-004 generates the NSSF remittance schedule in the exact format required by NSSF Uganda for employer bulk remittance. The schedule includes: employee name, NIN, gross salary, employee deduction, employer contribution, and total contribution per employee, with aggregate totals.</w:t>
      </w:r>
    </w:p>
    <w:p>
      <w:pPr>
        <w:pStyle w:val="BodyText"/>
      </w:pPr>
      <w:r>
        <w:rPr>
          <w:i/>
          <w:iCs/>
        </w:rPr>
        <w:t xml:space="preserve">[CONTEXT-GAP: GAP-009]: BIRDC HR must obtain the current NSSF Uganda employer contribution schedule template to confirm the exact column layout and file format required. The system will generate the schedule once the format specification is confirmed.</w:t>
      </w:r>
    </w:p>
    <w:p>
      <w:pPr>
        <w:pStyle w:val="BodyText"/>
      </w:pPr>
      <w:r>
        <w:t xml:space="preserve">The payroll GL posting (FR-PAY-009) includes the NSSF liability entries: DR Salary Expense (employer NSSF) / CR NSSF Payable; DR Employee NSSF Deduction / CR NSSF Payable.</w:t>
      </w:r>
    </w:p>
    <w:bookmarkEnd w:id="61"/>
    <w:bookmarkEnd w:id="62"/>
    <w:bookmarkStart w:id="67" w:name="Xd22764a0a37e4866d8f412e5afda04b7b0186d2"/>
    <w:p>
      <w:pPr>
        <w:pStyle w:val="Heading2"/>
      </w:pPr>
      <w:r>
        <w:t xml:space="preserve">5.2 ICPAU and IFRS for SMEs Compliance</w:t>
      </w:r>
    </w:p>
    <w:bookmarkStart w:id="63" w:name="X3bc337a10aec282b9cee63b83b7d5375a532cb8"/>
    <w:p>
      <w:pPr>
        <w:pStyle w:val="Heading3"/>
      </w:pPr>
      <w:r>
        <w:t xml:space="preserve">5.2.1 Accounting Standards Obligation</w:t>
      </w:r>
    </w:p>
    <w:p>
      <w:pPr>
        <w:pStyle w:val="FirstParagraph"/>
      </w:pPr>
      <w:r>
        <w:t xml:space="preserve">ICPAU (Institute of Certified Public Accountants of Uganda) requires BIRDC's commercial financial statements to comply with IFRS for SMEs. PIBID's parliamentary accounts follow the Government of Uganda Public Finance Management Act framework. The system must support both standards simultaneously.</w:t>
      </w:r>
    </w:p>
    <w:bookmarkEnd w:id="63"/>
    <w:bookmarkStart w:id="64" w:name="Xd6223627de434c753a3dc228889646242ea813a"/>
    <w:p>
      <w:pPr>
        <w:pStyle w:val="Heading3"/>
      </w:pPr>
      <w:r>
        <w:t xml:space="preserve">5.2.2 IFRS for SMEs Implementation (BIRDC Commercial Mode)</w:t>
      </w:r>
    </w:p>
    <w:p>
      <w:pPr>
        <w:pStyle w:val="FirstParagraph"/>
      </w:pPr>
      <w:r>
        <w:t xml:space="preserve">FR-FIN-001 implements IFRS for SMEs double-entry accounting with a hierarchical chart of accounts. The financial statement outputs mandated by FR-FIN-009 include:</w:t>
      </w:r>
    </w:p>
    <w:p>
      <w:pPr>
        <w:pStyle w:val="Compact"/>
        <w:numPr>
          <w:ilvl w:val="0"/>
          <w:numId w:val="1006"/>
        </w:numPr>
      </w:pPr>
      <w:r>
        <w:t xml:space="preserve">Statement of Profit or Loss and Other Comprehensive Income (P&amp;L)</w:t>
      </w:r>
    </w:p>
    <w:p>
      <w:pPr>
        <w:pStyle w:val="Compact"/>
        <w:numPr>
          <w:ilvl w:val="0"/>
          <w:numId w:val="1006"/>
        </w:numPr>
      </w:pPr>
      <w:r>
        <w:t xml:space="preserve">Statement of Financial Position (Balance Sheet — IAS-format presentation)</w:t>
      </w:r>
    </w:p>
    <w:p>
      <w:pPr>
        <w:pStyle w:val="Compact"/>
        <w:numPr>
          <w:ilvl w:val="0"/>
          <w:numId w:val="1006"/>
        </w:numPr>
      </w:pPr>
      <w:r>
        <w:t xml:space="preserve">Statement of Cash Flows (IAS 7 — indirect method)</w:t>
      </w:r>
    </w:p>
    <w:p>
      <w:pPr>
        <w:pStyle w:val="Compact"/>
        <w:numPr>
          <w:ilvl w:val="0"/>
          <w:numId w:val="1006"/>
        </w:numPr>
      </w:pPr>
      <w:r>
        <w:t xml:space="preserve">Statement of Changes in Equity</w:t>
      </w:r>
    </w:p>
    <w:p>
      <w:pPr>
        <w:pStyle w:val="Compact"/>
        <w:numPr>
          <w:ilvl w:val="0"/>
          <w:numId w:val="1006"/>
        </w:numPr>
      </w:pPr>
      <w:r>
        <w:t xml:space="preserve">Trial Balance (internal management report)</w:t>
      </w:r>
    </w:p>
    <w:p>
      <w:pPr>
        <w:pStyle w:val="FirstParagraph"/>
      </w:pPr>
      <w:r>
        <w:t xml:space="preserve">The chart of accounts hierarchy (1,307 accounts as referenced in the features register, subject to Finance Director confirmation per [CONTEXT-GAP: GAP-012]) is structured to produce IFRS-compliant financial statements automatically by aggregating leaf-node account balances to the relevant IFRS presentation lines.</w:t>
      </w:r>
    </w:p>
    <w:bookmarkEnd w:id="64"/>
    <w:bookmarkStart w:id="65" w:name="Xacc51757512e6c1c5ccfdb2b6f1c0d652d958af"/>
    <w:p>
      <w:pPr>
        <w:pStyle w:val="Heading3"/>
      </w:pPr>
      <w:r>
        <w:t xml:space="preserve">5.2.3 Dual-Mode Accounting Implementation</w:t>
      </w:r>
    </w:p>
    <w:p>
      <w:pPr>
        <w:pStyle w:val="FirstParagraph"/>
      </w:pPr>
      <w:r>
        <w:t xml:space="preserve">FR-FIN-002 implements dual-mode accounting (DC-004): PIBID parliamentary budget votes and BIRDC commercial IFRS accounts are tracked simultaneously. Every operational transaction is posted to both the PIBID segment and the BIRDC segment as appropriate. The Finance Director can generate:</w:t>
      </w:r>
    </w:p>
    <w:p>
      <w:pPr>
        <w:pStyle w:val="Compact"/>
        <w:numPr>
          <w:ilvl w:val="0"/>
          <w:numId w:val="1007"/>
        </w:numPr>
      </w:pPr>
      <w:r>
        <w:t xml:space="preserve">A BIRDC-only P&amp;L and Balance Sheet for commercial reporting.</w:t>
      </w:r>
    </w:p>
    <w:p>
      <w:pPr>
        <w:pStyle w:val="Compact"/>
        <w:numPr>
          <w:ilvl w:val="0"/>
          <w:numId w:val="1007"/>
        </w:numPr>
      </w:pPr>
      <w:r>
        <w:t xml:space="preserve">A PIBID-only Budget vs. Actual statement for parliamentary reporting.</w:t>
      </w:r>
    </w:p>
    <w:p>
      <w:pPr>
        <w:pStyle w:val="Compact"/>
        <w:numPr>
          <w:ilvl w:val="0"/>
          <w:numId w:val="1007"/>
        </w:numPr>
      </w:pPr>
      <w:r>
        <w:t xml:space="preserve">A consolidated view showing total operations.</w:t>
      </w:r>
    </w:p>
    <w:p>
      <w:pPr>
        <w:pStyle w:val="FirstParagraph"/>
      </w:pPr>
      <w:r>
        <w:t xml:space="preserve">This satisfies the dual nature of the organisation (government initiative + commercial enterprise) without requiring parallel accounting systems.</w:t>
      </w:r>
    </w:p>
    <w:bookmarkEnd w:id="65"/>
    <w:bookmarkStart w:id="66" w:name="X1d26c2d51cf99eb747656f15385ca436e3950f4"/>
    <w:p>
      <w:pPr>
        <w:pStyle w:val="Heading3"/>
      </w:pPr>
      <w:r>
        <w:t xml:space="preserve">5.2.4 ICPAU Audit Readiness</w:t>
      </w:r>
    </w:p>
    <w:p>
      <w:pPr>
        <w:pStyle w:val="FirstParagraph"/>
      </w:pPr>
      <w:r>
        <w:t xml:space="preserve">The hash chain integrity mechanism (FR-FIN-007, BR-013) provides ICPAU-level assurance that the financial records are tamper-evident. An ICPAU-accredited auditor conducting the annual audit can:</w:t>
      </w:r>
    </w:p>
    <w:p>
      <w:pPr>
        <w:pStyle w:val="Compact"/>
        <w:numPr>
          <w:ilvl w:val="0"/>
          <w:numId w:val="1008"/>
        </w:numPr>
      </w:pPr>
      <w:r>
        <w:t xml:space="preserve">Run the hash chain verification report (all chains intact = no tampering).</w:t>
      </w:r>
    </w:p>
    <w:p>
      <w:pPr>
        <w:pStyle w:val="Compact"/>
        <w:numPr>
          <w:ilvl w:val="0"/>
          <w:numId w:val="1008"/>
        </w:numPr>
      </w:pPr>
      <w:r>
        <w:t xml:space="preserve">Drill from any financial statement line to the constituent journal entries.</w:t>
      </w:r>
    </w:p>
    <w:p>
      <w:pPr>
        <w:pStyle w:val="Compact"/>
        <w:numPr>
          <w:ilvl w:val="0"/>
          <w:numId w:val="1008"/>
        </w:numPr>
      </w:pPr>
      <w:r>
        <w:t xml:space="preserve">Drill from any journal entry to the originating transaction (invoice, GRN, payroll run, etc.).</w:t>
      </w:r>
    </w:p>
    <w:p>
      <w:pPr>
        <w:pStyle w:val="Compact"/>
        <w:numPr>
          <w:ilvl w:val="0"/>
          <w:numId w:val="1008"/>
        </w:numPr>
      </w:pPr>
      <w:r>
        <w:t xml:space="preserve">Export any GL period in Excel or CSV format for independent recalculation.</w:t>
      </w:r>
    </w:p>
    <w:bookmarkEnd w:id="66"/>
    <w:bookmarkEnd w:id="67"/>
    <w:bookmarkStart w:id="70" w:name="Xd51357d8b60f52407cb79753675d5ce28b5adef"/>
    <w:p>
      <w:pPr>
        <w:pStyle w:val="Heading2"/>
      </w:pPr>
      <w:r>
        <w:t xml:space="preserve">5.3 ISO 22000 and Codex Alimentarius Compliance</w:t>
      </w:r>
    </w:p>
    <w:bookmarkStart w:id="68" w:name="Xecbd0aea0df18c606193397616de9ad6b3f45a8"/>
    <w:p>
      <w:pPr>
        <w:pStyle w:val="Heading3"/>
      </w:pPr>
      <w:r>
        <w:t xml:space="preserve">5.3.1 Food Safety Management Obligation</w:t>
      </w:r>
    </w:p>
    <w:p>
      <w:pPr>
        <w:pStyle w:val="FirstParagraph"/>
      </w:pPr>
      <w:r>
        <w:t xml:space="preserve">ISO 22000:2018 (Food Safety Management Systems) is the international standard governing food safety in manufacturing and processing. BIRDC's export customers (South Korea, Saudi Arabia, Qatar, Italy, USA) require CoA documentation that aligns with both ISO 22000 principles and the relevant Codex Alimentarius standards for banana-based food products.</w:t>
      </w:r>
    </w:p>
    <w:bookmarkEnd w:id="68"/>
    <w:bookmarkStart w:id="69" w:name="Xfedc48848c79435db0568c5b19898d94e7feaf2"/>
    <w:p>
      <w:pPr>
        <w:pStyle w:val="Heading3"/>
      </w:pPr>
      <w:r>
        <w:t xml:space="preserve">5.3.2 System Implementation</w:t>
      </w:r>
    </w:p>
    <w:p>
      <w:pPr>
        <w:pStyle w:val="FirstParagraph"/>
      </w:pPr>
      <w:r>
        <w:t xml:space="preserve">The QC module (F-012) supports ISO 22000 compliance through the following mechanisms:</w:t>
      </w:r>
    </w:p>
    <w:p>
      <w:pPr>
        <w:pStyle w:val="BodyText"/>
      </w:pPr>
      <w:r>
        <w:rPr>
          <w:b/>
          <w:bCs/>
        </w:rPr>
        <w:t xml:space="preserve">Configurable inspection templates (FR-QC-001):</w:t>
      </w:r>
      <w:r>
        <w:t xml:space="preserve"> </w:t>
      </w:r>
      <w:r>
        <w:t xml:space="preserve">The QC Manager can define inspection templates for each product type and processing stage with numeric limits, pass/fail criteria, and photo evidence requirements. These templates map directly to the HACCP (Hazard Analysis and Critical Control Points) control points required under ISO 22000.</w:t>
      </w:r>
    </w:p>
    <w:p>
      <w:pPr>
        <w:pStyle w:val="BodyText"/>
      </w:pPr>
      <w:r>
        <w:rPr>
          <w:b/>
          <w:bCs/>
        </w:rPr>
        <w:t xml:space="preserve">In-process QC checkpoints (FR-QC-003):</w:t>
      </w:r>
      <w:r>
        <w:t xml:space="preserve"> </w:t>
      </w:r>
      <w:r>
        <w:t xml:space="preserve">QC checkpoints are embedded within production job cards at each critical control point. This creates a documented record of food safety controls at every stage of processing, satisfying ISO 22000's requirement for monitoring records at CCPs.</w:t>
      </w:r>
    </w:p>
    <w:p>
      <w:pPr>
        <w:pStyle w:val="BodyText"/>
      </w:pPr>
      <w:r>
        <w:rPr>
          <w:b/>
          <w:bCs/>
        </w:rPr>
        <w:t xml:space="preserve">Batch traceability chain (FR-INV-004, FR-MFG-004, FR-QC-009):</w:t>
      </w:r>
      <w:r>
        <w:t xml:space="preserve"> </w:t>
      </w:r>
      <w:r>
        <w:t xml:space="preserve">Every product batch can be traced from raw matooke delivery (with farmer identity, GPS coordinates, and quality grade) through processing stages to the finished product CoA and export shipment. This end-to-end traceability chain satisfies both ISO 22000 §8.3 (traceability system) and Codex Alimentarius General Principles of Food Hygiene (CAC/RCP 1-1969).</w:t>
      </w:r>
    </w:p>
    <w:p>
      <w:pPr>
        <w:pStyle w:val="BodyText"/>
      </w:pPr>
      <w:r>
        <w:rPr>
          <w:b/>
          <w:bCs/>
        </w:rPr>
        <w:t xml:space="preserve">Non-Conformance Reports (FR-QC-008):</w:t>
      </w:r>
      <w:r>
        <w:t xml:space="preserve"> </w:t>
      </w:r>
      <w:r>
        <w:t xml:space="preserve">NCRs with root cause analysis and corrective action tracking satisfy ISO 22000's requirement for documented corrective actions when food safety deviations occur.</w:t>
      </w:r>
    </w:p>
    <w:p>
      <w:pPr>
        <w:pStyle w:val="BodyText"/>
      </w:pPr>
      <w:r>
        <w:rPr>
          <w:b/>
          <w:bCs/>
        </w:rPr>
        <w:t xml:space="preserve">Certificate of Analysis generation (FR-QC-004, FR-QC-005):</w:t>
      </w:r>
      <w:r>
        <w:t xml:space="preserve"> </w:t>
      </w:r>
      <w:r>
        <w:t xml:space="preserve">The system generates CoAs for domestic and export markets. Export-grade CoAs include all parameters required by each destination market's food safety authority: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Market</w:t>
            </w:r>
          </w:p>
        </w:tc>
        <w:tc>
          <w:tcPr/>
          <w:p>
            <w:pPr>
              <w:pStyle w:val="Compact"/>
            </w:pPr>
            <w:r>
              <w:t xml:space="preserve">Regulatory Authority</w:t>
            </w:r>
          </w:p>
        </w:tc>
        <w:tc>
          <w:tcPr/>
          <w:p>
            <w:pPr>
              <w:pStyle w:val="Compact"/>
            </w:pPr>
            <w:r>
              <w:t xml:space="preserve">Key Parameters</w:t>
            </w:r>
          </w:p>
        </w:tc>
      </w:tr>
      <w:tr>
        <w:tc>
          <w:tcPr/>
          <w:p>
            <w:pPr>
              <w:pStyle w:val="Compact"/>
            </w:pPr>
            <w:r>
              <w:t xml:space="preserve">South Korea</w:t>
            </w:r>
          </w:p>
        </w:tc>
        <w:tc>
          <w:tcPr/>
          <w:p>
            <w:pPr>
              <w:pStyle w:val="Compact"/>
            </w:pPr>
            <w:r>
              <w:t xml:space="preserve">Ministry of Food and Drug Safety (MFDS)</w:t>
            </w:r>
          </w:p>
        </w:tc>
        <w:tc>
          <w:tcPr/>
          <w:p>
            <w:pPr>
              <w:pStyle w:val="Compact"/>
            </w:pPr>
            <w:r>
              <w:t xml:space="preserve">[CONTEXT-GAP: GAP-010 — exact parameters pending]</w:t>
            </w:r>
          </w:p>
        </w:tc>
      </w:tr>
      <w:tr>
        <w:tc>
          <w:tcPr/>
          <w:p>
            <w:pPr>
              <w:pStyle w:val="Compact"/>
            </w:pPr>
            <w:r>
              <w:t xml:space="preserve">European Union (Italy)</w:t>
            </w:r>
          </w:p>
        </w:tc>
        <w:tc>
          <w:tcPr/>
          <w:p>
            <w:pPr>
              <w:pStyle w:val="Compact"/>
            </w:pPr>
            <w:r>
              <w:t xml:space="preserve">EU RASFF / MAAIF</w:t>
            </w:r>
          </w:p>
        </w:tc>
        <w:tc>
          <w:tcPr/>
          <w:p>
            <w:pPr>
              <w:pStyle w:val="Compact"/>
            </w:pPr>
            <w:r>
              <w:t xml:space="preserve">[CONTEXT-GAP: GAP-010 — exact parameters pending]</w:t>
            </w:r>
          </w:p>
        </w:tc>
      </w:tr>
      <w:tr>
        <w:tc>
          <w:tcPr/>
          <w:p>
            <w:pPr>
              <w:pStyle w:val="Compact"/>
            </w:pPr>
            <w:r>
              <w:t xml:space="preserve">Saudi Arabia</w:t>
            </w:r>
          </w:p>
        </w:tc>
        <w:tc>
          <w:tcPr/>
          <w:p>
            <w:pPr>
              <w:pStyle w:val="Compact"/>
            </w:pPr>
            <w:r>
              <w:t xml:space="preserve">Saudi Food and Drug Authority (SFDA)</w:t>
            </w:r>
          </w:p>
        </w:tc>
        <w:tc>
          <w:tcPr/>
          <w:p>
            <w:pPr>
              <w:pStyle w:val="Compact"/>
            </w:pPr>
            <w:r>
              <w:t xml:space="preserve">[CONTEXT-GAP: GAP-010 — exact parameters pending]</w:t>
            </w:r>
          </w:p>
        </w:tc>
      </w:tr>
      <w:tr>
        <w:tc>
          <w:tcPr/>
          <w:p>
            <w:pPr>
              <w:pStyle w:val="Compact"/>
            </w:pPr>
            <w:r>
              <w:t xml:space="preserve">Qatar</w:t>
            </w:r>
          </w:p>
        </w:tc>
        <w:tc>
          <w:tcPr/>
          <w:p>
            <w:pPr>
              <w:pStyle w:val="Compact"/>
            </w:pPr>
            <w:r>
              <w:t xml:space="preserve">Ministry of Public Health (MOPH)</w:t>
            </w:r>
          </w:p>
        </w:tc>
        <w:tc>
          <w:tcPr/>
          <w:p>
            <w:pPr>
              <w:pStyle w:val="Compact"/>
            </w:pPr>
            <w:r>
              <w:t xml:space="preserve">[CONTEXT-GAP: GAP-010 — exact parameters pending]</w:t>
            </w:r>
          </w:p>
        </w:tc>
      </w:tr>
      <w:tr>
        <w:tc>
          <w:tcPr/>
          <w:p>
            <w:pPr>
              <w:pStyle w:val="Compact"/>
            </w:pPr>
            <w:r>
              <w:t xml:space="preserve">United States</w:t>
            </w:r>
          </w:p>
        </w:tc>
        <w:tc>
          <w:tcPr/>
          <w:p>
            <w:pPr>
              <w:pStyle w:val="Compact"/>
            </w:pPr>
            <w:r>
              <w:t xml:space="preserve">US Food and Drug Administration (FDA)</w:t>
            </w:r>
          </w:p>
        </w:tc>
        <w:tc>
          <w:tcPr/>
          <w:p>
            <w:pPr>
              <w:pStyle w:val="Compact"/>
            </w:pPr>
            <w:r>
              <w:t xml:space="preserve">[CONTEXT-GAP: GAP-010 — exact parameters pending]</w:t>
            </w:r>
          </w:p>
        </w:tc>
      </w:tr>
    </w:tbl>
    <w:p>
      <w:pPr>
        <w:pStyle w:val="BodyText"/>
      </w:pPr>
      <w:r>
        <w:t xml:space="preserve">The CoA template system is configurable (DC-002): the QC Manager can update parameter sets for each market via the UI when import requirements change, without developer involvement.</w:t>
      </w:r>
    </w:p>
    <w:p>
      <w:pPr>
        <w:pStyle w:val="BodyText"/>
      </w:pPr>
      <w:r>
        <w:rPr>
          <w:b/>
          <w:bCs/>
        </w:rPr>
        <w:t xml:space="preserve">Export dispatch control (FR-QC-006, BR-017):</w:t>
      </w:r>
      <w:r>
        <w:t xml:space="preserve"> </w:t>
      </w:r>
      <w:r>
        <w:t xml:space="preserve">A batch with only "Approved for Domestic" status is blocked from being allocated to an export shipment. An export-grade CoA with the destination market's parameter set must be generated and approved before the export dispatch can proceed. This hard block prevents accidental export of products that have not been certified to the destination market's standard.</w:t>
      </w:r>
    </w:p>
    <w:bookmarkEnd w:id="69"/>
    <w:bookmarkEnd w:id="70"/>
    <w:bookmarkStart w:id="74" w:name="X952d10ba1c890d7dcf20e9849eccb90712a9447"/>
    <w:p>
      <w:pPr>
        <w:pStyle w:val="Heading2"/>
      </w:pPr>
      <w:r>
        <w:t xml:space="preserve">5.4 OAG Uganda Audit Readiness</w:t>
      </w:r>
    </w:p>
    <w:bookmarkStart w:id="71" w:name="X777d5f4bd37377baa6d34f7aa05901b8af9918d"/>
    <w:p>
      <w:pPr>
        <w:pStyle w:val="Heading3"/>
      </w:pPr>
      <w:r>
        <w:t xml:space="preserve">5.4.1 OAG Audit Obligation</w:t>
      </w:r>
    </w:p>
    <w:p>
      <w:pPr>
        <w:pStyle w:val="FirstParagraph"/>
      </w:pPr>
      <w:r>
        <w:t xml:space="preserve">The Office of the Auditor General (OAG Uganda) conducts an annual audit of PIBID's parliamentary accounts. The OAG team expects to find complete, readily accessible financial records with full source traceability, no manual reconciliation required.</w:t>
      </w:r>
    </w:p>
    <w:bookmarkEnd w:id="71"/>
    <w:bookmarkStart w:id="72" w:name="Xfa6c3f897374d74c352fcda7f113f366b9b499d"/>
    <w:p>
      <w:pPr>
        <w:pStyle w:val="Heading3"/>
      </w:pPr>
      <w:r>
        <w:t xml:space="preserve">5.4.2 What the OAG Team Will Find</w:t>
      </w:r>
    </w:p>
    <w:p>
      <w:pPr>
        <w:pStyle w:val="FirstParagraph"/>
      </w:pPr>
      <w:r>
        <w:t xml:space="preserve">When the OAG audit team arrives, the system provides the following capabilities without any preparation or data compilation by BIRDC staff: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OAG Requirement</w:t>
            </w:r>
          </w:p>
        </w:tc>
        <w:tc>
          <w:tcPr/>
          <w:p>
            <w:pPr>
              <w:pStyle w:val="Compact"/>
            </w:pPr>
            <w:r>
              <w:t xml:space="preserve">System Capability</w:t>
            </w:r>
          </w:p>
        </w:tc>
        <w:tc>
          <w:tcPr/>
          <w:p>
            <w:pPr>
              <w:pStyle w:val="Compact"/>
            </w:pPr>
            <w:r>
              <w:t xml:space="preserve">FR Reference</w:t>
            </w:r>
          </w:p>
        </w:tc>
      </w:tr>
      <w:tr>
        <w:tc>
          <w:tcPr/>
          <w:p>
            <w:pPr>
              <w:pStyle w:val="Compact"/>
            </w:pPr>
            <w:r>
              <w:t xml:space="preserve">Trial Balance for any period</w:t>
            </w:r>
          </w:p>
        </w:tc>
        <w:tc>
          <w:tcPr/>
          <w:p>
            <w:pPr>
              <w:pStyle w:val="Compact"/>
            </w:pPr>
            <w:r>
              <w:t xml:space="preserve">Generated within ≤ 5 seconds without period closing</w:t>
            </w:r>
          </w:p>
        </w:tc>
        <w:tc>
          <w:tcPr/>
          <w:p>
            <w:pPr>
              <w:pStyle w:val="Compact"/>
            </w:pPr>
            <w:r>
              <w:t xml:space="preserve">FR-FIN-008</w:t>
            </w:r>
          </w:p>
        </w:tc>
      </w:tr>
      <w:tr>
        <w:tc>
          <w:tcPr/>
          <w:p>
            <w:pPr>
              <w:pStyle w:val="Compact"/>
            </w:pPr>
            <w:r>
              <w:t xml:space="preserve">Full General Ledger detail (any account, any period)</w:t>
            </w:r>
          </w:p>
        </w:tc>
        <w:tc>
          <w:tcPr/>
          <w:p>
            <w:pPr>
              <w:pStyle w:val="Compact"/>
            </w:pPr>
            <w:r>
              <w:t xml:space="preserve">Exportable in Excel/CSV; drillable to source transactions</w:t>
            </w:r>
          </w:p>
        </w:tc>
        <w:tc>
          <w:tcPr/>
          <w:p>
            <w:pPr>
              <w:pStyle w:val="Compact"/>
            </w:pPr>
            <w:r>
              <w:t xml:space="preserve">FR-FIN-009, FR-SYS-003</w:t>
            </w:r>
          </w:p>
        </w:tc>
      </w:tr>
      <w:tr>
        <w:tc>
          <w:tcPr/>
          <w:p>
            <w:pPr>
              <w:pStyle w:val="Compact"/>
            </w:pPr>
            <w:r>
              <w:t xml:space="preserve">Budget vs. Actual for all parliamentary votes</w:t>
            </w:r>
          </w:p>
        </w:tc>
        <w:tc>
          <w:tcPr/>
          <w:p>
            <w:pPr>
              <w:pStyle w:val="Compact"/>
            </w:pPr>
            <w:r>
              <w:t xml:space="preserve">Real-time report for any budget period</w:t>
            </w:r>
          </w:p>
        </w:tc>
        <w:tc>
          <w:tcPr/>
          <w:p>
            <w:pPr>
              <w:pStyle w:val="Compact"/>
            </w:pPr>
            <w:r>
              <w:t xml:space="preserve">FR-BUD-003</w:t>
            </w:r>
          </w:p>
        </w:tc>
      </w:tr>
      <w:tr>
        <w:tc>
          <w:tcPr/>
          <w:p>
            <w:pPr>
              <w:pStyle w:val="Compact"/>
            </w:pPr>
            <w:r>
              <w:t xml:space="preserve">Hash chain integrity verification</w:t>
            </w:r>
          </w:p>
        </w:tc>
        <w:tc>
          <w:tcPr/>
          <w:p>
            <w:pPr>
              <w:pStyle w:val="Compact"/>
            </w:pPr>
            <w:r>
              <w:t xml:space="preserve">One-click integrity check; broken chains reported immediately</w:t>
            </w:r>
          </w:p>
        </w:tc>
        <w:tc>
          <w:tcPr/>
          <w:p>
            <w:pPr>
              <w:pStyle w:val="Compact"/>
            </w:pPr>
            <w:r>
              <w:t xml:space="preserve">FR-FIN-007</w:t>
            </w:r>
          </w:p>
        </w:tc>
      </w:tr>
      <w:tr>
        <w:tc>
          <w:tcPr/>
          <w:p>
            <w:pPr>
              <w:pStyle w:val="Compact"/>
            </w:pPr>
            <w:r>
              <w:t xml:space="preserve">Procurement register with full PPDA documentation status</w:t>
            </w:r>
          </w:p>
        </w:tc>
        <w:tc>
          <w:tcPr/>
          <w:p>
            <w:pPr>
              <w:pStyle w:val="Compact"/>
            </w:pPr>
            <w:r>
              <w:t xml:space="preserve">Searchable, filterable, exportable</w:t>
            </w:r>
          </w:p>
        </w:tc>
        <w:tc>
          <w:tcPr/>
          <w:p>
            <w:pPr>
              <w:pStyle w:val="Compact"/>
            </w:pPr>
            <w:r>
              <w:t xml:space="preserve">FR-ADM-002, FR-ADM-003</w:t>
            </w:r>
          </w:p>
        </w:tc>
      </w:tr>
      <w:tr>
        <w:tc>
          <w:tcPr/>
          <w:p>
            <w:pPr>
              <w:pStyle w:val="Compact"/>
            </w:pPr>
            <w:r>
              <w:t xml:space="preserve">Payroll records with PAYE and NSSF calculations</w:t>
            </w:r>
          </w:p>
        </w:tc>
        <w:tc>
          <w:tcPr/>
          <w:p>
            <w:pPr>
              <w:pStyle w:val="Compact"/>
            </w:pPr>
            <w:r>
              <w:t xml:space="preserve">Locked, immutable payroll runs per period; exportable</w:t>
            </w:r>
          </w:p>
        </w:tc>
        <w:tc>
          <w:tcPr/>
          <w:p>
            <w:pPr>
              <w:pStyle w:val="Compact"/>
            </w:pPr>
            <w:r>
              <w:t xml:space="preserve">FR-PAY-007</w:t>
            </w:r>
          </w:p>
        </w:tc>
      </w:tr>
      <w:tr>
        <w:tc>
          <w:tcPr/>
          <w:p>
            <w:pPr>
              <w:pStyle w:val="Compact"/>
            </w:pPr>
            <w:r>
              <w:t xml:space="preserve">Any individual transaction audit trail</w:t>
            </w:r>
          </w:p>
        </w:tc>
        <w:tc>
          <w:tcPr/>
          <w:p>
            <w:pPr>
              <w:pStyle w:val="Compact"/>
            </w:pPr>
            <w:r>
              <w:t xml:space="preserve">Audit log searchable by user, action, date, and table; results within ≤ 5 seconds</w:t>
            </w:r>
          </w:p>
        </w:tc>
        <w:tc>
          <w:tcPr/>
          <w:p>
            <w:pPr>
              <w:pStyle w:val="Compact"/>
            </w:pPr>
            <w:r>
              <w:t xml:space="preserve">FR-SYS-003</w:t>
            </w:r>
          </w:p>
        </w:tc>
      </w:tr>
      <w:tr>
        <w:tc>
          <w:tcPr/>
          <w:p>
            <w:pPr>
              <w:pStyle w:val="Compact"/>
            </w:pPr>
            <w:r>
              <w:t xml:space="preserve">7-year record completeness</w:t>
            </w:r>
          </w:p>
        </w:tc>
        <w:tc>
          <w:tcPr/>
          <w:p>
            <w:pPr>
              <w:pStyle w:val="Compact"/>
            </w:pPr>
            <w:r>
              <w:t xml:space="preserve">Retention enforcement; no gaps; hash chain verifiable</w:t>
            </w:r>
          </w:p>
        </w:tc>
        <w:tc>
          <w:tcPr/>
          <w:p>
            <w:pPr>
              <w:pStyle w:val="Compact"/>
            </w:pPr>
            <w:r>
              <w:t xml:space="preserve">FR-SYS-004, FR-FIN-007</w:t>
            </w:r>
          </w:p>
        </w:tc>
      </w:tr>
    </w:tbl>
    <w:p>
      <w:pPr>
        <w:pStyle w:val="BodyText"/>
      </w:pPr>
      <w:r>
        <w:t xml:space="preserve">The system eliminates the manual reconciliation exercise that typically requires weeks of staff time before an OAG audit. The Finance Director can hand the audit team direct read-only access to the relevant reports with confidence that no manual compilation is necessary.</w:t>
      </w:r>
    </w:p>
    <w:bookmarkEnd w:id="72"/>
    <w:bookmarkStart w:id="73" w:name="Xc047fa5a1b23024f70735360ce559e354d8d0fd"/>
    <w:p>
      <w:pPr>
        <w:pStyle w:val="Heading3"/>
      </w:pPr>
      <w:r>
        <w:t xml:space="preserve">5.4.3 Audit Trail Exportability</w:t>
      </w:r>
    </w:p>
    <w:p>
      <w:pPr>
        <w:pStyle w:val="FirstParagraph"/>
      </w:pPr>
      <w:r>
        <w:t xml:space="preserve">FR-SYS-003 provides a searchable audit trail with results returned within ≤ 5 seconds for any 30-day period queried. The audit trail is exportable to Excel and PDF. The OAG team can query by:</w:t>
      </w:r>
    </w:p>
    <w:p>
      <w:pPr>
        <w:pStyle w:val="Compact"/>
        <w:numPr>
          <w:ilvl w:val="0"/>
          <w:numId w:val="1009"/>
        </w:numPr>
      </w:pPr>
      <w:r>
        <w:t xml:space="preserve">User identity (who took the action)</w:t>
      </w:r>
    </w:p>
    <w:p>
      <w:pPr>
        <w:pStyle w:val="Compact"/>
        <w:numPr>
          <w:ilvl w:val="0"/>
          <w:numId w:val="1009"/>
        </w:numPr>
      </w:pPr>
      <w:r>
        <w:t xml:space="preserve">Action type (create, approve, post, void, delete)</w:t>
      </w:r>
    </w:p>
    <w:p>
      <w:pPr>
        <w:pStyle w:val="Compact"/>
        <w:numPr>
          <w:ilvl w:val="0"/>
          <w:numId w:val="1009"/>
        </w:numPr>
      </w:pPr>
      <w:r>
        <w:t xml:space="preserve">Date range (any period within the 7-year retention window)</w:t>
      </w:r>
    </w:p>
    <w:p>
      <w:pPr>
        <w:pStyle w:val="Compact"/>
        <w:numPr>
          <w:ilvl w:val="0"/>
          <w:numId w:val="1009"/>
        </w:numPr>
      </w:pPr>
      <w:r>
        <w:t xml:space="preserve">Module (GL, Procurement, Payroll, etc.)</w:t>
      </w:r>
    </w:p>
    <w:p>
      <w:pPr>
        <w:pStyle w:val="Compact"/>
        <w:numPr>
          <w:ilvl w:val="0"/>
          <w:numId w:val="1009"/>
        </w:numPr>
      </w:pPr>
      <w:r>
        <w:t xml:space="preserve">Specific transaction identifier</w:t>
      </w:r>
    </w:p>
    <w:bookmarkEnd w:id="73"/>
    <w:bookmarkEnd w:id="74"/>
    <w:bookmarkEnd w:id="7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Regulatory Compliance Document — BIRDC ERP</dc:title>
  <dc:creator>Peter Bamuhigire, ICT Consultant (techguypeter.com) for PIBID/BIRDC</dc:creator>
  <cp:keywords/>
  <dcterms:created xsi:type="dcterms:W3CDTF">2026-04-05T16:59:02Z</dcterms:created>
  <dcterms:modified xsi:type="dcterms:W3CDTF">2026-04-05T16:59:02Z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Final Draft — Pending Legal Review for DPPA Section</vt:lpwstr>
  </property>
  <property fmtid="{D5CDD505-2E9C-101B-9397-08002B2CF9AE}" pid="4" name="subtitle">
    <vt:lpwstr>Uganda Statutory and International Standards Compliance Analysis</vt:lpwstr>
  </property>
  <property fmtid="{D5CDD505-2E9C-101B-9397-08002B2CF9AE}" pid="5" name="version">
    <vt:lpwstr>1.0</vt:lpwstr>
  </property>
</Properties>
</file>