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 Management Procedure — BIRDC ERP</w:t>
      </w:r>
    </w:p>
    <w:p>
      <w:pPr>
        <w:pStyle w:val="Subtitle"/>
      </w:pPr>
      <w:r>
        <w:t xml:space="preserve">Prepared by Peter Bamuhigire, ICT Consultant (techguypeter.com) for PIBID/BIRDC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change-management-procedure--birdc-erp"/>
    <w:p>
      <w:pPr>
        <w:pStyle w:val="Heading1"/>
      </w:pPr>
      <w:r>
        <w:t xml:space="preserve">Change Management Procedure — BIRDC ERP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Peter Bamuhigire, ICT Consultant (techguypeter.com) for PIBID/BIRDC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2026-04-05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 — Effective from Phase 7 Go-Live</w:t>
      </w:r>
    </w:p>
    <w:p>
      <w:r>
        <w:pict>
          <v:rect style="width:0;height:1.5pt" o:hralign="center" o:hrstd="t" o:hr="t"/>
        </w:pict>
      </w:r>
    </w:p>
    <w:bookmarkStart w:id="21" w:name="X4666c8db187a468bd7c4d1efd69e1ca31a62544"/>
    <w:p>
      <w:pPr>
        <w:pStyle w:val="Heading2"/>
      </w:pPr>
      <w:r>
        <w:t xml:space="preserve">1. Purpose and Scope</w:t>
      </w:r>
    </w:p>
    <w:bookmarkStart w:id="19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procedure governs all changes to the BIRDC ERP system following initial go-live (Phase 7 complete). It establishes a formal, auditable process that:</w:t>
      </w:r>
    </w:p>
    <w:p>
      <w:pPr>
        <w:pStyle w:val="Compact"/>
        <w:numPr>
          <w:ilvl w:val="0"/>
          <w:numId w:val="1001"/>
        </w:numPr>
      </w:pPr>
      <w:r>
        <w:t xml:space="preserve">Protects the integrity of financial data and audit trails (DC-003).</w:t>
      </w:r>
    </w:p>
    <w:p>
      <w:pPr>
        <w:pStyle w:val="Compact"/>
        <w:numPr>
          <w:ilvl w:val="0"/>
          <w:numId w:val="1001"/>
        </w:numPr>
      </w:pPr>
      <w:r>
        <w:t xml:space="preserve">Ensures every change is classified, approved, tested, and documented before deployment to production.</w:t>
      </w:r>
    </w:p>
    <w:p>
      <w:pPr>
        <w:pStyle w:val="Compact"/>
        <w:numPr>
          <w:ilvl w:val="0"/>
          <w:numId w:val="1001"/>
        </w:numPr>
      </w:pPr>
      <w:r>
        <w:t xml:space="preserve">Provides a written record satisfying Uganda Companies Act 7-year retention requirements and OAG Uganda audit readiness requirements.</w:t>
      </w:r>
    </w:p>
    <w:p>
      <w:pPr>
        <w:pStyle w:val="Compact"/>
        <w:numPr>
          <w:ilvl w:val="0"/>
          <w:numId w:val="1001"/>
        </w:numPr>
      </w:pPr>
      <w:r>
        <w:t xml:space="preserve">Protects both BIRDC/PIBID and Peter Bamuhigire (Consultant) by ensuring no undocumented changes are made to the production system.</w:t>
      </w:r>
    </w:p>
    <w:bookmarkEnd w:id="19"/>
    <w:bookmarkStart w:id="20" w:name="X3378fde8998068a01e48267892e5cd923e9bc15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procedure applies to all changes to the BIRDC ERP after Phase 7 go-live, including:</w:t>
      </w:r>
    </w:p>
    <w:p>
      <w:pPr>
        <w:pStyle w:val="Compact"/>
        <w:numPr>
          <w:ilvl w:val="0"/>
          <w:numId w:val="1002"/>
        </w:numPr>
      </w:pPr>
      <w:r>
        <w:t xml:space="preserve">Software changes (PHP application code, SQL stored procedures, JavaScript)</w:t>
      </w:r>
    </w:p>
    <w:p>
      <w:pPr>
        <w:pStyle w:val="Compact"/>
        <w:numPr>
          <w:ilvl w:val="0"/>
          <w:numId w:val="1002"/>
        </w:numPr>
      </w:pPr>
      <w:r>
        <w:t xml:space="preserve">Database schema changes (table additions, column modifications, index changes)</w:t>
      </w:r>
    </w:p>
    <w:p>
      <w:pPr>
        <w:pStyle w:val="Compact"/>
        <w:numPr>
          <w:ilvl w:val="0"/>
          <w:numId w:val="1002"/>
        </w:numPr>
      </w:pPr>
      <w:r>
        <w:t xml:space="preserve">Configuration changes (PAYE/NSSF bands, PPDA thresholds, price lists, commission rates, EFRIS API settings)</w:t>
      </w:r>
    </w:p>
    <w:p>
      <w:pPr>
        <w:pStyle w:val="Compact"/>
        <w:numPr>
          <w:ilvl w:val="0"/>
          <w:numId w:val="1002"/>
        </w:numPr>
      </w:pPr>
      <w:r>
        <w:t xml:space="preserve">Integration changes (EFRIS API, MTN MoMo API, Airtel Money API, ZKTeco biometric integration)</w:t>
      </w:r>
    </w:p>
    <w:p>
      <w:pPr>
        <w:pStyle w:val="Compact"/>
        <w:numPr>
          <w:ilvl w:val="0"/>
          <w:numId w:val="1002"/>
        </w:numPr>
      </w:pPr>
      <w:r>
        <w:t xml:space="preserve">Security patches and vulnerability remediations</w:t>
      </w:r>
    </w:p>
    <w:p>
      <w:pPr>
        <w:pStyle w:val="Compact"/>
        <w:numPr>
          <w:ilvl w:val="0"/>
          <w:numId w:val="1002"/>
        </w:numPr>
      </w:pPr>
      <w:r>
        <w:t xml:space="preserve">New feature development and module additions</w:t>
      </w:r>
    </w:p>
    <w:p>
      <w:pPr>
        <w:pStyle w:val="Compact"/>
        <w:numPr>
          <w:ilvl w:val="0"/>
          <w:numId w:val="1002"/>
        </w:numPr>
      </w:pPr>
      <w:r>
        <w:t xml:space="preserve">Report template changes</w:t>
      </w:r>
    </w:p>
    <w:p>
      <w:pPr>
        <w:pStyle w:val="FirstParagraph"/>
      </w:pPr>
      <w:r>
        <w:t xml:space="preserve">This procedure does not apply to routine data entry operations performed by BIRDC staff using the ERP's normal user interface.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916c519c0219dfbd46190868532cbfc00e41f93"/>
    <w:p>
      <w:pPr>
        <w:pStyle w:val="Heading2"/>
      </w:pPr>
      <w:r>
        <w:t xml:space="preserve">2. Change Classification</w:t>
      </w:r>
    </w:p>
    <w:p>
      <w:pPr>
        <w:pStyle w:val="FirstParagraph"/>
      </w:pPr>
      <w:r>
        <w:t xml:space="preserve">All changes are classified into 1 of 4 classes at the impact assessment stage (Section 3, Step 3). The class determines approval authority and maximum permissible turnaround time.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Approval Authority</w:t>
            </w:r>
          </w:p>
        </w:tc>
        <w:tc>
          <w:tcPr/>
          <w:p>
            <w:pPr>
              <w:pStyle w:val="Compact"/>
            </w:pPr>
            <w:r>
              <w:t xml:space="preserve">Max Turnaround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System is down, data integrity is at risk, or a regulatory API breaking change prevents legally required transactions from completing</w:t>
            </w:r>
          </w:p>
        </w:tc>
        <w:tc>
          <w:tcPr/>
          <w:p>
            <w:pPr>
              <w:pStyle w:val="Compact"/>
            </w:pPr>
            <w:r>
              <w:t xml:space="preserve">Security patch for active exploitation; EFRIS API version update that breaks invoice submission; critical bug causing incorrect financial calculations</w:t>
            </w:r>
          </w:p>
        </w:tc>
        <w:tc>
          <w:tcPr/>
          <w:p>
            <w:pPr>
              <w:pStyle w:val="Compact"/>
            </w:pPr>
            <w:r>
              <w:t xml:space="preserve">Peter Bamuhigire alone</w:t>
            </w:r>
          </w:p>
        </w:tc>
        <w:tc>
          <w:tcPr/>
          <w:p>
            <w:pPr>
              <w:pStyle w:val="Compact"/>
            </w:pPr>
            <w:r>
              <w:t xml:space="preserve">4 hours to production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 business-critical function is affected or a regulatory rate/threshold change requires a system update</w:t>
            </w:r>
          </w:p>
        </w:tc>
        <w:tc>
          <w:tcPr/>
          <w:p>
            <w:pPr>
              <w:pStyle w:val="Compact"/>
            </w:pPr>
            <w:r>
              <w:t xml:space="preserve">PAYE band update following URA publication; NSSF rate change; PPDA procurement threshold adjustment; bug preventing payroll from running</w:t>
            </w:r>
          </w:p>
        </w:tc>
        <w:tc>
          <w:tcPr/>
          <w:p>
            <w:pPr>
              <w:pStyle w:val="Compact"/>
            </w:pPr>
            <w:r>
              <w:t xml:space="preserve">Peter Bamuhigire + Finance Director (STK-002)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Non-critical enhancement, functional improvement, or bug affecting a non-critical workflow</w:t>
            </w:r>
          </w:p>
        </w:tc>
        <w:tc>
          <w:tcPr/>
          <w:p>
            <w:pPr>
              <w:pStyle w:val="Compact"/>
            </w:pPr>
            <w:r>
              <w:t xml:space="preserve">Report format modification; new export market CoA template; UI workflow improvement; non-critical data fix</w:t>
            </w:r>
          </w:p>
        </w:tc>
        <w:tc>
          <w:tcPr/>
          <w:p>
            <w:pPr>
              <w:pStyle w:val="Compact"/>
            </w:pPr>
            <w:r>
              <w:t xml:space="preserve">Peter Bamuhigire + relevant module owner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Cosmetic change, documentation update, or low-risk configuration update</w:t>
            </w:r>
          </w:p>
        </w:tc>
        <w:tc>
          <w:tcPr/>
          <w:p>
            <w:pPr>
              <w:pStyle w:val="Compact"/>
            </w:pPr>
            <w:r>
              <w:t xml:space="preserve">Field label text change; email notification template wording; colour or layout adjustment; help text update</w:t>
            </w:r>
          </w:p>
        </w:tc>
        <w:tc>
          <w:tcPr/>
          <w:p>
            <w:pPr>
              <w:pStyle w:val="Compact"/>
            </w:pPr>
            <w:r>
              <w:t xml:space="preserve">Peter Bamuhigire alone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52122227e52d5d21fa0d895c5034c5bcc04283c"/>
    <w:p>
      <w:pPr>
        <w:pStyle w:val="Heading2"/>
      </w:pPr>
      <w:r>
        <w:t xml:space="preserve">3. Change Request Process</w:t>
      </w:r>
    </w:p>
    <w:p>
      <w:pPr>
        <w:pStyle w:val="FirstParagraph"/>
      </w:pPr>
      <w:r>
        <w:t xml:space="preserve">All approved changes follow the steps below in sequence. No step may be skipped. Steps 3 and 4 may run in parallel where the module owner and Finance Director are different stakeholders.</w:t>
      </w:r>
    </w:p>
    <w:p>
      <w:pPr>
        <w:numPr>
          <w:ilvl w:val="0"/>
          <w:numId w:val="1003"/>
        </w:numPr>
      </w:pPr>
      <w:r>
        <w:t xml:space="preserve">The requestor submits a completed Change Request (CR) form to Peter Bamuhigire by email or via the CR form template in Section 9 (Appendix). Verbal requests are not accepted (see Section 4).</w:t>
      </w:r>
    </w:p>
    <w:p>
      <w:pPr>
        <w:numPr>
          <w:ilvl w:val="0"/>
          <w:numId w:val="1003"/>
        </w:numPr>
      </w:pPr>
      <w:r>
        <w:t xml:space="preserve">Peter Bamuhigire logs the CR in the change register (Section 6) and assigns a unique</w:t>
      </w:r>
      <w:r>
        <w:t xml:space="preserve"> </w:t>
      </w:r>
      <w:r>
        <w:rPr>
          <w:b/>
          <w:bCs/>
        </w:rPr>
        <w:t xml:space="preserve">CR-ID</w:t>
      </w:r>
      <w:r>
        <w:t xml:space="preserve"> </w:t>
      </w:r>
      <w:r>
        <w:t xml:space="preserve">in the format</w:t>
      </w:r>
      <w:r>
        <w:t xml:space="preserve"> </w:t>
      </w:r>
      <w:r>
        <w:rPr>
          <w:rStyle w:val="VerbatimChar"/>
        </w:rPr>
        <w:t xml:space="preserve">CR-YYYYMMDD-NNN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CR-20260715-001</w:t>
      </w:r>
      <w:r>
        <w:t xml:space="preserve">). The CR-ID is communicated to the requestor by return email within 1 business day.</w:t>
      </w:r>
    </w:p>
    <w:p>
      <w:pPr>
        <w:numPr>
          <w:ilvl w:val="0"/>
          <w:numId w:val="1003"/>
        </w:numPr>
      </w:pPr>
      <w:r>
        <w:t xml:space="preserve">Peter Bamuhigire performs an impact assessment covering:</w:t>
      </w:r>
    </w:p>
    <w:p>
      <w:pPr>
        <w:pStyle w:val="Compact"/>
        <w:numPr>
          <w:ilvl w:val="1"/>
          <w:numId w:val="1004"/>
        </w:numPr>
      </w:pPr>
      <w:r>
        <w:t xml:space="preserve">Affected ERP modules and functional requirements</w:t>
      </w:r>
    </w:p>
    <w:p>
      <w:pPr>
        <w:pStyle w:val="Compact"/>
        <w:numPr>
          <w:ilvl w:val="1"/>
          <w:numId w:val="1004"/>
        </w:numPr>
      </w:pPr>
      <w:r>
        <w:t xml:space="preserve">Affected database tables and schema changes required</w:t>
      </w:r>
    </w:p>
    <w:p>
      <w:pPr>
        <w:pStyle w:val="Compact"/>
        <w:numPr>
          <w:ilvl w:val="1"/>
          <w:numId w:val="1004"/>
        </w:numPr>
      </w:pPr>
      <w:r>
        <w:t xml:space="preserve">Affected test cases that must be re-executed</w:t>
      </w:r>
    </w:p>
    <w:p>
      <w:pPr>
        <w:pStyle w:val="Compact"/>
        <w:numPr>
          <w:ilvl w:val="1"/>
          <w:numId w:val="1004"/>
        </w:numPr>
      </w:pPr>
      <w:r>
        <w:t xml:space="preserve">Impact on EFRIS, MTN MoMo, or Airtel Money integrations</w:t>
      </w:r>
    </w:p>
    <w:p>
      <w:pPr>
        <w:pStyle w:val="Compact"/>
        <w:numPr>
          <w:ilvl w:val="1"/>
          <w:numId w:val="1004"/>
        </w:numPr>
      </w:pPr>
      <w:r>
        <w:t xml:space="preserve">DPPA implications: does the change affect personal data or special personal data held in the system? If yes, document the lawful basis.</w:t>
      </w:r>
    </w:p>
    <w:p>
      <w:pPr>
        <w:pStyle w:val="Compact"/>
        <w:numPr>
          <w:ilvl w:val="1"/>
          <w:numId w:val="1004"/>
        </w:numPr>
      </w:pPr>
      <w:r>
        <w:t xml:space="preserve">GL auto-posting logic: does the change alter any financial calculation or journal entry?</w:t>
      </w:r>
    </w:p>
    <w:p>
      <w:pPr>
        <w:numPr>
          <w:ilvl w:val="0"/>
          <w:numId w:val="1003"/>
        </w:numPr>
      </w:pPr>
      <w:r>
        <w:t xml:space="preserve">The impact assessment is shared with the relevant approval authority:</w:t>
      </w:r>
    </w:p>
    <w:p>
      <w:pPr>
        <w:pStyle w:val="Compact"/>
        <w:numPr>
          <w:ilvl w:val="1"/>
          <w:numId w:val="1005"/>
        </w:numPr>
      </w:pPr>
      <w:r>
        <w:t xml:space="preserve">Finance Director (STK-002) for any change affecting the GL, financial statements, payroll, AR, AP, or budget modules.</w:t>
      </w:r>
    </w:p>
    <w:p>
      <w:pPr>
        <w:pStyle w:val="Compact"/>
        <w:numPr>
          <w:ilvl w:val="1"/>
          <w:numId w:val="1005"/>
        </w:numPr>
      </w:pPr>
      <w:r>
        <w:t xml:space="preserve">Procurement Manager (STK-007) for PPDA threshold or procurement workflow changes.</w:t>
      </w:r>
    </w:p>
    <w:p>
      <w:pPr>
        <w:pStyle w:val="Compact"/>
        <w:numPr>
          <w:ilvl w:val="1"/>
          <w:numId w:val="1005"/>
        </w:numPr>
      </w:pPr>
      <w:r>
        <w:t xml:space="preserve">Relevant department head for module-specific Standard changes.</w:t>
      </w:r>
    </w:p>
    <w:p>
      <w:pPr>
        <w:numPr>
          <w:ilvl w:val="0"/>
          <w:numId w:val="1003"/>
        </w:numPr>
      </w:pPr>
      <w:r>
        <w:t xml:space="preserve">The change is classified (Section 2) and the approval authority issues written approval or rejection. A written rejection must state the reason. Rejection closes the CR without further action; the requestor is notified.</w:t>
      </w:r>
    </w:p>
    <w:p>
      <w:pPr>
        <w:numPr>
          <w:ilvl w:val="0"/>
          <w:numId w:val="1003"/>
        </w:numPr>
      </w:pPr>
      <w:r>
        <w:t xml:space="preserve">If approved, the implementation sequence is:</w:t>
      </w:r>
    </w:p>
    <w:p>
      <w:pPr>
        <w:pStyle w:val="Compact"/>
        <w:numPr>
          <w:ilvl w:val="1"/>
          <w:numId w:val="1006"/>
        </w:numPr>
      </w:pPr>
      <w:r>
        <w:t xml:space="preserve">Develop the change on the development environment.</w:t>
      </w:r>
    </w:p>
    <w:p>
      <w:pPr>
        <w:pStyle w:val="Compact"/>
        <w:numPr>
          <w:ilvl w:val="1"/>
          <w:numId w:val="1006"/>
        </w:numPr>
      </w:pPr>
      <w:r>
        <w:t xml:space="preserve">Deploy to the staging environment and execute all relevant test cases.</w:t>
      </w:r>
    </w:p>
    <w:p>
      <w:pPr>
        <w:pStyle w:val="Compact"/>
        <w:numPr>
          <w:ilvl w:val="1"/>
          <w:numId w:val="1006"/>
        </w:numPr>
      </w:pPr>
      <w:r>
        <w:t xml:space="preserve">Conduct User Acceptance Testing (UAT) with the relevant module owner.</w:t>
      </w:r>
    </w:p>
    <w:p>
      <w:pPr>
        <w:pStyle w:val="Compact"/>
        <w:numPr>
          <w:ilvl w:val="1"/>
          <w:numId w:val="1006"/>
        </w:numPr>
      </w:pPr>
      <w:r>
        <w:t xml:space="preserve">Obtain written UAT sign-off from the module owner.</w:t>
      </w:r>
    </w:p>
    <w:p>
      <w:pPr>
        <w:pStyle w:val="Compact"/>
        <w:numPr>
          <w:ilvl w:val="1"/>
          <w:numId w:val="1006"/>
        </w:numPr>
      </w:pPr>
      <w:r>
        <w:t xml:space="preserve">Deploy to production during a scheduled maintenance window.</w:t>
      </w:r>
    </w:p>
    <w:p>
      <w:pPr>
        <w:pStyle w:val="Compact"/>
        <w:numPr>
          <w:ilvl w:val="1"/>
          <w:numId w:val="1006"/>
        </w:numPr>
      </w:pPr>
      <w:r>
        <w:t xml:space="preserve">Verify the change in production — confirm expected behaviour and confirm no regressions in related modules.</w:t>
      </w:r>
    </w:p>
    <w:p>
      <w:pPr>
        <w:numPr>
          <w:ilvl w:val="0"/>
          <w:numId w:val="1003"/>
        </w:numPr>
      </w:pPr>
      <w:r>
        <w:t xml:space="preserve">The change register is updated with: deployment date, ERP version number after the change (Section 7), and the name of the person who verified the production deployment.</w:t>
      </w:r>
    </w:p>
    <w:p>
      <w:pPr>
        <w:numPr>
          <w:ilvl w:val="0"/>
          <w:numId w:val="1003"/>
        </w:numPr>
      </w:pPr>
      <w:r>
        <w:t xml:space="preserve">All documentation affected by the change is updated to reflect the new behaviour. This includes, as applicable: the Software Requirements Specification, Low-Level Design, API Specification, Database Design Document, and User Manuals.</w:t>
      </w:r>
    </w:p>
    <w:p>
      <w:pPr>
        <w:numPr>
          <w:ilvl w:val="0"/>
          <w:numId w:val="1003"/>
        </w:numPr>
      </w:pPr>
      <w:r>
        <w:t xml:space="preserve">Relevant BIRDC staff are notified of the change. If the change alters a workflow that staff perform daily, Peter Bamuhigire delivers a brief retraining session (in person or by video call) before the production deployment.</w:t>
      </w:r>
    </w:p>
    <w:p>
      <w:r>
        <w:pict>
          <v:rect style="width:0;height:1.5pt" o:hralign="center" o:hrstd="t" o:hr="t"/>
        </w:pict>
      </w:r>
    </w:p>
    <w:bookmarkEnd w:id="23"/>
    <w:bookmarkStart w:id="24" w:name="Xe28cdaaff498fd88114d56232acb705ab165100"/>
    <w:p>
      <w:pPr>
        <w:pStyle w:val="Heading2"/>
      </w:pPr>
      <w:r>
        <w:t xml:space="preserve">4. No-Verbal-Change-Orders Rule</w:t>
      </w:r>
    </w:p>
    <w:p>
      <w:pPr>
        <w:pStyle w:val="FirstParagraph"/>
      </w:pPr>
      <w:r>
        <w:t xml:space="preserve">All change requests must be submitted in writing — by email or using the CR form in Section 9. Verbal instructions from any stakeholder, including the BIRDC Director (STK-001), shall not be acted upon without a written CR logged in the change register.</w:t>
      </w:r>
    </w:p>
    <w:p>
      <w:pPr>
        <w:pStyle w:val="BodyText"/>
      </w:pPr>
      <w:r>
        <w:t xml:space="preserve">This rule:</w:t>
      </w:r>
    </w:p>
    <w:p>
      <w:pPr>
        <w:pStyle w:val="Compact"/>
        <w:numPr>
          <w:ilvl w:val="0"/>
          <w:numId w:val="1007"/>
        </w:numPr>
      </w:pPr>
      <w:r>
        <w:t xml:space="preserve">Protects BIRDC from undocumented changes that cannot be audited by OAG Uganda.</w:t>
      </w:r>
    </w:p>
    <w:p>
      <w:pPr>
        <w:pStyle w:val="Compact"/>
        <w:numPr>
          <w:ilvl w:val="0"/>
          <w:numId w:val="1007"/>
        </w:numPr>
      </w:pPr>
      <w:r>
        <w:t xml:space="preserve">Protects Peter Bamuhigire as consultant from scope creep and undocumented liability.</w:t>
      </w:r>
    </w:p>
    <w:p>
      <w:pPr>
        <w:pStyle w:val="Compact"/>
        <w:numPr>
          <w:ilvl w:val="0"/>
          <w:numId w:val="1007"/>
        </w:numPr>
      </w:pPr>
      <w:r>
        <w:t xml:space="preserve">Ensures every production change has a traceable approval chain.</w:t>
      </w:r>
    </w:p>
    <w:p>
      <w:pPr>
        <w:pStyle w:val="FirstParagraph"/>
      </w:pPr>
      <w:r>
        <w:t xml:space="preserve">If a stakeholder gives a verbal instruction, Peter Bamuhigire will respond: "Please submit a Change Request form and I will process it under the standard procedure." No exception exists to this rule, including under time pressure.</w:t>
      </w:r>
    </w:p>
    <w:p>
      <w:r>
        <w:pict>
          <v:rect style="width:0;height:1.5pt" o:hralign="center" o:hrstd="t" o:hr="t"/>
        </w:pict>
      </w:r>
    </w:p>
    <w:bookmarkEnd w:id="24"/>
    <w:bookmarkStart w:id="25" w:name="X380963c4218a72b6fa96ed9d8e490b6f8faf9e2"/>
    <w:p>
      <w:pPr>
        <w:pStyle w:val="Heading2"/>
      </w:pPr>
      <w:r>
        <w:t xml:space="preserve">5. Emergency Change Protocol</w:t>
      </w:r>
    </w:p>
    <w:p>
      <w:pPr>
        <w:pStyle w:val="FirstParagraph"/>
      </w:pPr>
      <w:r>
        <w:t xml:space="preserve">When a change meets the Emergency classification (system down, data integrity at risk, or a regulatory API breaking change preventing legally required transactions), the standard approval sequence in Section 3 is compressed as follows:</w:t>
      </w:r>
    </w:p>
    <w:p>
      <w:pPr>
        <w:pStyle w:val="Compact"/>
        <w:numPr>
          <w:ilvl w:val="0"/>
          <w:numId w:val="1008"/>
        </w:numPr>
      </w:pPr>
      <w:r>
        <w:t xml:space="preserve">Peter Bamuhigire may implement and deploy the change immediately to production without waiting for prior written approval.</w:t>
      </w:r>
    </w:p>
    <w:p>
      <w:pPr>
        <w:pStyle w:val="Compact"/>
        <w:numPr>
          <w:ilvl w:val="0"/>
          <w:numId w:val="1008"/>
        </w:numPr>
      </w:pPr>
      <w:r>
        <w:t xml:space="preserve">Within 1 hour of production deployment, Peter Bamuhigire must:</w:t>
      </w:r>
    </w:p>
    <w:p>
      <w:pPr>
        <w:pStyle w:val="Compact"/>
        <w:numPr>
          <w:ilvl w:val="1"/>
          <w:numId w:val="1009"/>
        </w:numPr>
      </w:pPr>
      <w:r>
        <w:t xml:space="preserve">Log the CR in the change register with class "Emergency" and a description of the issue and the fix applied.</w:t>
      </w:r>
    </w:p>
    <w:p>
      <w:pPr>
        <w:pStyle w:val="Compact"/>
        <w:numPr>
          <w:ilvl w:val="1"/>
          <w:numId w:val="1009"/>
        </w:numPr>
      </w:pPr>
      <w:r>
        <w:t xml:space="preserve">Notify the Finance Director (STK-002) by both phone call and email, describing the issue and the action taken.</w:t>
      </w:r>
    </w:p>
    <w:p>
      <w:pPr>
        <w:pStyle w:val="Compact"/>
        <w:numPr>
          <w:ilvl w:val="0"/>
          <w:numId w:val="1008"/>
        </w:numPr>
      </w:pPr>
      <w:r>
        <w:t xml:space="preserve">Within 24 hours of production deployment, Peter Bamuhigire must produce full impact documentation (affected modules, tables changed, test cases executed, verification results).</w:t>
      </w:r>
    </w:p>
    <w:p>
      <w:pPr>
        <w:pStyle w:val="Compact"/>
        <w:numPr>
          <w:ilvl w:val="0"/>
          <w:numId w:val="1008"/>
        </w:numPr>
      </w:pPr>
      <w:r>
        <w:t xml:space="preserve">Within 3 business days of the emergency deployment, Peter Bamuhigire and the Finance Director conduct a post-change review to confirm:</w:t>
      </w:r>
    </w:p>
    <w:p>
      <w:pPr>
        <w:pStyle w:val="Compact"/>
        <w:numPr>
          <w:ilvl w:val="1"/>
          <w:numId w:val="1010"/>
        </w:numPr>
      </w:pPr>
      <w:r>
        <w:t xml:space="preserve">The root cause is identified.</w:t>
      </w:r>
    </w:p>
    <w:p>
      <w:pPr>
        <w:pStyle w:val="Compact"/>
        <w:numPr>
          <w:ilvl w:val="1"/>
          <w:numId w:val="1010"/>
        </w:numPr>
      </w:pPr>
      <w:r>
        <w:t xml:space="preserve">The fix is permanent (not a temporary workaround requiring a follow-up Standard change).</w:t>
      </w:r>
    </w:p>
    <w:p>
      <w:pPr>
        <w:pStyle w:val="Compact"/>
        <w:numPr>
          <w:ilvl w:val="1"/>
          <w:numId w:val="1010"/>
        </w:numPr>
      </w:pPr>
      <w:r>
        <w:t xml:space="preserve">No financial data was affected; or, if affected, that the correct data has been restored.</w:t>
      </w:r>
    </w:p>
    <w:p>
      <w:pPr>
        <w:pStyle w:val="Compact"/>
        <w:numPr>
          <w:ilvl w:val="0"/>
          <w:numId w:val="1008"/>
        </w:numPr>
      </w:pPr>
      <w:r>
        <w:t xml:space="preserve">The post-change review outcome is recorded in the change register.</w:t>
      </w:r>
    </w:p>
    <w:p>
      <w:r>
        <w:pict>
          <v:rect style="width:0;height:1.5pt" o:hralign="center" o:hrstd="t" o:hr="t"/>
        </w:pict>
      </w:r>
    </w:p>
    <w:bookmarkEnd w:id="25"/>
    <w:bookmarkStart w:id="26" w:name="Xb05d60ee1de90a190a33e454a6671016528cfcd"/>
    <w:p>
      <w:pPr>
        <w:pStyle w:val="Heading2"/>
      </w:pPr>
      <w:r>
        <w:t xml:space="preserve">6. Change Register Schema</w:t>
      </w:r>
    </w:p>
    <w:p>
      <w:pPr>
        <w:pStyle w:val="FirstParagraph"/>
      </w:pPr>
      <w:r>
        <w:t xml:space="preserve">The change register is a living document maintained by Peter Bamuhigire. It is made available to the Finance Director and IT Administrator (STK-003) on request. The register contains 1 row per CR with the following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CR-ID</w:t>
            </w:r>
          </w:p>
        </w:tc>
        <w:tc>
          <w:tcPr/>
          <w:p>
            <w:pPr>
              <w:pStyle w:val="Compact"/>
            </w:pPr>
            <w:r>
              <w:t xml:space="preserve">Unique identifier in format</w:t>
            </w:r>
            <w:r>
              <w:t xml:space="preserve"> </w:t>
            </w:r>
            <w:r>
              <w:rPr>
                <w:rStyle w:val="VerbatimChar"/>
              </w:rPr>
              <w:t xml:space="preserve">CR-YYYYMMDD-NNN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Submitted</w:t>
            </w:r>
          </w:p>
        </w:tc>
        <w:tc>
          <w:tcPr/>
          <w:p>
            <w:pPr>
              <w:pStyle w:val="Compact"/>
            </w:pPr>
            <w:r>
              <w:t xml:space="preserve">Date the CR form was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Requestor</w:t>
            </w:r>
          </w:p>
        </w:tc>
        <w:tc>
          <w:tcPr/>
          <w:p>
            <w:pPr>
              <w:pStyle w:val="Compact"/>
            </w:pPr>
            <w:r>
              <w:t xml:space="preserve">Name and role of the person requesting the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One-sentence summary of the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Emergency / High / Standard / Minor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Modules</w:t>
            </w:r>
          </w:p>
        </w:tc>
        <w:tc>
          <w:tcPr/>
          <w:p>
            <w:pPr>
              <w:pStyle w:val="Compact"/>
            </w:pPr>
            <w:r>
              <w:t xml:space="preserve">Comma-separated list of ERP module codes (e.g., F-005, F-006)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Authority</w:t>
            </w:r>
          </w:p>
        </w:tc>
        <w:tc>
          <w:tcPr/>
          <w:p>
            <w:pPr>
              <w:pStyle w:val="Compact"/>
            </w:pPr>
            <w:r>
              <w:t xml:space="preserve">Name and role of approving stakeholder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/ Rejected Date</w:t>
            </w:r>
          </w:p>
        </w:tc>
        <w:tc>
          <w:tcPr/>
          <w:p>
            <w:pPr>
              <w:pStyle w:val="Compact"/>
            </w:pPr>
            <w:r>
              <w:t xml:space="preserve">Date of written approval or rejection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Deployed Date</w:t>
            </w:r>
          </w:p>
        </w:tc>
        <w:tc>
          <w:tcPr/>
          <w:p>
            <w:pPr>
              <w:pStyle w:val="Compact"/>
            </w:pPr>
            <w:r>
              <w:t xml:space="preserve">Date the change was deployed to production (blank if not yet deployed)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Version After Change</w:t>
            </w:r>
          </w:p>
        </w:tc>
        <w:tc>
          <w:tcPr/>
          <w:p>
            <w:pPr>
              <w:pStyle w:val="Compact"/>
            </w:pPr>
            <w:r>
              <w:t xml:space="preserve">Semantic version number after deployment (Section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By</w:t>
            </w:r>
          </w:p>
        </w:tc>
        <w:tc>
          <w:tcPr/>
          <w:p>
            <w:pPr>
              <w:pStyle w:val="Compact"/>
            </w:pPr>
            <w:r>
              <w:t xml:space="preserve">Name of person who confirmed correct production behaviour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9e86ea74c82639f6ec588f911c6f82f134fb66a"/>
    <w:p>
      <w:pPr>
        <w:pStyle w:val="Heading2"/>
      </w:pPr>
      <w:r>
        <w:t xml:space="preserve">7. Version Numbering</w:t>
      </w:r>
    </w:p>
    <w:p>
      <w:pPr>
        <w:pStyle w:val="FirstParagraph"/>
      </w:pPr>
      <w:r>
        <w:t xml:space="preserve">The BIRDC ERP uses semantic versioning:</w:t>
      </w:r>
      <w:r>
        <w:t xml:space="preserve"> </w:t>
      </w:r>
      <w:r>
        <w:rPr>
          <w:b/>
          <w:bCs/>
        </w:rPr>
        <w:t xml:space="preserve">MAJOR.MINOR.PATCH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MAJOR</w:t>
      </w:r>
      <w:r>
        <w:t xml:space="preserve"> </w:t>
      </w:r>
      <w:r>
        <w:t xml:space="preserve">— incremented when a new phase deliverable is accepted by the client (e.g., Phase 2 go-live changes version from 1.x.x to 2.0.0).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MINOR</w:t>
      </w:r>
      <w:r>
        <w:t xml:space="preserve"> </w:t>
      </w:r>
      <w:r>
        <w:t xml:space="preserve">— incremented for each Standard or High change deployed to production (e.g., a PAYE band update changes version from 2.1.x to 2.2.0).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PATCH</w:t>
      </w:r>
      <w:r>
        <w:t xml:space="preserve"> </w:t>
      </w:r>
      <w:r>
        <w:t xml:space="preserve">— incremented for each Minor or Emergency change deployed to production (e.g., a label correction changes version from 2.2.0 to 2.2.1).</w:t>
      </w:r>
    </w:p>
    <w:p>
      <w:pPr>
        <w:pStyle w:val="FirstParagraph"/>
      </w:pPr>
      <w:r>
        <w:t xml:space="preserve">The current ERP version is recorded in the system administration panel and is displayed in the application footer. The version is updated at deployment time by Peter Bamuhigire.</w:t>
      </w:r>
    </w:p>
    <w:p>
      <w:r>
        <w:pict>
          <v:rect style="width:0;height:1.5pt" o:hralign="center" o:hrstd="t" o:hr="t"/>
        </w:pict>
      </w:r>
    </w:p>
    <w:bookmarkEnd w:id="27"/>
    <w:bookmarkStart w:id="28" w:name="Xa3a5e7147dc186b6aa9a78a8113bc96adf21519"/>
    <w:p>
      <w:pPr>
        <w:pStyle w:val="Heading2"/>
      </w:pPr>
      <w:r>
        <w:t xml:space="preserve">8. Post-Go-Live Maintenance Commitment</w:t>
      </w:r>
    </w:p>
    <w:p>
      <w:pPr>
        <w:pStyle w:val="FirstParagraph"/>
      </w:pPr>
      <w:r>
        <w:t xml:space="preserve">Peter Bamuhigire commits to 12-month warranty support from the Phase 7 go-live date, covering the following at no additional charge:</w:t>
      </w:r>
    </w:p>
    <w:p>
      <w:pPr>
        <w:pStyle w:val="Compact"/>
        <w:numPr>
          <w:ilvl w:val="0"/>
          <w:numId w:val="1012"/>
        </w:numPr>
      </w:pPr>
      <w:r>
        <w:t xml:space="preserve">Bug fixes for defects present in the delivered system at go-live.</w:t>
      </w:r>
    </w:p>
    <w:p>
      <w:pPr>
        <w:pStyle w:val="Compact"/>
        <w:numPr>
          <w:ilvl w:val="0"/>
          <w:numId w:val="1012"/>
        </w:numPr>
      </w:pPr>
      <w:r>
        <w:t xml:space="preserve">PAYE and NSSF rate updates that require only data configuration changes (Finance Director updates via the UI per DC-002; Peter provides guidance if needed).</w:t>
      </w:r>
    </w:p>
    <w:p>
      <w:pPr>
        <w:pStyle w:val="Compact"/>
        <w:numPr>
          <w:ilvl w:val="0"/>
          <w:numId w:val="1012"/>
        </w:numPr>
      </w:pPr>
      <w:r>
        <w:t xml:space="preserve">EFRIS API version updates required by URA (code change by Peter at no additional charge within the warranty period).</w:t>
      </w:r>
    </w:p>
    <w:p>
      <w:pPr>
        <w:pStyle w:val="Compact"/>
        <w:numPr>
          <w:ilvl w:val="0"/>
          <w:numId w:val="1012"/>
        </w:numPr>
      </w:pPr>
      <w:r>
        <w:t xml:space="preserve">Security patches for vulnerabilities disclosed in the OWASP Top 10 and CVE feeds applicable to the ERP's technology stack.</w:t>
      </w:r>
    </w:p>
    <w:p>
      <w:pPr>
        <w:pStyle w:val="FirstParagraph"/>
      </w:pPr>
      <w:r>
        <w:t xml:space="preserve">The following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included in the warranty and are billable under a separate engagement letter:</w:t>
      </w:r>
    </w:p>
    <w:p>
      <w:pPr>
        <w:pStyle w:val="Compact"/>
        <w:numPr>
          <w:ilvl w:val="0"/>
          <w:numId w:val="1013"/>
        </w:numPr>
      </w:pPr>
      <w:r>
        <w:t xml:space="preserve">New feature development.</w:t>
      </w:r>
    </w:p>
    <w:p>
      <w:pPr>
        <w:pStyle w:val="Compact"/>
        <w:numPr>
          <w:ilvl w:val="0"/>
          <w:numId w:val="1013"/>
        </w:numPr>
      </w:pPr>
      <w:r>
        <w:t xml:space="preserve">New module additions.</w:t>
      </w:r>
    </w:p>
    <w:p>
      <w:pPr>
        <w:pStyle w:val="Compact"/>
        <w:numPr>
          <w:ilvl w:val="0"/>
          <w:numId w:val="1013"/>
        </w:numPr>
      </w:pPr>
      <w:r>
        <w:t xml:space="preserve">Hardware procurement or server upgrades.</w:t>
      </w:r>
    </w:p>
    <w:p>
      <w:pPr>
        <w:pStyle w:val="Compact"/>
        <w:numPr>
          <w:ilvl w:val="0"/>
          <w:numId w:val="1013"/>
        </w:numPr>
      </w:pPr>
      <w:r>
        <w:t xml:space="preserve">Training sessions beyond those delivered at go-live.</w:t>
      </w:r>
    </w:p>
    <w:p>
      <w:pPr>
        <w:pStyle w:val="Compact"/>
        <w:numPr>
          <w:ilvl w:val="0"/>
          <w:numId w:val="1013"/>
        </w:numPr>
      </w:pPr>
      <w:r>
        <w:t xml:space="preserve">Data entry services.</w:t>
      </w:r>
    </w:p>
    <w:p>
      <w:pPr>
        <w:pStyle w:val="FirstParagraph"/>
      </w:pPr>
      <w:r>
        <w:t xml:space="preserve">All post-warranty work is governed by a new engagement letter agreed in writing before work begins.</w:t>
      </w:r>
    </w:p>
    <w:p>
      <w:r>
        <w:pict>
          <v:rect style="width:0;height:1.5pt" o:hralign="center" o:hrstd="t" o:hr="t"/>
        </w:pict>
      </w:r>
    </w:p>
    <w:bookmarkEnd w:id="28"/>
    <w:bookmarkStart w:id="30" w:name="Xdc08728190c75d3b67056f2820722dba81e39eb"/>
    <w:p>
      <w:pPr>
        <w:pStyle w:val="Heading2"/>
      </w:pPr>
      <w:r>
        <w:t xml:space="preserve">9. Appendix — Change Request Form Template</w:t>
      </w:r>
    </w:p>
    <w:p>
      <w:pPr>
        <w:pStyle w:val="FirstParagraph"/>
      </w:pPr>
      <w:r>
        <w:t xml:space="preserve">The following template is used for all change requests. The requestor completes all fields and submits the completed form to Peter Bamuhigire by email.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BIRDC ERP — Change Request 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CR-ID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(assigned by consultant on receipt)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Requestor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Requestor Role / Department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Module(s) Affected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(e.g., Payroll, Accounts Receivable, POS)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 of Change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(what needs to change and why)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Justification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(what business problem does this change solve?)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Urgency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(Emergency / High / Standard / Minor — requestor's assessment)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this a regulatory requirement?</w:t>
            </w:r>
          </w:p>
        </w:tc>
        <w:tc>
          <w:tcPr/>
          <w:p>
            <w:pPr>
              <w:pStyle w:val="Compact"/>
            </w:pPr>
            <w:r>
              <w:t xml:space="preserve">Yes / No — if Yes, cite the regulation or URA/NSSF/PPDA publication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DPPA Implications</w:t>
            </w:r>
          </w:p>
        </w:tc>
        <w:tc>
          <w:tcPr/>
          <w:p>
            <w:pPr>
              <w:pStyle w:val="Compact"/>
            </w:pPr>
            <w:r>
              <w:t xml:space="preserve">Does this change affect personal data or special personal data held in the system? Yes / No — if Yes, describe the data affected and the lawful basis for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Requestor Signature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 Signed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Submit completed form to: Peter Bamuhigire —</w:t>
      </w:r>
      <w:r>
        <w:rPr>
          <w:i/>
          <w:iCs/>
        </w:rPr>
        <w:t xml:space="preserve"> </w:t>
      </w:r>
      <w:hyperlink r:id="rId29">
        <w:r>
          <w:rPr>
            <w:rStyle w:val="Hyperlink"/>
            <w:i/>
            <w:iCs/>
          </w:rPr>
          <w:t xml:space="preserve">techguypeter.com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Change Management Procedure — BIRDC ERP v1.0</w:t>
      </w:r>
    </w:p>
    <w:bookmarkEnd w:id="30"/>
    <w:bookmarkEnd w:id="31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Relationship Type="http://schemas.openxmlformats.org/officeDocument/2006/relationships/hyperlink" Id="rId29" Target="https://techguypet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techguypet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Procedure — BIRDC ERP</dc:title>
  <dc:creator/>
  <cp:keywords/>
  <dcterms:created xsi:type="dcterms:W3CDTF">2026-04-05T17:32:34Z</dcterms:created>
  <dcterms:modified xsi:type="dcterms:W3CDTF">2026-04-05T17:32:34Z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status">
    <vt:lpwstr>Active — Effective from Phase 7 Go-Live</vt:lpwstr>
  </property>
  <property fmtid="{D5CDD505-2E9C-101B-9397-08002B2CF9AE}" pid="4" name="subtitle">
    <vt:lpwstr>Prepared by Peter Bamuhigire, ICT Consultant (techguypeter.com) for PIBID/BIRDC</vt:lpwstr>
  </property>
  <property fmtid="{D5CDD505-2E9C-101B-9397-08002B2CF9AE}" pid="5" name="version">
    <vt:lpwstr>1.0</vt:lpwstr>
  </property>
</Properties>
</file>