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DPPA 2019 Compliance Annex — BIRDC ERP System</w:t>
      </w:r>
    </w:p>
    <w:p>
      <w:pPr>
        <w:pStyle w:val="Subtitle"/>
      </w:pPr>
      <w:r>
        <w:t xml:space="preserve">Uganda Data Protection and Privacy Act 2019 (No. 9 of 2019) &amp; Data Protection and Privacy Regulations 2021</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20752532f54c990e6710b89f3b1701ce829a329"/>
    <w:p>
      <w:pPr>
        <w:pStyle w:val="Heading1"/>
      </w:pPr>
      <w:r>
        <w:t xml:space="preserve">DPPA 2019 Compliance Annex — BIRDC ERP System</w:t>
      </w:r>
    </w:p>
    <w:p>
      <w:pPr>
        <w:pStyle w:val="FirstParagraph"/>
      </w:pPr>
      <w:r>
        <w:t xml:space="preserve">Uganda Data Protection and Privacy Act 2019 (No. 9 of 2019) &amp; Data Protection and Privacy Regulations 2021</w:t>
      </w:r>
    </w:p>
    <w:p>
      <w:pPr>
        <w:pStyle w:val="BodyText"/>
      </w:pPr>
      <w:r>
        <w:rPr>
          <w:b/>
          <w:bCs/>
        </w:rPr>
        <w:t xml:space="preserve">Prepared by:</w:t>
      </w:r>
      <w:r>
        <w:t xml:space="preserve"> </w:t>
      </w:r>
      <w:r>
        <w:t xml:space="preserve">Peter Bamuhigire, ICT Consultant (techguypeter.com)</w:t>
      </w:r>
      <w:r>
        <w:t xml:space="preserve"> </w:t>
      </w:r>
      <w:r>
        <w:rPr>
          <w:b/>
          <w:bCs/>
        </w:rPr>
        <w:t xml:space="preserve">Prepared for:</w:t>
      </w:r>
      <w:r>
        <w:t xml:space="preserve"> </w:t>
      </w:r>
      <w:r>
        <w:t xml:space="preserve">PIBID / BIRDC, Nyaruzinga, Bushenyi, Uganda</w:t>
      </w:r>
      <w:r>
        <w:t xml:space="preserve"> </w:t>
      </w:r>
      <w:r>
        <w:rPr>
          <w:b/>
          <w:bCs/>
        </w:rPr>
        <w:t xml:space="preserve">Document Reference:</w:t>
      </w:r>
      <w:r>
        <w:t xml:space="preserve"> </w:t>
      </w:r>
      <w:r>
        <w:t xml:space="preserve">BIRDC-ERP-DPPA-001</w:t>
      </w:r>
      <w:r>
        <w:t xml:space="preserve"> </w:t>
      </w:r>
      <w:r>
        <w:rPr>
          <w:b/>
          <w:bCs/>
        </w:rPr>
        <w:t xml:space="preserve">Classification:</w:t>
      </w:r>
      <w:r>
        <w:t xml:space="preserve"> </w:t>
      </w:r>
      <w:r>
        <w:t xml:space="preserve">Confidential — Internal Compliance Document</w:t>
      </w:r>
    </w:p>
    <w:p>
      <w:r>
        <w:pict>
          <v:rect style="width:0;height:1.5pt" o:hralign="center" o:hrstd="t" o:hr="t"/>
        </w:pict>
      </w:r>
    </w:p>
    <w:bookmarkStart w:id="19"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0.1</w:t>
            </w:r>
          </w:p>
        </w:tc>
        <w:tc>
          <w:tcPr/>
          <w:p>
            <w:pPr>
              <w:pStyle w:val="Compact"/>
            </w:pPr>
            <w:r>
              <w:t xml:space="preserve">2026-04-05</w:t>
            </w:r>
          </w:p>
        </w:tc>
        <w:tc>
          <w:tcPr/>
          <w:p>
            <w:pPr>
              <w:pStyle w:val="Compact"/>
            </w:pPr>
            <w:r>
              <w:t xml:space="preserve">Peter Bamuhigire</w:t>
            </w:r>
          </w:p>
        </w:tc>
        <w:tc>
          <w:tcPr/>
          <w:p>
            <w:pPr>
              <w:pStyle w:val="Compact"/>
            </w:pPr>
            <w:r>
              <w:t xml:space="preserve">Initial draft — all sections populated from context files</w:t>
            </w:r>
          </w:p>
        </w:tc>
      </w:tr>
      <w:tr>
        <w:tc>
          <w:tcPr/>
          <w:p>
            <w:pPr>
              <w:pStyle w:val="Compact"/>
            </w:pPr>
            <w:r>
              <w:t xml:space="preserve">1.0</w:t>
            </w:r>
          </w:p>
        </w:tc>
        <w:tc>
          <w:tcPr/>
          <w:p>
            <w:pPr>
              <w:pStyle w:val="Compact"/>
            </w:pPr>
            <w:r>
              <w:t xml:space="preserve">TBD</w:t>
            </w:r>
          </w:p>
        </w:tc>
        <w:tc>
          <w:tcPr/>
          <w:p>
            <w:pPr>
              <w:pStyle w:val="Compact"/>
            </w:pPr>
            <w:r>
              <w:t xml:space="preserve">Peter Bamuhigire</w:t>
            </w:r>
          </w:p>
        </w:tc>
        <w:tc>
          <w:tcPr/>
          <w:p>
            <w:pPr>
              <w:pStyle w:val="Compact"/>
            </w:pPr>
            <w:r>
              <w:t xml:space="preserve">Post-legal-review final</w:t>
            </w:r>
          </w:p>
        </w:tc>
      </w:tr>
    </w:tbl>
    <w:p>
      <w:r>
        <w:pict>
          <v:rect style="width:0;height:1.5pt" o:hralign="center" o:hrstd="t" o:hr="t"/>
        </w:pict>
      </w:r>
    </w:p>
    <w:bookmarkEnd w:id="19"/>
    <w:bookmarkStart w:id="20" w:name="approval-table"/>
    <w:p>
      <w:pPr>
        <w:pStyle w:val="Heading2"/>
      </w:pPr>
      <w:r>
        <w:t xml:space="preserve">Approval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Data Protection Officer (DPO)</w:t>
            </w:r>
          </w:p>
        </w:tc>
        <w:tc>
          <w:tcPr/>
          <w:p>
            <w:pPr>
              <w:pStyle w:val="Compact"/>
            </w:pPr>
            <w:r>
              <w:t xml:space="preserve">[CONTEXT-GAP: GAP-004 — DPO not yet designated]</w:t>
            </w:r>
          </w:p>
        </w:tc>
        <w:tc>
          <w:tcPr/>
          <w:p>
            <w:pPr>
              <w:pStyle w:val="Compact"/>
            </w:pPr>
          </w:p>
        </w:tc>
        <w:tc>
          <w:tcPr/>
          <w:p>
            <w:pPr>
              <w:pStyle w:val="Compact"/>
            </w:pPr>
          </w:p>
        </w:tc>
      </w:tr>
      <w:tr>
        <w:tc>
          <w:tcPr/>
          <w:p>
            <w:pPr>
              <w:pStyle w:val="Compact"/>
            </w:pPr>
            <w:r>
              <w:t xml:space="preserve">Finance Director</w:t>
            </w:r>
          </w:p>
        </w:tc>
        <w:tc>
          <w:tcPr/>
          <w:p>
            <w:pPr>
              <w:pStyle w:val="Compact"/>
            </w:pPr>
            <w:r>
              <w:t xml:space="preserve">[To be confirmed — BIRDC Finance]</w:t>
            </w:r>
          </w:p>
        </w:tc>
        <w:tc>
          <w:tcPr/>
          <w:p>
            <w:pPr>
              <w:pStyle w:val="Compact"/>
            </w:pPr>
          </w:p>
        </w:tc>
        <w:tc>
          <w:tcPr/>
          <w:p>
            <w:pPr>
              <w:pStyle w:val="Compact"/>
            </w:pPr>
          </w:p>
        </w:tc>
      </w:tr>
      <w:tr>
        <w:tc>
          <w:tcPr/>
          <w:p>
            <w:pPr>
              <w:pStyle w:val="Compact"/>
            </w:pPr>
            <w:r>
              <w:t xml:space="preserve">ICT Consultant</w:t>
            </w:r>
          </w:p>
        </w:tc>
        <w:tc>
          <w:tcPr/>
          <w:p>
            <w:pPr>
              <w:pStyle w:val="Compact"/>
            </w:pPr>
            <w:r>
              <w:t xml:space="preserve">Peter Bamuhigire, techguypeter.com</w:t>
            </w:r>
          </w:p>
        </w:tc>
        <w:tc>
          <w:tcPr/>
          <w:p>
            <w:pPr>
              <w:pStyle w:val="Compact"/>
            </w:pPr>
          </w:p>
        </w:tc>
        <w:tc>
          <w:tcPr/>
          <w:p>
            <w:pPr>
              <w:pStyle w:val="Compact"/>
            </w:pPr>
          </w:p>
        </w:tc>
      </w:tr>
    </w:tbl>
    <w:p>
      <w:r>
        <w:pict>
          <v:rect style="width:0;height:1.5pt" o:hralign="center" o:hrstd="t" o:hr="t"/>
        </w:pict>
      </w:r>
    </w:p>
    <w:bookmarkEnd w:id="20"/>
    <w:bookmarkStart w:id="21" w:name="purpose-and-scope"/>
    <w:p>
      <w:pPr>
        <w:pStyle w:val="Heading2"/>
      </w:pPr>
      <w:r>
        <w:t xml:space="preserve">Purpose and Scope</w:t>
      </w:r>
    </w:p>
    <w:p>
      <w:pPr>
        <w:pStyle w:val="FirstParagraph"/>
      </w:pPr>
      <w:r>
        <w:t xml:space="preserve">This annex documents all system requirements and controls that the BIRDC ERP system must implement to comply with the Uganda Data Protection and Privacy Act 2019 (No. 9 of 2019) and the Data Protection and Privacy Regulations 2021. It covers all modules in the BIRDC ERP that collect, store, process, or transmit personal data or special personal data belonging to cooperative farmers, employees, and field agents.</w:t>
      </w:r>
    </w:p>
    <w:p>
      <w:pPr>
        <w:pStyle w:val="BodyText"/>
      </w:pPr>
      <w:r>
        <w:t xml:space="preserve">This annex is a mandatory governance artifact. No module that processes personal data shall enter production without all requirements in this annex being implemented and independently verified.</w:t>
      </w:r>
    </w:p>
    <w:p>
      <w:r>
        <w:pict>
          <v:rect style="width:0;height:1.5pt" o:hralign="center" o:hrstd="t" o:hr="t"/>
        </w:pict>
      </w:r>
    </w:p>
    <w:bookmarkEnd w:id="21"/>
    <w:bookmarkStart w:id="22" w:name="applicability"/>
    <w:p>
      <w:pPr>
        <w:pStyle w:val="Heading2"/>
      </w:pPr>
      <w:r>
        <w:t xml:space="preserve">Applicability</w:t>
      </w:r>
    </w:p>
    <w:p>
      <w:pPr>
        <w:pStyle w:val="FirstParagraph"/>
      </w:pPr>
      <w:r>
        <w:t xml:space="preserve">This annex applies to:</w:t>
      </w:r>
    </w:p>
    <w:p>
      <w:pPr>
        <w:pStyle w:val="Compact"/>
        <w:numPr>
          <w:ilvl w:val="0"/>
          <w:numId w:val="1001"/>
        </w:numPr>
      </w:pPr>
      <w:r>
        <w:t xml:space="preserve">All phases of the BIRDC ERP system (Phase 1 through Phase 7)</w:t>
      </w:r>
    </w:p>
    <w:p>
      <w:pPr>
        <w:pStyle w:val="Compact"/>
        <w:numPr>
          <w:ilvl w:val="0"/>
          <w:numId w:val="1001"/>
        </w:numPr>
      </w:pPr>
      <w:r>
        <w:t xml:space="preserve">All Android mobile applications (Farmer Delivery App, HR Self-Service App, Sales Agent App, Factory Floor App, Warehouse App, Executive Dashboard App)</w:t>
      </w:r>
    </w:p>
    <w:p>
      <w:pPr>
        <w:pStyle w:val="Compact"/>
        <w:numPr>
          <w:ilvl w:val="0"/>
          <w:numId w:val="1001"/>
        </w:numPr>
      </w:pPr>
      <w:r>
        <w:t xml:space="preserve">All data processor relationships: MTN MoMo, Airtel Money, Africa's Talking</w:t>
      </w:r>
    </w:p>
    <w:p>
      <w:pPr>
        <w:pStyle w:val="Compact"/>
        <w:numPr>
          <w:ilvl w:val="0"/>
          <w:numId w:val="1001"/>
        </w:numPr>
      </w:pPr>
      <w:r>
        <w:t xml:space="preserve">BIRDC IT infrastructure at Nyaruzinga, Bushenyi</w:t>
      </w:r>
    </w:p>
    <w:p>
      <w:r>
        <w:pict>
          <v:rect style="width:0;height:1.5pt" o:hralign="center" o:hrstd="t" o:hr="t"/>
        </w:pict>
      </w:r>
    </w:p>
    <w:bookmarkEnd w:id="22"/>
    <w:bookmarkStart w:id="23" w:name="key-legal-references"/>
    <w:p>
      <w:pPr>
        <w:pStyle w:val="Heading2"/>
      </w:pPr>
      <w:r>
        <w:t xml:space="preserve">Key Legal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Citation</w:t>
            </w:r>
          </w:p>
        </w:tc>
      </w:tr>
      <w:tr>
        <w:tc>
          <w:tcPr/>
          <w:p>
            <w:pPr>
              <w:pStyle w:val="Compact"/>
            </w:pPr>
            <w:r>
              <w:t xml:space="preserve">Uganda Data Protection and Privacy Act 2019</w:t>
            </w:r>
          </w:p>
        </w:tc>
        <w:tc>
          <w:tcPr/>
          <w:p>
            <w:pPr>
              <w:pStyle w:val="Compact"/>
            </w:pPr>
            <w:r>
              <w:t xml:space="preserve">Act No. 9 of 2019</w:t>
            </w:r>
          </w:p>
        </w:tc>
      </w:tr>
      <w:tr>
        <w:tc>
          <w:tcPr/>
          <w:p>
            <w:pPr>
              <w:pStyle w:val="Compact"/>
            </w:pPr>
            <w:r>
              <w:t xml:space="preserve">Data Protection and Privacy Regulations 2021</w:t>
            </w:r>
          </w:p>
        </w:tc>
        <w:tc>
          <w:tcPr/>
          <w:p>
            <w:pPr>
              <w:pStyle w:val="Compact"/>
            </w:pPr>
            <w:r>
              <w:t xml:space="preserve">SI 2021 No. 26</w:t>
            </w:r>
          </w:p>
        </w:tc>
      </w:tr>
      <w:tr>
        <w:tc>
          <w:tcPr/>
          <w:p>
            <w:pPr>
              <w:pStyle w:val="Compact"/>
            </w:pPr>
            <w:r>
              <w:t xml:space="preserve">Uganda Income Tax Act</w:t>
            </w:r>
          </w:p>
        </w:tc>
        <w:tc>
          <w:tcPr/>
          <w:p>
            <w:pPr>
              <w:pStyle w:val="Compact"/>
            </w:pPr>
            <w:r>
              <w:t xml:space="preserve">Cap 340 — 7-year retention</w:t>
            </w:r>
          </w:p>
        </w:tc>
      </w:tr>
      <w:tr>
        <w:tc>
          <w:tcPr/>
          <w:p>
            <w:pPr>
              <w:pStyle w:val="Compact"/>
            </w:pPr>
            <w:r>
              <w:t xml:space="preserve">Uganda NSSF Act</w:t>
            </w:r>
          </w:p>
        </w:tc>
        <w:tc>
          <w:tcPr/>
          <w:p>
            <w:pPr>
              <w:pStyle w:val="Compact"/>
            </w:pPr>
            <w:r>
              <w:t xml:space="preserve">Employer obligations</w:t>
            </w:r>
          </w:p>
        </w:tc>
      </w:tr>
      <w:tr>
        <w:tc>
          <w:tcPr/>
          <w:p>
            <w:pPr>
              <w:pStyle w:val="Compact"/>
            </w:pPr>
            <w:r>
              <w:t xml:space="preserve">Uganda Companies Act</w:t>
            </w:r>
          </w:p>
        </w:tc>
        <w:tc>
          <w:tcPr/>
          <w:p>
            <w:pPr>
              <w:pStyle w:val="Compact"/>
            </w:pPr>
            <w:r>
              <w:t xml:space="preserve">7-year record retention</w:t>
            </w:r>
          </w:p>
        </w:tc>
      </w:tr>
      <w:tr>
        <w:tc>
          <w:tcPr/>
          <w:p>
            <w:pPr>
              <w:pStyle w:val="Compact"/>
            </w:pPr>
            <w:r>
              <w:t xml:space="preserve">Computer Misuse Act 2011</w:t>
            </w:r>
          </w:p>
        </w:tc>
        <w:tc>
          <w:tcPr/>
          <w:p>
            <w:pPr>
              <w:pStyle w:val="Compact"/>
            </w:pPr>
            <w:r>
              <w:t xml:space="preserve">Unauthorised access offences</w:t>
            </w:r>
          </w:p>
        </w:tc>
      </w:tr>
    </w:tbl>
    <w:bookmarkEnd w:id="23"/>
    <w:bookmarkEnd w:id="24"/>
    <w:bookmarkStart w:id="30" w:name="Xe31e958d6ccba3c2a54812c0638a01e2a33089e"/>
    <w:p>
      <w:pPr>
        <w:pStyle w:val="Heading1"/>
      </w:pPr>
      <w:r>
        <w:t xml:space="preserve">Section 2 — PII Inventory and Classification</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p>
      <w:pPr>
        <w:pStyle w:val="BlockText"/>
      </w:pPr>
      <w:r>
        <w:rPr>
          <w:b/>
          <w:bCs/>
        </w:rPr>
        <w:t xml:space="preserve">Uganda-Specific Alert — Special Personal Data</w:t>
      </w:r>
    </w:p>
    <w:p>
      <w:pPr>
        <w:pStyle w:val="BlockText"/>
      </w:pPr>
      <w:r>
        <w:t xml:space="preserve">Under Section 9 of the DPPA 2019,</w:t>
      </w:r>
      <w:r>
        <w:t xml:space="preserve"> </w:t>
      </w:r>
      <w:r>
        <w:rPr>
          <w:i/>
          <w:iCs/>
        </w:rPr>
        <w:t xml:space="preserve">financial information</w:t>
      </w:r>
      <w:r>
        <w:t xml:space="preserve"> </w:t>
      </w:r>
      <w:r>
        <w:t xml:space="preserve">is Special personal data (S-tier). This includes mobile money numbers, salary amounts, bank account details, agent commission amounts, staff loan balances, and payment histories. This classification differs from the GDPR, which does not designate financial information as a special category. All S-tier fields in the BIRDC ERP require AES-256-GCM encryption at rest, strict role-based access, and access logging on every read or export.</w:t>
      </w:r>
    </w:p>
    <w:p>
      <w:r>
        <w:pict>
          <v:rect style="width:0;height:1.5pt" o:hralign="center" o:hrstd="t" o:hr="t"/>
        </w:pict>
      </w:r>
    </w:p>
    <w:bookmarkStart w:id="25" w:name="Xe66ea823171270c34f03bccf04df01e1371a364"/>
    <w:p>
      <w:pPr>
        <w:pStyle w:val="Heading2"/>
      </w:pPr>
      <w:r>
        <w:t xml:space="preserve">2.1 Farmer Data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Module</w:t>
            </w:r>
          </w:p>
        </w:tc>
        <w:tc>
          <w:tcPr/>
          <w:p>
            <w:pPr>
              <w:pStyle w:val="Compact"/>
            </w:pPr>
            <w:r>
              <w:t xml:space="preserve">Tier</w:t>
            </w:r>
          </w:p>
        </w:tc>
        <w:tc>
          <w:tcPr/>
          <w:p>
            <w:pPr>
              <w:pStyle w:val="Compact"/>
            </w:pPr>
            <w:r>
              <w:t xml:space="preserve">Section 9 / Section 2 Basis</w:t>
            </w:r>
          </w:p>
        </w:tc>
        <w:tc>
          <w:tcPr/>
          <w:p>
            <w:pPr>
              <w:pStyle w:val="Compact"/>
            </w:pPr>
            <w:r>
              <w:t xml:space="preserve">Retention Period</w:t>
            </w:r>
          </w:p>
        </w:tc>
      </w:tr>
      <w:tr>
        <w:tc>
          <w:tcPr/>
          <w:p>
            <w:pPr>
              <w:pStyle w:val="Compact"/>
            </w:pPr>
            <w:r>
              <w:t xml:space="preserve">Full name</w:t>
            </w:r>
          </w:p>
        </w:tc>
        <w:tc>
          <w:tcPr/>
          <w:p>
            <w:pPr>
              <w:pStyle w:val="Compact"/>
            </w:pPr>
            <w:r>
              <w:t xml:space="preserve">F-010 Farmer &amp; Cooperative Mgmt</w:t>
            </w:r>
          </w:p>
        </w:tc>
        <w:tc>
          <w:tcPr/>
          <w:p>
            <w:pPr>
              <w:pStyle w:val="Compact"/>
            </w:pPr>
            <w:r>
              <w:t xml:space="preserve">P</w:t>
            </w:r>
          </w:p>
        </w:tc>
        <w:tc>
          <w:tcPr/>
          <w:p>
            <w:pPr>
              <w:pStyle w:val="Compact"/>
            </w:pPr>
            <w:r>
              <w:t xml:space="preserve">Identification — Section 2</w:t>
            </w:r>
          </w:p>
        </w:tc>
        <w:tc>
          <w:tcPr/>
          <w:p>
            <w:pPr>
              <w:pStyle w:val="Compact"/>
            </w:pPr>
            <w:r>
              <w:t xml:space="preserve">Cooperative membership + 7 years</w:t>
            </w:r>
          </w:p>
        </w:tc>
      </w:tr>
      <w:tr>
        <w:tc>
          <w:tcPr/>
          <w:p>
            <w:pPr>
              <w:pStyle w:val="Compact"/>
            </w:pPr>
            <w:r>
              <w:t xml:space="preserve">National Identification Number (NIN)</w:t>
            </w:r>
          </w:p>
        </w:tc>
        <w:tc>
          <w:tcPr/>
          <w:p>
            <w:pPr>
              <w:pStyle w:val="Compact"/>
            </w:pPr>
            <w:r>
              <w:t xml:space="preserve">F-010</w:t>
            </w:r>
          </w:p>
        </w:tc>
        <w:tc>
          <w:tcPr/>
          <w:p>
            <w:pPr>
              <w:pStyle w:val="Compact"/>
            </w:pPr>
            <w:r>
              <w:t xml:space="preserve">P</w:t>
            </w:r>
          </w:p>
        </w:tc>
        <w:tc>
          <w:tcPr/>
          <w:p>
            <w:pPr>
              <w:pStyle w:val="Compact"/>
            </w:pPr>
            <w:r>
              <w:t xml:space="preserve">Identification number — Section 2(c)</w:t>
            </w:r>
          </w:p>
        </w:tc>
        <w:tc>
          <w:tcPr/>
          <w:p>
            <w:pPr>
              <w:pStyle w:val="Compact"/>
            </w:pPr>
            <w:r>
              <w:t xml:space="preserve">Cooperative membership + 7 years</w:t>
            </w:r>
          </w:p>
        </w:tc>
      </w:tr>
      <w:tr>
        <w:tc>
          <w:tcPr/>
          <w:p>
            <w:pPr>
              <w:pStyle w:val="Compact"/>
            </w:pPr>
            <w:r>
              <w:t xml:space="preserve">Contact phone number</w:t>
            </w:r>
          </w:p>
        </w:tc>
        <w:tc>
          <w:tcPr/>
          <w:p>
            <w:pPr>
              <w:pStyle w:val="Compact"/>
            </w:pPr>
            <w:r>
              <w:t xml:space="preserve">F-010</w:t>
            </w:r>
          </w:p>
        </w:tc>
        <w:tc>
          <w:tcPr/>
          <w:p>
            <w:pPr>
              <w:pStyle w:val="Compact"/>
            </w:pPr>
            <w:r>
              <w:t xml:space="preserve">P</w:t>
            </w:r>
          </w:p>
        </w:tc>
        <w:tc>
          <w:tcPr/>
          <w:p>
            <w:pPr>
              <w:pStyle w:val="Compact"/>
            </w:pPr>
            <w:r>
              <w:t xml:space="preserve">Identification — Section 2</w:t>
            </w:r>
          </w:p>
        </w:tc>
        <w:tc>
          <w:tcPr/>
          <w:p>
            <w:pPr>
              <w:pStyle w:val="Compact"/>
            </w:pPr>
            <w:r>
              <w:t xml:space="preserve">Cooperative membership + 7 years</w:t>
            </w:r>
          </w:p>
        </w:tc>
      </w:tr>
      <w:tr>
        <w:tc>
          <w:tcPr/>
          <w:p>
            <w:pPr>
              <w:pStyle w:val="Compact"/>
            </w:pPr>
            <w:r>
              <w:t xml:space="preserve">GPS farm coordinates</w:t>
            </w:r>
          </w:p>
        </w:tc>
        <w:tc>
          <w:tcPr/>
          <w:p>
            <w:pPr>
              <w:pStyle w:val="Compact"/>
            </w:pPr>
            <w:r>
              <w:t xml:space="preserve">F-010</w:t>
            </w:r>
          </w:p>
        </w:tc>
        <w:tc>
          <w:tcPr/>
          <w:p>
            <w:pPr>
              <w:pStyle w:val="Compact"/>
            </w:pPr>
            <w:r>
              <w:t xml:space="preserve">P</w:t>
            </w:r>
          </w:p>
        </w:tc>
        <w:tc>
          <w:tcPr/>
          <w:p>
            <w:pPr>
              <w:pStyle w:val="Compact"/>
            </w:pPr>
            <w:r>
              <w:t xml:space="preserve">Location / identity data — Section 2</w:t>
            </w:r>
          </w:p>
        </w:tc>
        <w:tc>
          <w:tcPr/>
          <w:p>
            <w:pPr>
              <w:pStyle w:val="Compact"/>
            </w:pPr>
            <w:r>
              <w:t xml:space="preserve">Cooperative membership + 7 years</w:t>
            </w:r>
          </w:p>
        </w:tc>
      </w:tr>
      <w:tr>
        <w:tc>
          <w:tcPr/>
          <w:p>
            <w:pPr>
              <w:pStyle w:val="Compact"/>
            </w:pPr>
            <w:r>
              <w:t xml:space="preserve">Farmer photograph</w:t>
            </w:r>
          </w:p>
        </w:tc>
        <w:tc>
          <w:tcPr/>
          <w:p>
            <w:pPr>
              <w:pStyle w:val="Compact"/>
            </w:pPr>
            <w:r>
              <w:t xml:space="preserve">F-010</w:t>
            </w:r>
          </w:p>
        </w:tc>
        <w:tc>
          <w:tcPr/>
          <w:p>
            <w:pPr>
              <w:pStyle w:val="Compact"/>
            </w:pPr>
            <w:r>
              <w:t xml:space="preserve">P</w:t>
            </w:r>
          </w:p>
        </w:tc>
        <w:tc>
          <w:tcPr/>
          <w:p>
            <w:pPr>
              <w:pStyle w:val="Compact"/>
            </w:pPr>
            <w:r>
              <w:t xml:space="preserve">Identity data — Section 2</w:t>
            </w:r>
          </w:p>
        </w:tc>
        <w:tc>
          <w:tcPr/>
          <w:p>
            <w:pPr>
              <w:pStyle w:val="Compact"/>
            </w:pPr>
            <w:r>
              <w:t xml:space="preserve">Cooperative membership + 7 years (review after NIN validated)</w:t>
            </w:r>
          </w:p>
        </w:tc>
      </w:tr>
      <w:tr>
        <w:tc>
          <w:tcPr/>
          <w:p>
            <w:pPr>
              <w:pStyle w:val="Compact"/>
            </w:pPr>
            <w:r>
              <w:t xml:space="preserve">Mobile money number (MTN / Airtel)</w:t>
            </w:r>
          </w:p>
        </w:tc>
        <w:tc>
          <w:tcPr/>
          <w:p>
            <w:pPr>
              <w:pStyle w:val="Compact"/>
            </w:pPr>
            <w:r>
              <w:t xml:space="preserve">F-010, F-007</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Cooperative membership + 7 years</w:t>
            </w:r>
          </w:p>
        </w:tc>
      </w:tr>
      <w:tr>
        <w:tc>
          <w:tcPr/>
          <w:p>
            <w:pPr>
              <w:pStyle w:val="Compact"/>
            </w:pPr>
            <w:r>
              <w:t xml:space="preserve">Delivery history (weights, dates, grades)</w:t>
            </w:r>
          </w:p>
        </w:tc>
        <w:tc>
          <w:tcPr/>
          <w:p>
            <w:pPr>
              <w:pStyle w:val="Compact"/>
            </w:pPr>
            <w:r>
              <w:t xml:space="preserve">F-010, F-009</w:t>
            </w:r>
          </w:p>
        </w:tc>
        <w:tc>
          <w:tcPr/>
          <w:p>
            <w:pPr>
              <w:pStyle w:val="Compact"/>
            </w:pPr>
            <w:r>
              <w:t xml:space="preserve">N</w:t>
            </w:r>
          </w:p>
        </w:tc>
        <w:tc>
          <w:tcPr/>
          <w:p>
            <w:pPr>
              <w:pStyle w:val="Compact"/>
            </w:pPr>
            <w:r>
              <w:t xml:space="preserve">Cannot identify person in isolation</w:t>
            </w:r>
          </w:p>
        </w:tc>
        <w:tc>
          <w:tcPr/>
          <w:p>
            <w:pPr>
              <w:pStyle w:val="Compact"/>
            </w:pPr>
            <w:r>
              <w:t xml:space="preserve">7 years (audit trail)</w:t>
            </w:r>
          </w:p>
        </w:tc>
      </w:tr>
      <w:tr>
        <w:tc>
          <w:tcPr/>
          <w:p>
            <w:pPr>
              <w:pStyle w:val="Compact"/>
            </w:pPr>
            <w:r>
              <w:t xml:space="preserve">Payment amounts per farmer</w:t>
            </w:r>
          </w:p>
        </w:tc>
        <w:tc>
          <w:tcPr/>
          <w:p>
            <w:pPr>
              <w:pStyle w:val="Compact"/>
            </w:pPr>
            <w:r>
              <w:t xml:space="preserve">F-010, F-007</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7 years (Income Tax Act)</w:t>
            </w:r>
          </w:p>
        </w:tc>
      </w:tr>
      <w:tr>
        <w:tc>
          <w:tcPr/>
          <w:p>
            <w:pPr>
              <w:pStyle w:val="Compact"/>
            </w:pPr>
            <w:r>
              <w:t xml:space="preserve">Cooperative membership number</w:t>
            </w:r>
          </w:p>
        </w:tc>
        <w:tc>
          <w:tcPr/>
          <w:p>
            <w:pPr>
              <w:pStyle w:val="Compact"/>
            </w:pPr>
            <w:r>
              <w:t xml:space="preserve">F-010</w:t>
            </w:r>
          </w:p>
        </w:tc>
        <w:tc>
          <w:tcPr/>
          <w:p>
            <w:pPr>
              <w:pStyle w:val="Compact"/>
            </w:pPr>
            <w:r>
              <w:t xml:space="preserve">P</w:t>
            </w:r>
          </w:p>
        </w:tc>
        <w:tc>
          <w:tcPr/>
          <w:p>
            <w:pPr>
              <w:pStyle w:val="Compact"/>
            </w:pPr>
            <w:r>
              <w:t xml:space="preserve">Identification — Section 2</w:t>
            </w:r>
          </w:p>
        </w:tc>
        <w:tc>
          <w:tcPr/>
          <w:p>
            <w:pPr>
              <w:pStyle w:val="Compact"/>
            </w:pPr>
            <w:r>
              <w:t xml:space="preserve">Cooperative membership + 7 years</w:t>
            </w:r>
          </w:p>
        </w:tc>
      </w:tr>
      <w:tr>
        <w:tc>
          <w:tcPr/>
          <w:p>
            <w:pPr>
              <w:pStyle w:val="Compact"/>
            </w:pPr>
            <w:r>
              <w:t xml:space="preserve">Farmer age / date of birth</w:t>
            </w:r>
          </w:p>
        </w:tc>
        <w:tc>
          <w:tcPr/>
          <w:p>
            <w:pPr>
              <w:pStyle w:val="Compact"/>
            </w:pPr>
            <w:r>
              <w:t xml:space="preserve">F-010</w:t>
            </w:r>
          </w:p>
        </w:tc>
        <w:tc>
          <w:tcPr/>
          <w:p>
            <w:pPr>
              <w:pStyle w:val="Compact"/>
            </w:pPr>
            <w:r>
              <w:t xml:space="preserve">P</w:t>
            </w:r>
          </w:p>
        </w:tc>
        <w:tc>
          <w:tcPr/>
          <w:p>
            <w:pPr>
              <w:pStyle w:val="Compact"/>
            </w:pPr>
            <w:r>
              <w:t xml:space="preserve">Age / identity — Section 2; Section 8 children safeguard</w:t>
            </w:r>
          </w:p>
        </w:tc>
        <w:tc>
          <w:tcPr/>
          <w:p>
            <w:pPr>
              <w:pStyle w:val="Compact"/>
            </w:pPr>
            <w:r>
              <w:t xml:space="preserve">Cooperative membership + 7 years</w:t>
            </w:r>
          </w:p>
        </w:tc>
      </w:tr>
    </w:tbl>
    <w:p>
      <w:r>
        <w:pict>
          <v:rect style="width:0;height:1.5pt" o:hralign="center" o:hrstd="t" o:hr="t"/>
        </w:pict>
      </w:r>
    </w:p>
    <w:bookmarkEnd w:id="25"/>
    <w:bookmarkStart w:id="26" w:name="Xe87d5ddadceb4f14ae7476d29d4b1258180e0ec"/>
    <w:p>
      <w:pPr>
        <w:pStyle w:val="Heading2"/>
      </w:pPr>
      <w:r>
        <w:t xml:space="preserve">2.2 Employee Data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Module</w:t>
            </w:r>
          </w:p>
        </w:tc>
        <w:tc>
          <w:tcPr/>
          <w:p>
            <w:pPr>
              <w:pStyle w:val="Compact"/>
            </w:pPr>
            <w:r>
              <w:t xml:space="preserve">Tier</w:t>
            </w:r>
          </w:p>
        </w:tc>
        <w:tc>
          <w:tcPr/>
          <w:p>
            <w:pPr>
              <w:pStyle w:val="Compact"/>
            </w:pPr>
            <w:r>
              <w:t xml:space="preserve">Section 9 / Section 2 Basis</w:t>
            </w:r>
          </w:p>
        </w:tc>
        <w:tc>
          <w:tcPr/>
          <w:p>
            <w:pPr>
              <w:pStyle w:val="Compact"/>
            </w:pPr>
            <w:r>
              <w:t xml:space="preserve">Retention Period</w:t>
            </w:r>
          </w:p>
        </w:tc>
      </w:tr>
      <w:tr>
        <w:tc>
          <w:tcPr/>
          <w:p>
            <w:pPr>
              <w:pStyle w:val="Compact"/>
            </w:pPr>
            <w:r>
              <w:t xml:space="preserve">Full name</w:t>
            </w:r>
          </w:p>
        </w:tc>
        <w:tc>
          <w:tcPr/>
          <w:p>
            <w:pPr>
              <w:pStyle w:val="Compact"/>
            </w:pPr>
            <w:r>
              <w:t xml:space="preserve">F-013 HR</w:t>
            </w:r>
          </w:p>
        </w:tc>
        <w:tc>
          <w:tcPr/>
          <w:p>
            <w:pPr>
              <w:pStyle w:val="Compact"/>
            </w:pPr>
            <w:r>
              <w:t xml:space="preserve">P</w:t>
            </w:r>
          </w:p>
        </w:tc>
        <w:tc>
          <w:tcPr/>
          <w:p>
            <w:pPr>
              <w:pStyle w:val="Compact"/>
            </w:pPr>
            <w:r>
              <w:t xml:space="preserve">Identification — Section 2</w:t>
            </w:r>
          </w:p>
        </w:tc>
        <w:tc>
          <w:tcPr/>
          <w:p>
            <w:pPr>
              <w:pStyle w:val="Compact"/>
            </w:pPr>
            <w:r>
              <w:t xml:space="preserve">Employment + 7 years</w:t>
            </w:r>
          </w:p>
        </w:tc>
      </w:tr>
      <w:tr>
        <w:tc>
          <w:tcPr/>
          <w:p>
            <w:pPr>
              <w:pStyle w:val="Compact"/>
            </w:pPr>
            <w:r>
              <w:t xml:space="preserve">National Identification Number (NIN)</w:t>
            </w:r>
          </w:p>
        </w:tc>
        <w:tc>
          <w:tcPr/>
          <w:p>
            <w:pPr>
              <w:pStyle w:val="Compact"/>
            </w:pPr>
            <w:r>
              <w:t xml:space="preserve">F-013 HR</w:t>
            </w:r>
          </w:p>
        </w:tc>
        <w:tc>
          <w:tcPr/>
          <w:p>
            <w:pPr>
              <w:pStyle w:val="Compact"/>
            </w:pPr>
            <w:r>
              <w:t xml:space="preserve">P</w:t>
            </w:r>
          </w:p>
        </w:tc>
        <w:tc>
          <w:tcPr/>
          <w:p>
            <w:pPr>
              <w:pStyle w:val="Compact"/>
            </w:pPr>
            <w:r>
              <w:t xml:space="preserve">Identification number — Section 2(c)</w:t>
            </w:r>
          </w:p>
        </w:tc>
        <w:tc>
          <w:tcPr/>
          <w:p>
            <w:pPr>
              <w:pStyle w:val="Compact"/>
            </w:pPr>
            <w:r>
              <w:t xml:space="preserve">Employment + 7 years</w:t>
            </w:r>
          </w:p>
        </w:tc>
      </w:tr>
      <w:tr>
        <w:tc>
          <w:tcPr/>
          <w:p>
            <w:pPr>
              <w:pStyle w:val="Compact"/>
            </w:pPr>
            <w:r>
              <w:t xml:space="preserve">Home address</w:t>
            </w:r>
          </w:p>
        </w:tc>
        <w:tc>
          <w:tcPr/>
          <w:p>
            <w:pPr>
              <w:pStyle w:val="Compact"/>
            </w:pPr>
            <w:r>
              <w:t xml:space="preserve">F-013 HR</w:t>
            </w:r>
          </w:p>
        </w:tc>
        <w:tc>
          <w:tcPr/>
          <w:p>
            <w:pPr>
              <w:pStyle w:val="Compact"/>
            </w:pPr>
            <w:r>
              <w:t xml:space="preserve">P</w:t>
            </w:r>
          </w:p>
        </w:tc>
        <w:tc>
          <w:tcPr/>
          <w:p>
            <w:pPr>
              <w:pStyle w:val="Compact"/>
            </w:pPr>
            <w:r>
              <w:t xml:space="preserve">Identity data / location — Section 2</w:t>
            </w:r>
          </w:p>
        </w:tc>
        <w:tc>
          <w:tcPr/>
          <w:p>
            <w:pPr>
              <w:pStyle w:val="Compact"/>
            </w:pPr>
            <w:r>
              <w:t xml:space="preserve">Employment + 7 years</w:t>
            </w:r>
          </w:p>
        </w:tc>
      </w:tr>
      <w:tr>
        <w:tc>
          <w:tcPr/>
          <w:p>
            <w:pPr>
              <w:pStyle w:val="Compact"/>
            </w:pPr>
            <w:r>
              <w:t xml:space="preserve">Employee photograph</w:t>
            </w:r>
          </w:p>
        </w:tc>
        <w:tc>
          <w:tcPr/>
          <w:p>
            <w:pPr>
              <w:pStyle w:val="Compact"/>
            </w:pPr>
            <w:r>
              <w:t xml:space="preserve">F-013 HR</w:t>
            </w:r>
          </w:p>
        </w:tc>
        <w:tc>
          <w:tcPr/>
          <w:p>
            <w:pPr>
              <w:pStyle w:val="Compact"/>
            </w:pPr>
            <w:r>
              <w:t xml:space="preserve">P</w:t>
            </w:r>
          </w:p>
        </w:tc>
        <w:tc>
          <w:tcPr/>
          <w:p>
            <w:pPr>
              <w:pStyle w:val="Compact"/>
            </w:pPr>
            <w:r>
              <w:t xml:space="preserve">Identity data — Section 2</w:t>
            </w:r>
          </w:p>
        </w:tc>
        <w:tc>
          <w:tcPr/>
          <w:p>
            <w:pPr>
              <w:pStyle w:val="Compact"/>
            </w:pPr>
            <w:r>
              <w:t xml:space="preserve">Employment + 7 years</w:t>
            </w:r>
          </w:p>
        </w:tc>
      </w:tr>
      <w:tr>
        <w:tc>
          <w:tcPr/>
          <w:p>
            <w:pPr>
              <w:pStyle w:val="Compact"/>
            </w:pPr>
            <w:r>
              <w:t xml:space="preserve">Salary / gross pay / pay grade</w:t>
            </w:r>
          </w:p>
        </w:tc>
        <w:tc>
          <w:tcPr/>
          <w:p>
            <w:pPr>
              <w:pStyle w:val="Compact"/>
            </w:pPr>
            <w:r>
              <w:t xml:space="preserve">F-014 Payroll</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Employment + 7 years (Income Tax Act)</w:t>
            </w:r>
          </w:p>
        </w:tc>
      </w:tr>
      <w:tr>
        <w:tc>
          <w:tcPr/>
          <w:p>
            <w:pPr>
              <w:pStyle w:val="Compact"/>
            </w:pPr>
            <w:r>
              <w:t xml:space="preserve">Payroll deductions (PAYE, NSSF, LST)</w:t>
            </w:r>
          </w:p>
        </w:tc>
        <w:tc>
          <w:tcPr/>
          <w:p>
            <w:pPr>
              <w:pStyle w:val="Compact"/>
            </w:pPr>
            <w:r>
              <w:t xml:space="preserve">F-014 Payroll</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Employment + 7 years</w:t>
            </w:r>
          </w:p>
        </w:tc>
      </w:tr>
      <w:tr>
        <w:tc>
          <w:tcPr/>
          <w:p>
            <w:pPr>
              <w:pStyle w:val="Compact"/>
            </w:pPr>
            <w:r>
              <w:t xml:space="preserve">Bank account number</w:t>
            </w:r>
          </w:p>
        </w:tc>
        <w:tc>
          <w:tcPr/>
          <w:p>
            <w:pPr>
              <w:pStyle w:val="Compact"/>
            </w:pPr>
            <w:r>
              <w:t xml:space="preserve">F-014 Payroll</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Employment + 7 years</w:t>
            </w:r>
          </w:p>
        </w:tc>
      </w:tr>
      <w:tr>
        <w:tc>
          <w:tcPr/>
          <w:p>
            <w:pPr>
              <w:pStyle w:val="Compact"/>
            </w:pPr>
            <w:r>
              <w:t xml:space="preserve">Mobile money number (MTN / Airtel)</w:t>
            </w:r>
          </w:p>
        </w:tc>
        <w:tc>
          <w:tcPr/>
          <w:p>
            <w:pPr>
              <w:pStyle w:val="Compact"/>
            </w:pPr>
            <w:r>
              <w:t xml:space="preserve">F-014 Payroll</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Employment + 7 years</w:t>
            </w:r>
          </w:p>
        </w:tc>
      </w:tr>
      <w:tr>
        <w:tc>
          <w:tcPr/>
          <w:p>
            <w:pPr>
              <w:pStyle w:val="Compact"/>
            </w:pPr>
            <w:r>
              <w:t xml:space="preserve">Staff loan balance</w:t>
            </w:r>
          </w:p>
        </w:tc>
        <w:tc>
          <w:tcPr/>
          <w:p>
            <w:pPr>
              <w:pStyle w:val="Compact"/>
            </w:pPr>
            <w:r>
              <w:t xml:space="preserve">F-013 HR</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Employment + 7 years</w:t>
            </w:r>
          </w:p>
        </w:tc>
      </w:tr>
      <w:tr>
        <w:tc>
          <w:tcPr/>
          <w:p>
            <w:pPr>
              <w:pStyle w:val="Compact"/>
            </w:pPr>
            <w:r>
              <w:t xml:space="preserve">Leave records</w:t>
            </w:r>
          </w:p>
        </w:tc>
        <w:tc>
          <w:tcPr/>
          <w:p>
            <w:pPr>
              <w:pStyle w:val="Compact"/>
            </w:pPr>
            <w:r>
              <w:t xml:space="preserve">F-013 HR</w:t>
            </w:r>
          </w:p>
        </w:tc>
        <w:tc>
          <w:tcPr/>
          <w:p>
            <w:pPr>
              <w:pStyle w:val="Compact"/>
            </w:pPr>
            <w:r>
              <w:t xml:space="preserve">P</w:t>
            </w:r>
          </w:p>
        </w:tc>
        <w:tc>
          <w:tcPr/>
          <w:p>
            <w:pPr>
              <w:pStyle w:val="Compact"/>
            </w:pPr>
            <w:r>
              <w:t xml:space="preserve">Personal circumstance — Section 2</w:t>
            </w:r>
          </w:p>
        </w:tc>
        <w:tc>
          <w:tcPr/>
          <w:p>
            <w:pPr>
              <w:pStyle w:val="Compact"/>
            </w:pPr>
            <w:r>
              <w:t xml:space="preserve">Employment + 7 years</w:t>
            </w:r>
          </w:p>
        </w:tc>
      </w:tr>
      <w:tr>
        <w:tc>
          <w:tcPr/>
          <w:p>
            <w:pPr>
              <w:pStyle w:val="Compact"/>
            </w:pPr>
            <w:r>
              <w:t xml:space="preserve">Disciplinary records</w:t>
            </w:r>
          </w:p>
        </w:tc>
        <w:tc>
          <w:tcPr/>
          <w:p>
            <w:pPr>
              <w:pStyle w:val="Compact"/>
            </w:pPr>
            <w:r>
              <w:t xml:space="preserve">F-013 HR</w:t>
            </w:r>
          </w:p>
        </w:tc>
        <w:tc>
          <w:tcPr/>
          <w:p>
            <w:pPr>
              <w:pStyle w:val="Compact"/>
            </w:pPr>
            <w:r>
              <w:t xml:space="preserve">P</w:t>
            </w:r>
          </w:p>
        </w:tc>
        <w:tc>
          <w:tcPr/>
          <w:p>
            <w:pPr>
              <w:pStyle w:val="Compact"/>
            </w:pPr>
            <w:r>
              <w:t xml:space="preserve">Personal — Section 2</w:t>
            </w:r>
          </w:p>
        </w:tc>
        <w:tc>
          <w:tcPr/>
          <w:p>
            <w:pPr>
              <w:pStyle w:val="Compact"/>
            </w:pPr>
            <w:r>
              <w:t xml:space="preserve">Employment + 7 years</w:t>
            </w:r>
          </w:p>
        </w:tc>
      </w:tr>
      <w:tr>
        <w:tc>
          <w:tcPr/>
          <w:p>
            <w:pPr>
              <w:pStyle w:val="Compact"/>
            </w:pPr>
            <w:r>
              <w:t xml:space="preserve">Biometric fingerprint template</w:t>
            </w:r>
          </w:p>
        </w:tc>
        <w:tc>
          <w:tcPr/>
          <w:p>
            <w:pPr>
              <w:pStyle w:val="Compact"/>
            </w:pPr>
            <w:r>
              <w:t xml:space="preserve">F-013 HR</w:t>
            </w:r>
          </w:p>
        </w:tc>
        <w:tc>
          <w:tcPr/>
          <w:p>
            <w:pPr>
              <w:pStyle w:val="Compact"/>
            </w:pPr>
            <w:r>
              <w:t xml:space="preserve">P</w:t>
            </w:r>
          </w:p>
        </w:tc>
        <w:tc>
          <w:tcPr/>
          <w:p>
            <w:pPr>
              <w:pStyle w:val="Compact"/>
            </w:pPr>
            <w:r>
              <w:t xml:space="preserve">Identity data — Section 2 (NOTE: stored on ZKTeco device ONLY — not in application database)</w:t>
            </w:r>
          </w:p>
        </w:tc>
        <w:tc>
          <w:tcPr/>
          <w:p>
            <w:pPr>
              <w:pStyle w:val="Compact"/>
            </w:pPr>
            <w:r>
              <w:t xml:space="preserve">Duration of employment; deleted from device on exit</w:t>
            </w:r>
          </w:p>
        </w:tc>
      </w:tr>
    </w:tbl>
    <w:p>
      <w:r>
        <w:pict>
          <v:rect style="width:0;height:1.5pt" o:hralign="center" o:hrstd="t" o:hr="t"/>
        </w:pict>
      </w:r>
    </w:p>
    <w:bookmarkEnd w:id="26"/>
    <w:bookmarkStart w:id="27" w:name="Xc5ecbc16292bbc3b126f1c99762f3a4910953a0"/>
    <w:p>
      <w:pPr>
        <w:pStyle w:val="Heading2"/>
      </w:pPr>
      <w:r>
        <w:t xml:space="preserve">2.3 Agent Data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Module</w:t>
            </w:r>
          </w:p>
        </w:tc>
        <w:tc>
          <w:tcPr/>
          <w:p>
            <w:pPr>
              <w:pStyle w:val="Compact"/>
            </w:pPr>
            <w:r>
              <w:t xml:space="preserve">Tier</w:t>
            </w:r>
          </w:p>
        </w:tc>
        <w:tc>
          <w:tcPr/>
          <w:p>
            <w:pPr>
              <w:pStyle w:val="Compact"/>
            </w:pPr>
            <w:r>
              <w:t xml:space="preserve">Section 9 / Section 2 Basis</w:t>
            </w:r>
          </w:p>
        </w:tc>
        <w:tc>
          <w:tcPr/>
          <w:p>
            <w:pPr>
              <w:pStyle w:val="Compact"/>
            </w:pPr>
            <w:r>
              <w:t xml:space="preserve">Retention Period</w:t>
            </w:r>
          </w:p>
        </w:tc>
      </w:tr>
      <w:tr>
        <w:tc>
          <w:tcPr/>
          <w:p>
            <w:pPr>
              <w:pStyle w:val="Compact"/>
            </w:pPr>
            <w:r>
              <w:t xml:space="preserve">Full name</w:t>
            </w:r>
          </w:p>
        </w:tc>
        <w:tc>
          <w:tcPr/>
          <w:p>
            <w:pPr>
              <w:pStyle w:val="Compact"/>
            </w:pPr>
            <w:r>
              <w:t xml:space="preserve">F-004 Agent Distribution</w:t>
            </w:r>
          </w:p>
        </w:tc>
        <w:tc>
          <w:tcPr/>
          <w:p>
            <w:pPr>
              <w:pStyle w:val="Compact"/>
            </w:pPr>
            <w:r>
              <w:t xml:space="preserve">P</w:t>
            </w:r>
          </w:p>
        </w:tc>
        <w:tc>
          <w:tcPr/>
          <w:p>
            <w:pPr>
              <w:pStyle w:val="Compact"/>
            </w:pPr>
            <w:r>
              <w:t xml:space="preserve">Identification — Section 2</w:t>
            </w:r>
          </w:p>
        </w:tc>
        <w:tc>
          <w:tcPr/>
          <w:p>
            <w:pPr>
              <w:pStyle w:val="Compact"/>
            </w:pPr>
            <w:r>
              <w:t xml:space="preserve">Engagement + 7 years</w:t>
            </w:r>
          </w:p>
        </w:tc>
      </w:tr>
      <w:tr>
        <w:tc>
          <w:tcPr/>
          <w:p>
            <w:pPr>
              <w:pStyle w:val="Compact"/>
            </w:pPr>
            <w:r>
              <w:t xml:space="preserve">National Identification Number (NIN)</w:t>
            </w:r>
          </w:p>
        </w:tc>
        <w:tc>
          <w:tcPr/>
          <w:p>
            <w:pPr>
              <w:pStyle w:val="Compact"/>
            </w:pPr>
            <w:r>
              <w:t xml:space="preserve">F-004</w:t>
            </w:r>
          </w:p>
        </w:tc>
        <w:tc>
          <w:tcPr/>
          <w:p>
            <w:pPr>
              <w:pStyle w:val="Compact"/>
            </w:pPr>
            <w:r>
              <w:t xml:space="preserve">P</w:t>
            </w:r>
          </w:p>
        </w:tc>
        <w:tc>
          <w:tcPr/>
          <w:p>
            <w:pPr>
              <w:pStyle w:val="Compact"/>
            </w:pPr>
            <w:r>
              <w:t xml:space="preserve">Identification number — Section 2(c)</w:t>
            </w:r>
          </w:p>
        </w:tc>
        <w:tc>
          <w:tcPr/>
          <w:p>
            <w:pPr>
              <w:pStyle w:val="Compact"/>
            </w:pPr>
            <w:r>
              <w:t xml:space="preserve">Engagement + 7 years</w:t>
            </w:r>
          </w:p>
        </w:tc>
      </w:tr>
      <w:tr>
        <w:tc>
          <w:tcPr/>
          <w:p>
            <w:pPr>
              <w:pStyle w:val="Compact"/>
            </w:pPr>
            <w:r>
              <w:t xml:space="preserve">Contact phone number</w:t>
            </w:r>
          </w:p>
        </w:tc>
        <w:tc>
          <w:tcPr/>
          <w:p>
            <w:pPr>
              <w:pStyle w:val="Compact"/>
            </w:pPr>
            <w:r>
              <w:t xml:space="preserve">F-004</w:t>
            </w:r>
          </w:p>
        </w:tc>
        <w:tc>
          <w:tcPr/>
          <w:p>
            <w:pPr>
              <w:pStyle w:val="Compact"/>
            </w:pPr>
            <w:r>
              <w:t xml:space="preserve">P</w:t>
            </w:r>
          </w:p>
        </w:tc>
        <w:tc>
          <w:tcPr/>
          <w:p>
            <w:pPr>
              <w:pStyle w:val="Compact"/>
            </w:pPr>
            <w:r>
              <w:t xml:space="preserve">Identification — Section 2</w:t>
            </w:r>
          </w:p>
        </w:tc>
        <w:tc>
          <w:tcPr/>
          <w:p>
            <w:pPr>
              <w:pStyle w:val="Compact"/>
            </w:pPr>
            <w:r>
              <w:t xml:space="preserve">Engagement + 7 years</w:t>
            </w:r>
          </w:p>
        </w:tc>
      </w:tr>
      <w:tr>
        <w:tc>
          <w:tcPr/>
          <w:p>
            <w:pPr>
              <w:pStyle w:val="Compact"/>
            </w:pPr>
            <w:r>
              <w:t xml:space="preserve">Mobile money number (MTN / Airtel)</w:t>
            </w:r>
          </w:p>
        </w:tc>
        <w:tc>
          <w:tcPr/>
          <w:p>
            <w:pPr>
              <w:pStyle w:val="Compact"/>
            </w:pPr>
            <w:r>
              <w:t xml:space="preserve">F-004</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Engagement + 7 years</w:t>
            </w:r>
          </w:p>
        </w:tc>
      </w:tr>
      <w:tr>
        <w:tc>
          <w:tcPr/>
          <w:p>
            <w:pPr>
              <w:pStyle w:val="Compact"/>
            </w:pPr>
            <w:r>
              <w:t xml:space="preserve">Commission amounts</w:t>
            </w:r>
          </w:p>
        </w:tc>
        <w:tc>
          <w:tcPr/>
          <w:p>
            <w:pPr>
              <w:pStyle w:val="Compact"/>
            </w:pPr>
            <w:r>
              <w:t xml:space="preserve">F-004</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Engagement + 7 years</w:t>
            </w:r>
          </w:p>
        </w:tc>
      </w:tr>
      <w:tr>
        <w:tc>
          <w:tcPr/>
          <w:p>
            <w:pPr>
              <w:pStyle w:val="Compact"/>
            </w:pPr>
            <w:r>
              <w:t xml:space="preserve">Cash balance (agent liability)</w:t>
            </w:r>
          </w:p>
        </w:tc>
        <w:tc>
          <w:tcPr/>
          <w:p>
            <w:pPr>
              <w:pStyle w:val="Compact"/>
            </w:pPr>
            <w:r>
              <w:t xml:space="preserve">F-004</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Engagement + 7 years</w:t>
            </w:r>
          </w:p>
        </w:tc>
      </w:tr>
      <w:tr>
        <w:tc>
          <w:tcPr/>
          <w:p>
            <w:pPr>
              <w:pStyle w:val="Compact"/>
            </w:pPr>
            <w:r>
              <w:t xml:space="preserve">Agent stock balance</w:t>
            </w:r>
          </w:p>
        </w:tc>
        <w:tc>
          <w:tcPr/>
          <w:p>
            <w:pPr>
              <w:pStyle w:val="Compact"/>
            </w:pPr>
            <w:r>
              <w:t xml:space="preserve">F-004</w:t>
            </w:r>
          </w:p>
        </w:tc>
        <w:tc>
          <w:tcPr/>
          <w:p>
            <w:pPr>
              <w:pStyle w:val="Compact"/>
            </w:pPr>
            <w:r>
              <w:t xml:space="preserve">N</w:t>
            </w:r>
          </w:p>
        </w:tc>
        <w:tc>
          <w:tcPr/>
          <w:p>
            <w:pPr>
              <w:pStyle w:val="Compact"/>
            </w:pPr>
            <w:r>
              <w:t xml:space="preserve">Commercial inventory — not personal financial data</w:t>
            </w:r>
          </w:p>
        </w:tc>
        <w:tc>
          <w:tcPr/>
          <w:p>
            <w:pPr>
              <w:pStyle w:val="Compact"/>
            </w:pPr>
            <w:r>
              <w:t xml:space="preserve">7 years</w:t>
            </w:r>
          </w:p>
        </w:tc>
      </w:tr>
    </w:tbl>
    <w:p>
      <w:r>
        <w:pict>
          <v:rect style="width:0;height:1.5pt" o:hralign="center" o:hrstd="t" o:hr="t"/>
        </w:pict>
      </w:r>
    </w:p>
    <w:bookmarkEnd w:id="27"/>
    <w:bookmarkStart w:id="28" w:name="Xeb8cee2632b4104ebd700eb22573ebf64cf5324"/>
    <w:p>
      <w:pPr>
        <w:pStyle w:val="Heading2"/>
      </w:pPr>
      <w:r>
        <w:t xml:space="preserve">2.4 Special Personal Data Summary (S-Tier Fields)</w:t>
      </w:r>
    </w:p>
    <w:p>
      <w:pPr>
        <w:pStyle w:val="FirstParagraph"/>
      </w:pPr>
      <w:r>
        <w:t xml:space="preserve">The following fields are classified as Special personal data under Section 9 DPPA 2019. Every one requires AES-256-GCM encryption at rest.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Data Subject</w:t>
            </w:r>
          </w:p>
        </w:tc>
        <w:tc>
          <w:tcPr/>
          <w:p>
            <w:pPr>
              <w:pStyle w:val="Compact"/>
            </w:pPr>
            <w:r>
              <w:t xml:space="preserve">Module</w:t>
            </w:r>
          </w:p>
        </w:tc>
      </w:tr>
      <w:tr>
        <w:tc>
          <w:tcPr/>
          <w:p>
            <w:pPr>
              <w:pStyle w:val="Compact"/>
            </w:pPr>
            <w:r>
              <w:t xml:space="preserve">Mobile money number</w:t>
            </w:r>
          </w:p>
        </w:tc>
        <w:tc>
          <w:tcPr/>
          <w:p>
            <w:pPr>
              <w:pStyle w:val="Compact"/>
            </w:pPr>
            <w:r>
              <w:t xml:space="preserve">Farmer</w:t>
            </w:r>
          </w:p>
        </w:tc>
        <w:tc>
          <w:tcPr/>
          <w:p>
            <w:pPr>
              <w:pStyle w:val="Compact"/>
            </w:pPr>
            <w:r>
              <w:t xml:space="preserve">F-010, F-007</w:t>
            </w:r>
          </w:p>
        </w:tc>
      </w:tr>
      <w:tr>
        <w:tc>
          <w:tcPr/>
          <w:p>
            <w:pPr>
              <w:pStyle w:val="Compact"/>
            </w:pPr>
            <w:r>
              <w:t xml:space="preserve">Payment amounts</w:t>
            </w:r>
          </w:p>
        </w:tc>
        <w:tc>
          <w:tcPr/>
          <w:p>
            <w:pPr>
              <w:pStyle w:val="Compact"/>
            </w:pPr>
            <w:r>
              <w:t xml:space="preserve">Farmer</w:t>
            </w:r>
          </w:p>
        </w:tc>
        <w:tc>
          <w:tcPr/>
          <w:p>
            <w:pPr>
              <w:pStyle w:val="Compact"/>
            </w:pPr>
            <w:r>
              <w:t xml:space="preserve">F-010, F-007</w:t>
            </w:r>
          </w:p>
        </w:tc>
      </w:tr>
      <w:tr>
        <w:tc>
          <w:tcPr/>
          <w:p>
            <w:pPr>
              <w:pStyle w:val="Compact"/>
            </w:pPr>
            <w:r>
              <w:t xml:space="preserve">Mobile money number</w:t>
            </w:r>
          </w:p>
        </w:tc>
        <w:tc>
          <w:tcPr/>
          <w:p>
            <w:pPr>
              <w:pStyle w:val="Compact"/>
            </w:pPr>
            <w:r>
              <w:t xml:space="preserve">Employee</w:t>
            </w:r>
          </w:p>
        </w:tc>
        <w:tc>
          <w:tcPr/>
          <w:p>
            <w:pPr>
              <w:pStyle w:val="Compact"/>
            </w:pPr>
            <w:r>
              <w:t xml:space="preserve">F-014</w:t>
            </w:r>
          </w:p>
        </w:tc>
      </w:tr>
      <w:tr>
        <w:tc>
          <w:tcPr/>
          <w:p>
            <w:pPr>
              <w:pStyle w:val="Compact"/>
            </w:pPr>
            <w:r>
              <w:t xml:space="preserve">Salary / pay grade / deductions</w:t>
            </w:r>
          </w:p>
        </w:tc>
        <w:tc>
          <w:tcPr/>
          <w:p>
            <w:pPr>
              <w:pStyle w:val="Compact"/>
            </w:pPr>
            <w:r>
              <w:t xml:space="preserve">Employee</w:t>
            </w:r>
          </w:p>
        </w:tc>
        <w:tc>
          <w:tcPr/>
          <w:p>
            <w:pPr>
              <w:pStyle w:val="Compact"/>
            </w:pPr>
            <w:r>
              <w:t xml:space="preserve">F-014</w:t>
            </w:r>
          </w:p>
        </w:tc>
      </w:tr>
      <w:tr>
        <w:tc>
          <w:tcPr/>
          <w:p>
            <w:pPr>
              <w:pStyle w:val="Compact"/>
            </w:pPr>
            <w:r>
              <w:t xml:space="preserve">Bank account number</w:t>
            </w:r>
          </w:p>
        </w:tc>
        <w:tc>
          <w:tcPr/>
          <w:p>
            <w:pPr>
              <w:pStyle w:val="Compact"/>
            </w:pPr>
            <w:r>
              <w:t xml:space="preserve">Employee</w:t>
            </w:r>
          </w:p>
        </w:tc>
        <w:tc>
          <w:tcPr/>
          <w:p>
            <w:pPr>
              <w:pStyle w:val="Compact"/>
            </w:pPr>
            <w:r>
              <w:t xml:space="preserve">F-014</w:t>
            </w:r>
          </w:p>
        </w:tc>
      </w:tr>
      <w:tr>
        <w:tc>
          <w:tcPr/>
          <w:p>
            <w:pPr>
              <w:pStyle w:val="Compact"/>
            </w:pPr>
            <w:r>
              <w:t xml:space="preserve">Staff loan balance</w:t>
            </w:r>
          </w:p>
        </w:tc>
        <w:tc>
          <w:tcPr/>
          <w:p>
            <w:pPr>
              <w:pStyle w:val="Compact"/>
            </w:pPr>
            <w:r>
              <w:t xml:space="preserve">Employee</w:t>
            </w:r>
          </w:p>
        </w:tc>
        <w:tc>
          <w:tcPr/>
          <w:p>
            <w:pPr>
              <w:pStyle w:val="Compact"/>
            </w:pPr>
            <w:r>
              <w:t xml:space="preserve">F-013</w:t>
            </w:r>
          </w:p>
        </w:tc>
      </w:tr>
      <w:tr>
        <w:tc>
          <w:tcPr/>
          <w:p>
            <w:pPr>
              <w:pStyle w:val="Compact"/>
            </w:pPr>
            <w:r>
              <w:t xml:space="preserve">Mobile money number</w:t>
            </w:r>
          </w:p>
        </w:tc>
        <w:tc>
          <w:tcPr/>
          <w:p>
            <w:pPr>
              <w:pStyle w:val="Compact"/>
            </w:pPr>
            <w:r>
              <w:t xml:space="preserve">Agent</w:t>
            </w:r>
          </w:p>
        </w:tc>
        <w:tc>
          <w:tcPr/>
          <w:p>
            <w:pPr>
              <w:pStyle w:val="Compact"/>
            </w:pPr>
            <w:r>
              <w:t xml:space="preserve">F-004</w:t>
            </w:r>
          </w:p>
        </w:tc>
      </w:tr>
      <w:tr>
        <w:tc>
          <w:tcPr/>
          <w:p>
            <w:pPr>
              <w:pStyle w:val="Compact"/>
            </w:pPr>
            <w:r>
              <w:t xml:space="preserve">Commission amounts</w:t>
            </w:r>
          </w:p>
        </w:tc>
        <w:tc>
          <w:tcPr/>
          <w:p>
            <w:pPr>
              <w:pStyle w:val="Compact"/>
            </w:pPr>
            <w:r>
              <w:t xml:space="preserve">Agent</w:t>
            </w:r>
          </w:p>
        </w:tc>
        <w:tc>
          <w:tcPr/>
          <w:p>
            <w:pPr>
              <w:pStyle w:val="Compact"/>
            </w:pPr>
            <w:r>
              <w:t xml:space="preserve">F-004</w:t>
            </w:r>
          </w:p>
        </w:tc>
      </w:tr>
      <w:tr>
        <w:tc>
          <w:tcPr/>
          <w:p>
            <w:pPr>
              <w:pStyle w:val="Compact"/>
            </w:pPr>
            <w:r>
              <w:t xml:space="preserve">Cash balance</w:t>
            </w:r>
          </w:p>
        </w:tc>
        <w:tc>
          <w:tcPr/>
          <w:p>
            <w:pPr>
              <w:pStyle w:val="Compact"/>
            </w:pPr>
            <w:r>
              <w:t xml:space="preserve">Agent</w:t>
            </w:r>
          </w:p>
        </w:tc>
        <w:tc>
          <w:tcPr/>
          <w:p>
            <w:pPr>
              <w:pStyle w:val="Compact"/>
            </w:pPr>
            <w:r>
              <w:t xml:space="preserve">F-004</w:t>
            </w:r>
          </w:p>
        </w:tc>
      </w:tr>
    </w:tbl>
    <w:p>
      <w:r>
        <w:pict>
          <v:rect style="width:0;height:1.5pt" o:hralign="center" o:hrstd="t" o:hr="t"/>
        </w:pict>
      </w:r>
    </w:p>
    <w:bookmarkEnd w:id="28"/>
    <w:bookmarkStart w:id="29" w:name="X84757e9c590dfabcffd34333466939b9ba5bdb0"/>
    <w:p>
      <w:pPr>
        <w:pStyle w:val="Heading2"/>
      </w:pPr>
      <w:r>
        <w:t xml:space="preserve">2.5 Non-Personal Data Confirmation</w:t>
      </w:r>
    </w:p>
    <w:p>
      <w:pPr>
        <w:pStyle w:val="FirstParagraph"/>
      </w:pPr>
      <w:r>
        <w:t xml:space="preserve">The following fields are N-tier and are not subject to DPPA consent or security requirements beyond standard practice:</w:t>
      </w:r>
    </w:p>
    <w:p>
      <w:pPr>
        <w:pStyle w:val="Compact"/>
        <w:numPr>
          <w:ilvl w:val="0"/>
          <w:numId w:val="1002"/>
        </w:numPr>
      </w:pPr>
      <w:r>
        <w:t xml:space="preserve">Product batch weight (kg)</w:t>
      </w:r>
    </w:p>
    <w:p>
      <w:pPr>
        <w:pStyle w:val="Compact"/>
        <w:numPr>
          <w:ilvl w:val="0"/>
          <w:numId w:val="1002"/>
        </w:numPr>
      </w:pPr>
      <w:r>
        <w:t xml:space="preserve">Production order quantities</w:t>
      </w:r>
    </w:p>
    <w:p>
      <w:pPr>
        <w:pStyle w:val="Compact"/>
        <w:numPr>
          <w:ilvl w:val="0"/>
          <w:numId w:val="1002"/>
        </w:numPr>
      </w:pPr>
      <w:r>
        <w:t xml:space="preserve">Delivery weight per batch (aggregate)</w:t>
      </w:r>
    </w:p>
    <w:p>
      <w:pPr>
        <w:pStyle w:val="Compact"/>
        <w:numPr>
          <w:ilvl w:val="0"/>
          <w:numId w:val="1002"/>
        </w:numPr>
      </w:pPr>
      <w:r>
        <w:t xml:space="preserve">Invoice totals (commercial — not linked to individual farmer)</w:t>
      </w:r>
    </w:p>
    <w:p>
      <w:pPr>
        <w:pStyle w:val="Compact"/>
        <w:numPr>
          <w:ilvl w:val="0"/>
          <w:numId w:val="1002"/>
        </w:numPr>
      </w:pPr>
      <w:r>
        <w:t xml:space="preserve">Warehouse stock balances</w:t>
      </w:r>
    </w:p>
    <w:p>
      <w:pPr>
        <w:pStyle w:val="Compact"/>
        <w:numPr>
          <w:ilvl w:val="0"/>
          <w:numId w:val="1002"/>
        </w:numPr>
      </w:pPr>
      <w:r>
        <w:t xml:space="preserve">Quality inspection results (aggregate)</w:t>
      </w:r>
    </w:p>
    <w:bookmarkEnd w:id="29"/>
    <w:bookmarkEnd w:id="30"/>
    <w:bookmarkStart w:id="35" w:name="Xa77a1e5b13011dd3bfa0ef996ce8d85479a4d96"/>
    <w:p>
      <w:pPr>
        <w:pStyle w:val="Heading1"/>
      </w:pPr>
      <w:r>
        <w:t xml:space="preserve">Section 3 — Lawful Basis Mapping (Section 7, DPPA 2019)</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bookmarkStart w:id="31" w:name="X78d8a08da62358e06425253b23e18e337e59a10"/>
    <w:p>
      <w:pPr>
        <w:pStyle w:val="Heading2"/>
      </w:pPr>
      <w:r>
        <w:t xml:space="preserve">3.1 Farmer Data — Lawful Basis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Field</w:t>
            </w:r>
          </w:p>
        </w:tc>
        <w:tc>
          <w:tcPr/>
          <w:p>
            <w:pPr>
              <w:pStyle w:val="Compact"/>
            </w:pPr>
            <w:r>
              <w:t xml:space="preserve">Tier</w:t>
            </w:r>
          </w:p>
        </w:tc>
        <w:tc>
          <w:tcPr/>
          <w:p>
            <w:pPr>
              <w:pStyle w:val="Compact"/>
            </w:pPr>
            <w:r>
              <w:t xml:space="preserve">Lawful Basis (Section 7)</w:t>
            </w:r>
          </w:p>
        </w:tc>
        <w:tc>
          <w:tcPr/>
          <w:p>
            <w:pPr>
              <w:pStyle w:val="Compact"/>
            </w:pPr>
            <w:r>
              <w:t xml:space="preserve">Specific Legal Ground</w:t>
            </w:r>
          </w:p>
        </w:tc>
      </w:tr>
      <w:tr>
        <w:tc>
          <w:tcPr/>
          <w:p>
            <w:pPr>
              <w:pStyle w:val="Compact"/>
            </w:pPr>
            <w:r>
              <w:t xml:space="preserve">Full name</w:t>
            </w:r>
          </w:p>
        </w:tc>
        <w:tc>
          <w:tcPr/>
          <w:p>
            <w:pPr>
              <w:pStyle w:val="Compact"/>
            </w:pPr>
            <w:r>
              <w:t xml:space="preserve">P</w:t>
            </w:r>
          </w:p>
        </w:tc>
        <w:tc>
          <w:tcPr/>
          <w:p>
            <w:pPr>
              <w:pStyle w:val="Compact"/>
            </w:pPr>
            <w:r>
              <w:t xml:space="preserve">Consent + Legal obligation</w:t>
            </w:r>
          </w:p>
        </w:tc>
        <w:tc>
          <w:tcPr/>
          <w:p>
            <w:pPr>
              <w:pStyle w:val="Compact"/>
            </w:pPr>
            <w:r>
              <w:t xml:space="preserve">Consent at farmer registration; legal obligation under cooperative procurement records requirements</w:t>
            </w:r>
          </w:p>
        </w:tc>
      </w:tr>
      <w:tr>
        <w:tc>
          <w:tcPr/>
          <w:p>
            <w:pPr>
              <w:pStyle w:val="Compact"/>
            </w:pPr>
            <w:r>
              <w:t xml:space="preserve">NIN</w:t>
            </w:r>
          </w:p>
        </w:tc>
        <w:tc>
          <w:tcPr/>
          <w:p>
            <w:pPr>
              <w:pStyle w:val="Compact"/>
            </w:pPr>
            <w:r>
              <w:t xml:space="preserve">P</w:t>
            </w:r>
          </w:p>
        </w:tc>
        <w:tc>
          <w:tcPr/>
          <w:p>
            <w:pPr>
              <w:pStyle w:val="Compact"/>
            </w:pPr>
            <w:r>
              <w:t xml:space="preserve">Consent + Legal obligation</w:t>
            </w:r>
          </w:p>
        </w:tc>
        <w:tc>
          <w:tcPr/>
          <w:p>
            <w:pPr>
              <w:pStyle w:val="Compact"/>
            </w:pPr>
            <w:r>
              <w:t xml:space="preserve">Consent at registration; NIRA identity verification required for PPDA-compliant cooperative procurement</w:t>
            </w:r>
          </w:p>
        </w:tc>
      </w:tr>
      <w:tr>
        <w:tc>
          <w:tcPr/>
          <w:p>
            <w:pPr>
              <w:pStyle w:val="Compact"/>
            </w:pPr>
            <w:r>
              <w:t xml:space="preserve">Contact phone</w:t>
            </w:r>
          </w:p>
        </w:tc>
        <w:tc>
          <w:tcPr/>
          <w:p>
            <w:pPr>
              <w:pStyle w:val="Compact"/>
            </w:pPr>
            <w:r>
              <w:t xml:space="preserve">P</w:t>
            </w:r>
          </w:p>
        </w:tc>
        <w:tc>
          <w:tcPr/>
          <w:p>
            <w:pPr>
              <w:pStyle w:val="Compact"/>
            </w:pPr>
            <w:r>
              <w:t xml:space="preserve">Consent</w:t>
            </w:r>
          </w:p>
        </w:tc>
        <w:tc>
          <w:tcPr/>
          <w:p>
            <w:pPr>
              <w:pStyle w:val="Compact"/>
            </w:pPr>
            <w:r>
              <w:t xml:space="preserve">Consent at registration — farmer communication and SMS payment confirmation</w:t>
            </w:r>
          </w:p>
        </w:tc>
      </w:tr>
      <w:tr>
        <w:tc>
          <w:tcPr/>
          <w:p>
            <w:pPr>
              <w:pStyle w:val="Compact"/>
            </w:pPr>
            <w:r>
              <w:t xml:space="preserve">GPS farm coordinates</w:t>
            </w:r>
          </w:p>
        </w:tc>
        <w:tc>
          <w:tcPr/>
          <w:p>
            <w:pPr>
              <w:pStyle w:val="Compact"/>
            </w:pPr>
            <w:r>
              <w:t xml:space="preserve">P</w:t>
            </w:r>
          </w:p>
        </w:tc>
        <w:tc>
          <w:tcPr/>
          <w:p>
            <w:pPr>
              <w:pStyle w:val="Compact"/>
            </w:pPr>
            <w:r>
              <w:t xml:space="preserve">Consent + Performance of contract</w:t>
            </w:r>
          </w:p>
        </w:tc>
        <w:tc>
          <w:tcPr/>
          <w:p>
            <w:pPr>
              <w:pStyle w:val="Compact"/>
            </w:pPr>
            <w:r>
              <w:t xml:space="preserve">Consent at registration; required for farm traceability and cooperative procurement chain of custody</w:t>
            </w:r>
          </w:p>
        </w:tc>
      </w:tr>
      <w:tr>
        <w:tc>
          <w:tcPr/>
          <w:p>
            <w:pPr>
              <w:pStyle w:val="Compact"/>
            </w:pPr>
            <w:r>
              <w:t xml:space="preserve">Farmer photograph</w:t>
            </w:r>
          </w:p>
        </w:tc>
        <w:tc>
          <w:tcPr/>
          <w:p>
            <w:pPr>
              <w:pStyle w:val="Compact"/>
            </w:pPr>
            <w:r>
              <w:t xml:space="preserve">P</w:t>
            </w:r>
          </w:p>
        </w:tc>
        <w:tc>
          <w:tcPr/>
          <w:p>
            <w:pPr>
              <w:pStyle w:val="Compact"/>
            </w:pPr>
            <w:r>
              <w:t xml:space="preserve">Consent</w:t>
            </w:r>
          </w:p>
        </w:tc>
        <w:tc>
          <w:tcPr/>
          <w:p>
            <w:pPr>
              <w:pStyle w:val="Compact"/>
            </w:pPr>
            <w:r>
              <w:t xml:space="preserve">Consent at registration — identity verification at collection point</w:t>
            </w:r>
          </w:p>
        </w:tc>
      </w:tr>
      <w:tr>
        <w:tc>
          <w:tcPr/>
          <w:p>
            <w:pPr>
              <w:pStyle w:val="Compact"/>
            </w:pPr>
            <w:r>
              <w:t xml:space="preserve">Mobile money number</w:t>
            </w:r>
          </w:p>
        </w:tc>
        <w:tc>
          <w:tcPr/>
          <w:p>
            <w:pPr>
              <w:pStyle w:val="Compact"/>
            </w:pPr>
            <w:r>
              <w:rPr>
                <w:b/>
                <w:bCs/>
              </w:rPr>
              <w:t xml:space="preserve">S</w:t>
            </w:r>
          </w:p>
        </w:tc>
        <w:tc>
          <w:tcPr/>
          <w:p>
            <w:pPr>
              <w:pStyle w:val="Compact"/>
            </w:pPr>
            <w:r>
              <w:t xml:space="preserve">Consent + Legal obligation</w:t>
            </w:r>
          </w:p>
        </w:tc>
        <w:tc>
          <w:tcPr/>
          <w:p>
            <w:pPr>
              <w:pStyle w:val="Compact"/>
            </w:pPr>
            <w:r>
              <w:t xml:space="preserve">Consent at registration; required for bulk payment disbursement per cooperative payment obligation; Income Tax Act payment records</w:t>
            </w:r>
          </w:p>
        </w:tc>
      </w:tr>
      <w:tr>
        <w:tc>
          <w:tcPr/>
          <w:p>
            <w:pPr>
              <w:pStyle w:val="Compact"/>
            </w:pPr>
            <w:r>
              <w:t xml:space="preserve">Payment amounts</w:t>
            </w:r>
          </w:p>
        </w:tc>
        <w:tc>
          <w:tcPr/>
          <w:p>
            <w:pPr>
              <w:pStyle w:val="Compact"/>
            </w:pPr>
            <w:r>
              <w:rPr>
                <w:b/>
                <w:bCs/>
              </w:rPr>
              <w:t xml:space="preserve">S</w:t>
            </w:r>
          </w:p>
        </w:tc>
        <w:tc>
          <w:tcPr/>
          <w:p>
            <w:pPr>
              <w:pStyle w:val="Compact"/>
            </w:pPr>
            <w:r>
              <w:t xml:space="preserve">Legal obligation</w:t>
            </w:r>
          </w:p>
        </w:tc>
        <w:tc>
          <w:tcPr/>
          <w:p>
            <w:pPr>
              <w:pStyle w:val="Compact"/>
            </w:pPr>
            <w:r>
              <w:t xml:space="preserve">Income Tax Act Cap 340 — 7-year payment record retention; PPDA cooperative procurement audit trail</w:t>
            </w:r>
          </w:p>
        </w:tc>
      </w:tr>
      <w:tr>
        <w:tc>
          <w:tcPr/>
          <w:p>
            <w:pPr>
              <w:pStyle w:val="Compact"/>
            </w:pPr>
            <w:r>
              <w:t xml:space="preserve">Cooperative membership number</w:t>
            </w:r>
          </w:p>
        </w:tc>
        <w:tc>
          <w:tcPr/>
          <w:p>
            <w:pPr>
              <w:pStyle w:val="Compact"/>
            </w:pPr>
            <w:r>
              <w:t xml:space="preserve">P</w:t>
            </w:r>
          </w:p>
        </w:tc>
        <w:tc>
          <w:tcPr/>
          <w:p>
            <w:pPr>
              <w:pStyle w:val="Compact"/>
            </w:pPr>
            <w:r>
              <w:t xml:space="preserve">Performance of contract</w:t>
            </w:r>
          </w:p>
        </w:tc>
        <w:tc>
          <w:tcPr/>
          <w:p>
            <w:pPr>
              <w:pStyle w:val="Compact"/>
            </w:pPr>
            <w:r>
              <w:t xml:space="preserve">Cooperative membership terms</w:t>
            </w:r>
          </w:p>
        </w:tc>
      </w:tr>
      <w:tr>
        <w:tc>
          <w:tcPr/>
          <w:p>
            <w:pPr>
              <w:pStyle w:val="Compact"/>
            </w:pPr>
            <w:r>
              <w:t xml:space="preserve">Farmer age</w:t>
            </w:r>
          </w:p>
        </w:tc>
        <w:tc>
          <w:tcPr/>
          <w:p>
            <w:pPr>
              <w:pStyle w:val="Compact"/>
            </w:pPr>
            <w:r>
              <w:t xml:space="preserve">P</w:t>
            </w:r>
          </w:p>
        </w:tc>
        <w:tc>
          <w:tcPr/>
          <w:p>
            <w:pPr>
              <w:pStyle w:val="Compact"/>
            </w:pPr>
            <w:r>
              <w:t xml:space="preserve">Consent + Section 8 safeguard</w:t>
            </w:r>
          </w:p>
        </w:tc>
        <w:tc>
          <w:tcPr/>
          <w:p>
            <w:pPr>
              <w:pStyle w:val="Compact"/>
            </w:pPr>
            <w:r>
              <w:t xml:space="preserve">Consent; age verification required by Section 8 DPPA 2019 for data subjects who may be under 18</w:t>
            </w:r>
          </w:p>
        </w:tc>
      </w:tr>
    </w:tbl>
    <w:p>
      <w:r>
        <w:pict>
          <v:rect style="width:0;height:1.5pt" o:hralign="center" o:hrstd="t" o:hr="t"/>
        </w:pict>
      </w:r>
    </w:p>
    <w:bookmarkEnd w:id="31"/>
    <w:bookmarkStart w:id="32" w:name="Xb4aa38051f014a370e83a5bbca81c95157449ba"/>
    <w:p>
      <w:pPr>
        <w:pStyle w:val="Heading2"/>
      </w:pPr>
      <w:r>
        <w:t xml:space="preserve">3.2 Employee Data — Lawful Basis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Field</w:t>
            </w:r>
          </w:p>
        </w:tc>
        <w:tc>
          <w:tcPr/>
          <w:p>
            <w:pPr>
              <w:pStyle w:val="Compact"/>
            </w:pPr>
            <w:r>
              <w:t xml:space="preserve">Tier</w:t>
            </w:r>
          </w:p>
        </w:tc>
        <w:tc>
          <w:tcPr/>
          <w:p>
            <w:pPr>
              <w:pStyle w:val="Compact"/>
            </w:pPr>
            <w:r>
              <w:t xml:space="preserve">Lawful Basis (Section 7)</w:t>
            </w:r>
          </w:p>
        </w:tc>
        <w:tc>
          <w:tcPr/>
          <w:p>
            <w:pPr>
              <w:pStyle w:val="Compact"/>
            </w:pPr>
            <w:r>
              <w:t xml:space="preserve">Specific Legal Ground</w:t>
            </w:r>
          </w:p>
        </w:tc>
      </w:tr>
      <w:tr>
        <w:tc>
          <w:tcPr/>
          <w:p>
            <w:pPr>
              <w:pStyle w:val="Compact"/>
            </w:pPr>
            <w:r>
              <w:t xml:space="preserve">Full name</w:t>
            </w:r>
          </w:p>
        </w:tc>
        <w:tc>
          <w:tcPr/>
          <w:p>
            <w:pPr>
              <w:pStyle w:val="Compact"/>
            </w:pPr>
            <w:r>
              <w:t xml:space="preserve">P</w:t>
            </w:r>
          </w:p>
        </w:tc>
        <w:tc>
          <w:tcPr/>
          <w:p>
            <w:pPr>
              <w:pStyle w:val="Compact"/>
            </w:pPr>
            <w:r>
              <w:t xml:space="preserve">Performance of contract</w:t>
            </w:r>
          </w:p>
        </w:tc>
        <w:tc>
          <w:tcPr/>
          <w:p>
            <w:pPr>
              <w:pStyle w:val="Compact"/>
            </w:pPr>
            <w:r>
              <w:t xml:space="preserve">Employment contract</w:t>
            </w:r>
          </w:p>
        </w:tc>
      </w:tr>
      <w:tr>
        <w:tc>
          <w:tcPr/>
          <w:p>
            <w:pPr>
              <w:pStyle w:val="Compact"/>
            </w:pPr>
            <w:r>
              <w:t xml:space="preserve">NIN</w:t>
            </w:r>
          </w:p>
        </w:tc>
        <w:tc>
          <w:tcPr/>
          <w:p>
            <w:pPr>
              <w:pStyle w:val="Compact"/>
            </w:pPr>
            <w:r>
              <w:t xml:space="preserve">P</w:t>
            </w:r>
          </w:p>
        </w:tc>
        <w:tc>
          <w:tcPr/>
          <w:p>
            <w:pPr>
              <w:pStyle w:val="Compact"/>
            </w:pPr>
            <w:r>
              <w:t xml:space="preserve">Legal obligation</w:t>
            </w:r>
          </w:p>
        </w:tc>
        <w:tc>
          <w:tcPr/>
          <w:p>
            <w:pPr>
              <w:pStyle w:val="Compact"/>
            </w:pPr>
            <w:r>
              <w:t xml:space="preserve">Income Tax Act — employer PAYE obligations; NSSF Act</w:t>
            </w:r>
          </w:p>
        </w:tc>
      </w:tr>
      <w:tr>
        <w:tc>
          <w:tcPr/>
          <w:p>
            <w:pPr>
              <w:pStyle w:val="Compact"/>
            </w:pPr>
            <w:r>
              <w:t xml:space="preserve">Home address</w:t>
            </w:r>
          </w:p>
        </w:tc>
        <w:tc>
          <w:tcPr/>
          <w:p>
            <w:pPr>
              <w:pStyle w:val="Compact"/>
            </w:pPr>
            <w:r>
              <w:t xml:space="preserve">P</w:t>
            </w:r>
          </w:p>
        </w:tc>
        <w:tc>
          <w:tcPr/>
          <w:p>
            <w:pPr>
              <w:pStyle w:val="Compact"/>
            </w:pPr>
            <w:r>
              <w:t xml:space="preserve">Performance of contract</w:t>
            </w:r>
          </w:p>
        </w:tc>
        <w:tc>
          <w:tcPr/>
          <w:p>
            <w:pPr>
              <w:pStyle w:val="Compact"/>
            </w:pPr>
            <w:r>
              <w:t xml:space="preserve">Employment contract</w:t>
            </w:r>
          </w:p>
        </w:tc>
      </w:tr>
      <w:tr>
        <w:tc>
          <w:tcPr/>
          <w:p>
            <w:pPr>
              <w:pStyle w:val="Compact"/>
            </w:pPr>
            <w:r>
              <w:t xml:space="preserve">Employee photograph</w:t>
            </w:r>
          </w:p>
        </w:tc>
        <w:tc>
          <w:tcPr/>
          <w:p>
            <w:pPr>
              <w:pStyle w:val="Compact"/>
            </w:pPr>
            <w:r>
              <w:t xml:space="preserve">P</w:t>
            </w:r>
          </w:p>
        </w:tc>
        <w:tc>
          <w:tcPr/>
          <w:p>
            <w:pPr>
              <w:pStyle w:val="Compact"/>
            </w:pPr>
            <w:r>
              <w:t xml:space="preserve">Consent</w:t>
            </w:r>
          </w:p>
        </w:tc>
        <w:tc>
          <w:tcPr/>
          <w:p>
            <w:pPr>
              <w:pStyle w:val="Compact"/>
            </w:pPr>
            <w:r>
              <w:t xml:space="preserve">Explicit consent obtained at onboarding; photograph used for identification only</w:t>
            </w:r>
          </w:p>
        </w:tc>
      </w:tr>
      <w:tr>
        <w:tc>
          <w:tcPr/>
          <w:p>
            <w:pPr>
              <w:pStyle w:val="Compact"/>
            </w:pPr>
            <w:r>
              <w:t xml:space="preserve">Salary / pay grade / deductions</w:t>
            </w:r>
          </w:p>
        </w:tc>
        <w:tc>
          <w:tcPr/>
          <w:p>
            <w:pPr>
              <w:pStyle w:val="Compact"/>
            </w:pPr>
            <w:r>
              <w:rPr>
                <w:b/>
                <w:bCs/>
              </w:rPr>
              <w:t xml:space="preserve">S</w:t>
            </w:r>
          </w:p>
        </w:tc>
        <w:tc>
          <w:tcPr/>
          <w:p>
            <w:pPr>
              <w:pStyle w:val="Compact"/>
            </w:pPr>
            <w:r>
              <w:t xml:space="preserve">Performance of contract + Legal obligation</w:t>
            </w:r>
          </w:p>
        </w:tc>
        <w:tc>
          <w:tcPr/>
          <w:p>
            <w:pPr>
              <w:pStyle w:val="Compact"/>
            </w:pPr>
            <w:r>
              <w:t xml:space="preserve">Employment contract; Income Tax Act (PAYE); NSSF Act; LST</w:t>
            </w:r>
          </w:p>
        </w:tc>
      </w:tr>
      <w:tr>
        <w:tc>
          <w:tcPr/>
          <w:p>
            <w:pPr>
              <w:pStyle w:val="Compact"/>
            </w:pPr>
            <w:r>
              <w:t xml:space="preserve">Bank account number</w:t>
            </w:r>
          </w:p>
        </w:tc>
        <w:tc>
          <w:tcPr/>
          <w:p>
            <w:pPr>
              <w:pStyle w:val="Compact"/>
            </w:pPr>
            <w:r>
              <w:rPr>
                <w:b/>
                <w:bCs/>
              </w:rPr>
              <w:t xml:space="preserve">S</w:t>
            </w:r>
          </w:p>
        </w:tc>
        <w:tc>
          <w:tcPr/>
          <w:p>
            <w:pPr>
              <w:pStyle w:val="Compact"/>
            </w:pPr>
            <w:r>
              <w:t xml:space="preserve">Performance of contract</w:t>
            </w:r>
          </w:p>
        </w:tc>
        <w:tc>
          <w:tcPr/>
          <w:p>
            <w:pPr>
              <w:pStyle w:val="Compact"/>
            </w:pPr>
            <w:r>
              <w:t xml:space="preserve">Employment contract — salary payment</w:t>
            </w:r>
          </w:p>
        </w:tc>
      </w:tr>
      <w:tr>
        <w:tc>
          <w:tcPr/>
          <w:p>
            <w:pPr>
              <w:pStyle w:val="Compact"/>
            </w:pPr>
            <w:r>
              <w:t xml:space="preserve">Mobile money number</w:t>
            </w:r>
          </w:p>
        </w:tc>
        <w:tc>
          <w:tcPr/>
          <w:p>
            <w:pPr>
              <w:pStyle w:val="Compact"/>
            </w:pPr>
            <w:r>
              <w:rPr>
                <w:b/>
                <w:bCs/>
              </w:rPr>
              <w:t xml:space="preserve">S</w:t>
            </w:r>
          </w:p>
        </w:tc>
        <w:tc>
          <w:tcPr/>
          <w:p>
            <w:pPr>
              <w:pStyle w:val="Compact"/>
            </w:pPr>
            <w:r>
              <w:t xml:space="preserve">Performance of contract</w:t>
            </w:r>
          </w:p>
        </w:tc>
        <w:tc>
          <w:tcPr/>
          <w:p>
            <w:pPr>
              <w:pStyle w:val="Compact"/>
            </w:pPr>
            <w:r>
              <w:t xml:space="preserve">Employment contract — casual worker salary payment via mobile money</w:t>
            </w:r>
          </w:p>
        </w:tc>
      </w:tr>
      <w:tr>
        <w:tc>
          <w:tcPr/>
          <w:p>
            <w:pPr>
              <w:pStyle w:val="Compact"/>
            </w:pPr>
            <w:r>
              <w:t xml:space="preserve">Staff loan balance</w:t>
            </w:r>
          </w:p>
        </w:tc>
        <w:tc>
          <w:tcPr/>
          <w:p>
            <w:pPr>
              <w:pStyle w:val="Compact"/>
            </w:pPr>
            <w:r>
              <w:rPr>
                <w:b/>
                <w:bCs/>
              </w:rPr>
              <w:t xml:space="preserve">S</w:t>
            </w:r>
          </w:p>
        </w:tc>
        <w:tc>
          <w:tcPr/>
          <w:p>
            <w:pPr>
              <w:pStyle w:val="Compact"/>
            </w:pPr>
            <w:r>
              <w:t xml:space="preserve">Performance of contract</w:t>
            </w:r>
          </w:p>
        </w:tc>
        <w:tc>
          <w:tcPr/>
          <w:p>
            <w:pPr>
              <w:pStyle w:val="Compact"/>
            </w:pPr>
            <w:r>
              <w:t xml:space="preserve">Loan agreement between employee and BIRDC</w:t>
            </w:r>
          </w:p>
        </w:tc>
      </w:tr>
      <w:tr>
        <w:tc>
          <w:tcPr/>
          <w:p>
            <w:pPr>
              <w:pStyle w:val="Compact"/>
            </w:pPr>
            <w:r>
              <w:t xml:space="preserve">Leave records</w:t>
            </w:r>
          </w:p>
        </w:tc>
        <w:tc>
          <w:tcPr/>
          <w:p>
            <w:pPr>
              <w:pStyle w:val="Compact"/>
            </w:pPr>
            <w:r>
              <w:t xml:space="preserve">P</w:t>
            </w:r>
          </w:p>
        </w:tc>
        <w:tc>
          <w:tcPr/>
          <w:p>
            <w:pPr>
              <w:pStyle w:val="Compact"/>
            </w:pPr>
            <w:r>
              <w:t xml:space="preserve">Performance of contract</w:t>
            </w:r>
          </w:p>
        </w:tc>
        <w:tc>
          <w:tcPr/>
          <w:p>
            <w:pPr>
              <w:pStyle w:val="Compact"/>
            </w:pPr>
            <w:r>
              <w:t xml:space="preserve">Employment contract; Employment Act Uganda</w:t>
            </w:r>
          </w:p>
        </w:tc>
      </w:tr>
      <w:tr>
        <w:tc>
          <w:tcPr/>
          <w:p>
            <w:pPr>
              <w:pStyle w:val="Compact"/>
            </w:pPr>
            <w:r>
              <w:t xml:space="preserve">Disciplinary records</w:t>
            </w:r>
          </w:p>
        </w:tc>
        <w:tc>
          <w:tcPr/>
          <w:p>
            <w:pPr>
              <w:pStyle w:val="Compact"/>
            </w:pPr>
            <w:r>
              <w:t xml:space="preserve">P</w:t>
            </w:r>
          </w:p>
        </w:tc>
        <w:tc>
          <w:tcPr/>
          <w:p>
            <w:pPr>
              <w:pStyle w:val="Compact"/>
            </w:pPr>
            <w:r>
              <w:t xml:space="preserve">Performance of contract + Legal obligation</w:t>
            </w:r>
          </w:p>
        </w:tc>
        <w:tc>
          <w:tcPr/>
          <w:p>
            <w:pPr>
              <w:pStyle w:val="Compact"/>
            </w:pPr>
            <w:r>
              <w:t xml:space="preserve">Employment contract; Employment Act Uganda</w:t>
            </w:r>
          </w:p>
        </w:tc>
      </w:tr>
      <w:tr>
        <w:tc>
          <w:tcPr/>
          <w:p>
            <w:pPr>
              <w:pStyle w:val="Compact"/>
            </w:pPr>
            <w:r>
              <w:t xml:space="preserve">Biometric fingerprint template</w:t>
            </w:r>
          </w:p>
        </w:tc>
        <w:tc>
          <w:tcPr/>
          <w:p>
            <w:pPr>
              <w:pStyle w:val="Compact"/>
            </w:pPr>
            <w:r>
              <w:t xml:space="preserve">P</w:t>
            </w:r>
          </w:p>
        </w:tc>
        <w:tc>
          <w:tcPr/>
          <w:p>
            <w:pPr>
              <w:pStyle w:val="Compact"/>
            </w:pPr>
            <w:r>
              <w:t xml:space="preserve">Legal obligation + Consent</w:t>
            </w:r>
          </w:p>
        </w:tc>
        <w:tc>
          <w:tcPr/>
          <w:p>
            <w:pPr>
              <w:pStyle w:val="Compact"/>
            </w:pPr>
            <w:r>
              <w:t xml:space="preserve">Employment contract attendance obligation; explicit biometric consent obtained separately (ZKTeco device — not stored in application DB)</w:t>
            </w:r>
          </w:p>
        </w:tc>
      </w:tr>
    </w:tbl>
    <w:p>
      <w:r>
        <w:pict>
          <v:rect style="width:0;height:1.5pt" o:hralign="center" o:hrstd="t" o:hr="t"/>
        </w:pict>
      </w:r>
    </w:p>
    <w:bookmarkEnd w:id="32"/>
    <w:bookmarkStart w:id="33" w:name="X195ca8e2073902aa43ad8585638f3ba0c23d67a"/>
    <w:p>
      <w:pPr>
        <w:pStyle w:val="Heading2"/>
      </w:pPr>
      <w:r>
        <w:t xml:space="preserve">3.3 Agent Data — Lawful Basis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Field</w:t>
            </w:r>
          </w:p>
        </w:tc>
        <w:tc>
          <w:tcPr/>
          <w:p>
            <w:pPr>
              <w:pStyle w:val="Compact"/>
            </w:pPr>
            <w:r>
              <w:t xml:space="preserve">Tier</w:t>
            </w:r>
          </w:p>
        </w:tc>
        <w:tc>
          <w:tcPr/>
          <w:p>
            <w:pPr>
              <w:pStyle w:val="Compact"/>
            </w:pPr>
            <w:r>
              <w:t xml:space="preserve">Lawful Basis (Section 7)</w:t>
            </w:r>
          </w:p>
        </w:tc>
        <w:tc>
          <w:tcPr/>
          <w:p>
            <w:pPr>
              <w:pStyle w:val="Compact"/>
            </w:pPr>
            <w:r>
              <w:t xml:space="preserve">Specific Legal Ground</w:t>
            </w:r>
          </w:p>
        </w:tc>
      </w:tr>
      <w:tr>
        <w:tc>
          <w:tcPr/>
          <w:p>
            <w:pPr>
              <w:pStyle w:val="Compact"/>
            </w:pPr>
            <w:r>
              <w:t xml:space="preserve">Full name</w:t>
            </w:r>
          </w:p>
        </w:tc>
        <w:tc>
          <w:tcPr/>
          <w:p>
            <w:pPr>
              <w:pStyle w:val="Compact"/>
            </w:pPr>
            <w:r>
              <w:t xml:space="preserve">P</w:t>
            </w:r>
          </w:p>
        </w:tc>
        <w:tc>
          <w:tcPr/>
          <w:p>
            <w:pPr>
              <w:pStyle w:val="Compact"/>
            </w:pPr>
            <w:r>
              <w:t xml:space="preserve">Performance of contract</w:t>
            </w:r>
          </w:p>
        </w:tc>
        <w:tc>
          <w:tcPr/>
          <w:p>
            <w:pPr>
              <w:pStyle w:val="Compact"/>
            </w:pPr>
            <w:r>
              <w:t xml:space="preserve">Agent distribution agreement</w:t>
            </w:r>
          </w:p>
        </w:tc>
      </w:tr>
      <w:tr>
        <w:tc>
          <w:tcPr/>
          <w:p>
            <w:pPr>
              <w:pStyle w:val="Compact"/>
            </w:pPr>
            <w:r>
              <w:t xml:space="preserve">NIN</w:t>
            </w:r>
          </w:p>
        </w:tc>
        <w:tc>
          <w:tcPr/>
          <w:p>
            <w:pPr>
              <w:pStyle w:val="Compact"/>
            </w:pPr>
            <w:r>
              <w:t xml:space="preserve">P</w:t>
            </w:r>
          </w:p>
        </w:tc>
        <w:tc>
          <w:tcPr/>
          <w:p>
            <w:pPr>
              <w:pStyle w:val="Compact"/>
            </w:pPr>
            <w:r>
              <w:t xml:space="preserve">Legal obligation</w:t>
            </w:r>
          </w:p>
        </w:tc>
        <w:tc>
          <w:tcPr/>
          <w:p>
            <w:pPr>
              <w:pStyle w:val="Compact"/>
            </w:pPr>
            <w:r>
              <w:t xml:space="preserve">Income Tax Act; WHT (6%) on agent commissions</w:t>
            </w:r>
          </w:p>
        </w:tc>
      </w:tr>
      <w:tr>
        <w:tc>
          <w:tcPr/>
          <w:p>
            <w:pPr>
              <w:pStyle w:val="Compact"/>
            </w:pPr>
            <w:r>
              <w:t xml:space="preserve">Contact phone</w:t>
            </w:r>
          </w:p>
        </w:tc>
        <w:tc>
          <w:tcPr/>
          <w:p>
            <w:pPr>
              <w:pStyle w:val="Compact"/>
            </w:pPr>
            <w:r>
              <w:t xml:space="preserve">P</w:t>
            </w:r>
          </w:p>
        </w:tc>
        <w:tc>
          <w:tcPr/>
          <w:p>
            <w:pPr>
              <w:pStyle w:val="Compact"/>
            </w:pPr>
            <w:r>
              <w:t xml:space="preserve">Performance of contract</w:t>
            </w:r>
          </w:p>
        </w:tc>
        <w:tc>
          <w:tcPr/>
          <w:p>
            <w:pPr>
              <w:pStyle w:val="Compact"/>
            </w:pPr>
            <w:r>
              <w:t xml:space="preserve">Agent distribution agreement</w:t>
            </w:r>
          </w:p>
        </w:tc>
      </w:tr>
      <w:tr>
        <w:tc>
          <w:tcPr/>
          <w:p>
            <w:pPr>
              <w:pStyle w:val="Compact"/>
            </w:pPr>
            <w:r>
              <w:t xml:space="preserve">Mobile money number</w:t>
            </w:r>
          </w:p>
        </w:tc>
        <w:tc>
          <w:tcPr/>
          <w:p>
            <w:pPr>
              <w:pStyle w:val="Compact"/>
            </w:pPr>
            <w:r>
              <w:rPr>
                <w:b/>
                <w:bCs/>
              </w:rPr>
              <w:t xml:space="preserve">S</w:t>
            </w:r>
          </w:p>
        </w:tc>
        <w:tc>
          <w:tcPr/>
          <w:p>
            <w:pPr>
              <w:pStyle w:val="Compact"/>
            </w:pPr>
            <w:r>
              <w:t xml:space="preserve">Performance of contract</w:t>
            </w:r>
          </w:p>
        </w:tc>
        <w:tc>
          <w:tcPr/>
          <w:p>
            <w:pPr>
              <w:pStyle w:val="Compact"/>
            </w:pPr>
            <w:r>
              <w:t xml:space="preserve">Agent distribution agreement — commission payment</w:t>
            </w:r>
          </w:p>
        </w:tc>
      </w:tr>
      <w:tr>
        <w:tc>
          <w:tcPr/>
          <w:p>
            <w:pPr>
              <w:pStyle w:val="Compact"/>
            </w:pPr>
            <w:r>
              <w:t xml:space="preserve">Commission amounts</w:t>
            </w:r>
          </w:p>
        </w:tc>
        <w:tc>
          <w:tcPr/>
          <w:p>
            <w:pPr>
              <w:pStyle w:val="Compact"/>
            </w:pPr>
            <w:r>
              <w:rPr>
                <w:b/>
                <w:bCs/>
              </w:rPr>
              <w:t xml:space="preserve">S</w:t>
            </w:r>
          </w:p>
        </w:tc>
        <w:tc>
          <w:tcPr/>
          <w:p>
            <w:pPr>
              <w:pStyle w:val="Compact"/>
            </w:pPr>
            <w:r>
              <w:t xml:space="preserve">Performance of contract + Legal obligation</w:t>
            </w:r>
          </w:p>
        </w:tc>
        <w:tc>
          <w:tcPr/>
          <w:p>
            <w:pPr>
              <w:pStyle w:val="Compact"/>
            </w:pPr>
            <w:r>
              <w:t xml:space="preserve">Agent distribution agreement; Income Tax Act (commission income)</w:t>
            </w:r>
          </w:p>
        </w:tc>
      </w:tr>
      <w:tr>
        <w:tc>
          <w:tcPr/>
          <w:p>
            <w:pPr>
              <w:pStyle w:val="Compact"/>
            </w:pPr>
            <w:r>
              <w:t xml:space="preserve">Cash balance</w:t>
            </w:r>
          </w:p>
        </w:tc>
        <w:tc>
          <w:tcPr/>
          <w:p>
            <w:pPr>
              <w:pStyle w:val="Compact"/>
            </w:pPr>
            <w:r>
              <w:rPr>
                <w:b/>
                <w:bCs/>
              </w:rPr>
              <w:t xml:space="preserve">S</w:t>
            </w:r>
          </w:p>
        </w:tc>
        <w:tc>
          <w:tcPr/>
          <w:p>
            <w:pPr>
              <w:pStyle w:val="Compact"/>
            </w:pPr>
            <w:r>
              <w:t xml:space="preserve">Performance of contract</w:t>
            </w:r>
          </w:p>
        </w:tc>
        <w:tc>
          <w:tcPr/>
          <w:p>
            <w:pPr>
              <w:pStyle w:val="Compact"/>
            </w:pPr>
            <w:r>
              <w:t xml:space="preserve">Agent distribution agreement — liability tracking</w:t>
            </w:r>
          </w:p>
        </w:tc>
      </w:tr>
    </w:tbl>
    <w:p>
      <w:r>
        <w:pict>
          <v:rect style="width:0;height:1.5pt" o:hralign="center" o:hrstd="t" o:hr="t"/>
        </w:pict>
      </w:r>
    </w:p>
    <w:bookmarkEnd w:id="33"/>
    <w:bookmarkStart w:id="34" w:name="Xf10dbd80f2aca2cecb6a37b0a5d89b3a16e6d2b"/>
    <w:p>
      <w:pPr>
        <w:pStyle w:val="Heading2"/>
      </w:pPr>
      <w:r>
        <w:t xml:space="preserve">3.4 Uncertain Lawful Basis</w:t>
      </w:r>
    </w:p>
    <w:p>
      <w:pPr>
        <w:pStyle w:val="FirstParagraph"/>
      </w:pPr>
      <w:r>
        <w:t xml:space="preserve">The following data fields have an uncertain or contested lawful basis pending legal review: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Field</w:t>
            </w:r>
          </w:p>
        </w:tc>
        <w:tc>
          <w:tcPr/>
          <w:p>
            <w:pPr>
              <w:pStyle w:val="Compact"/>
            </w:pPr>
            <w:r>
              <w:t xml:space="preserve">Uncertainty</w:t>
            </w:r>
          </w:p>
        </w:tc>
        <w:tc>
          <w:tcPr/>
          <w:p>
            <w:pPr>
              <w:pStyle w:val="Compact"/>
            </w:pPr>
            <w:r>
              <w:t xml:space="preserve">Flag</w:t>
            </w:r>
          </w:p>
        </w:tc>
      </w:tr>
      <w:tr>
        <w:tc>
          <w:tcPr/>
          <w:p>
            <w:pPr>
              <w:pStyle w:val="Compact"/>
            </w:pPr>
            <w:r>
              <w:t xml:space="preserve">GPS farm coordinates (polygon detail)</w:t>
            </w:r>
          </w:p>
        </w:tc>
        <w:tc>
          <w:tcPr/>
          <w:p>
            <w:pPr>
              <w:pStyle w:val="Compact"/>
            </w:pPr>
            <w:r>
              <w:t xml:space="preserve">Whether full polygon is necessary or whether a single centroid point satisfies the traceability obligation — affects proportionality under Section 3 DPPA</w:t>
            </w:r>
          </w:p>
        </w:tc>
        <w:tc>
          <w:tcPr/>
          <w:p>
            <w:pPr>
              <w:pStyle w:val="Compact"/>
            </w:pPr>
            <w:r>
              <w:t xml:space="preserve">[CONTEXT-GAP: GAP-004]</w:t>
            </w:r>
          </w:p>
        </w:tc>
      </w:tr>
      <w:tr>
        <w:tc>
          <w:tcPr/>
          <w:p>
            <w:pPr>
              <w:pStyle w:val="Compact"/>
            </w:pPr>
            <w:r>
              <w:t xml:space="preserve">Farmer photograph retention after NIN validated</w:t>
            </w:r>
          </w:p>
        </w:tc>
        <w:tc>
          <w:tcPr/>
          <w:p>
            <w:pPr>
              <w:pStyle w:val="Compact"/>
            </w:pPr>
            <w:r>
              <w:t xml:space="preserve">Whether photograph must be retained for the full 7-year period or may be deleted after identity verification — affects Section 18 retention proportionality</w:t>
            </w:r>
          </w:p>
        </w:tc>
        <w:tc>
          <w:tcPr/>
          <w:p>
            <w:pPr>
              <w:pStyle w:val="Compact"/>
            </w:pPr>
            <w:r>
              <w:t xml:space="preserve">[CONTEXT-GAP: GAP-004]</w:t>
            </w:r>
          </w:p>
        </w:tc>
      </w:tr>
      <w:tr>
        <w:tc>
          <w:tcPr/>
          <w:p>
            <w:pPr>
              <w:pStyle w:val="Compact"/>
            </w:pPr>
            <w:r>
              <w:t xml:space="preserve">Agent cash balance (real-time tracking)</w:t>
            </w:r>
          </w:p>
        </w:tc>
        <w:tc>
          <w:tcPr/>
          <w:p>
            <w:pPr>
              <w:pStyle w:val="Compact"/>
            </w:pPr>
            <w:r>
              <w:t xml:space="preserve">Whether continuous monitoring of individual agent financial position requires explicit consent beyond the contract performance basis</w:t>
            </w:r>
          </w:p>
        </w:tc>
        <w:tc>
          <w:tcPr/>
          <w:p>
            <w:pPr>
              <w:pStyle w:val="Compact"/>
            </w:pPr>
            <w:r>
              <w:t xml:space="preserve">[CONTEXT-GAP: GAP-004]</w:t>
            </w:r>
          </w:p>
        </w:tc>
      </w:tr>
    </w:tbl>
    <w:p>
      <w:pPr>
        <w:pStyle w:val="BodyText"/>
      </w:pPr>
      <w:r>
        <w:rPr>
          <w:i/>
          <w:iCs/>
        </w:rPr>
        <w:t xml:space="preserve">Resolution: Commission qualified Uganda DPPA 2019 legal counsel review before Phase 3 go-live. See Section 11.</w:t>
      </w:r>
    </w:p>
    <w:bookmarkEnd w:id="34"/>
    <w:bookmarkEnd w:id="35"/>
    <w:bookmarkStart w:id="50" w:name="X6f585b7548c28d232c0881dcfc8c6d49296bb6e"/>
    <w:p>
      <w:pPr>
        <w:pStyle w:val="Heading1"/>
      </w:pPr>
      <w:r>
        <w:t xml:space="preserve">Section 4 — Consent Requirements (Sections 7, 8, 13, DPPA 2019)</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bookmarkStart w:id="39" w:name="X66fe1f8ec8148f70e6eaef7453be53d388f439a"/>
    <w:p>
      <w:pPr>
        <w:pStyle w:val="Heading2"/>
      </w:pPr>
      <w:r>
        <w:t xml:space="preserve">4.1 Farmer Registration Consent</w:t>
      </w:r>
    </w:p>
    <w:bookmarkStart w:id="36" w:name="X1bdbaa5969454e54537aaaaa7d675a0b5d8445b"/>
    <w:p>
      <w:pPr>
        <w:pStyle w:val="Heading3"/>
      </w:pPr>
      <w:r>
        <w:t xml:space="preserve">FR-DPPA-001 — Consent Capture Before Data Collection</w:t>
      </w:r>
    </w:p>
    <w:p>
      <w:pPr>
        <w:pStyle w:val="FirstParagraph"/>
      </w:pPr>
      <w:r>
        <w:t xml:space="preserve">When a Collections Officer initiates a new farmer registration in the Farmer Delivery App, the system shall display the consent notice (purpose, data categories collected, right of access, right of rectification per Section 13) before any personal data field is enabled for input. The system shall require the Collections Officer to record the farmer's consent acknowledgement before the registration form fields become active. The system shall not save any farmer personal data if consent has not been recorded.</w:t>
      </w:r>
    </w:p>
    <w:p>
      <w:pPr>
        <w:pStyle w:val="BodyText"/>
      </w:pPr>
      <w:r>
        <w:rPr>
          <w:b/>
          <w:bCs/>
        </w:rPr>
        <w:t xml:space="preserve">Stimulus:</w:t>
      </w:r>
      <w:r>
        <w:t xml:space="preserve"> </w:t>
      </w:r>
      <w:r>
        <w:t xml:space="preserve">Collections Officer opens the "Register New Farmer" screen.</w:t>
      </w:r>
      <w:r>
        <w:t xml:space="preserve"> </w:t>
      </w:r>
      <w:r>
        <w:rPr>
          <w:b/>
          <w:bCs/>
        </w:rPr>
        <w:t xml:space="preserve">Response:</w:t>
      </w:r>
      <w:r>
        <w:t xml:space="preserve"> </w:t>
      </w:r>
      <w:r>
        <w:t xml:space="preserve">System displays consent notice in English and Runyankore/Rukiga before any data entry field is enabled. Data entry fields remain locked until consent is recorded.</w:t>
      </w:r>
    </w:p>
    <w:bookmarkEnd w:id="36"/>
    <w:bookmarkStart w:id="37" w:name="fr-dppa-002--consent-record-storage"/>
    <w:p>
      <w:pPr>
        <w:pStyle w:val="Heading3"/>
      </w:pPr>
      <w:r>
        <w:t xml:space="preserve">FR-DPPA-002 — Consent Record Storage</w:t>
      </w:r>
    </w:p>
    <w:p>
      <w:pPr>
        <w:pStyle w:val="FirstParagraph"/>
      </w:pPr>
      <w:r>
        <w:t xml:space="preserve">When farmer consent is recorded, the system shall persist a consent record to</w:t>
      </w:r>
      <w:r>
        <w:t xml:space="preserve"> </w:t>
      </w:r>
      <w:r>
        <w:rPr>
          <w:rStyle w:val="VerbatimChar"/>
        </w:rPr>
        <w:t xml:space="preserve">tbl_consent_register</w:t>
      </w:r>
      <w:r>
        <w:t xml:space="preserve"> </w:t>
      </w:r>
      <w:r>
        <w:t xml:space="preserve">with the following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Value</w:t>
            </w:r>
          </w:p>
        </w:tc>
      </w:tr>
      <w:tr>
        <w:tc>
          <w:tcPr/>
          <w:p>
            <w:pPr>
              <w:pStyle w:val="Compact"/>
            </w:pPr>
            <w:r>
              <w:rPr>
                <w:rStyle w:val="VerbatimChar"/>
              </w:rPr>
              <w:t xml:space="preserve">data_subject_id</w:t>
            </w:r>
          </w:p>
        </w:tc>
        <w:tc>
          <w:tcPr/>
          <w:p>
            <w:pPr>
              <w:pStyle w:val="Compact"/>
            </w:pPr>
            <w:r>
              <w:t xml:space="preserve">Farmer ID (assigned at consent step)</w:t>
            </w:r>
          </w:p>
        </w:tc>
      </w:tr>
      <w:tr>
        <w:tc>
          <w:tcPr/>
          <w:p>
            <w:pPr>
              <w:pStyle w:val="Compact"/>
            </w:pPr>
            <w:r>
              <w:rPr>
                <w:rStyle w:val="VerbatimChar"/>
              </w:rPr>
              <w:t xml:space="preserve">data_subject_type</w:t>
            </w:r>
          </w:p>
        </w:tc>
        <w:tc>
          <w:tcPr/>
          <w:p>
            <w:pPr>
              <w:pStyle w:val="Compact"/>
            </w:pPr>
            <w:r>
              <w:rPr>
                <w:rStyle w:val="VerbatimChar"/>
              </w:rPr>
              <w:t xml:space="preserve">'farmer'</w:t>
            </w:r>
          </w:p>
        </w:tc>
      </w:tr>
      <w:tr>
        <w:tc>
          <w:tcPr/>
          <w:p>
            <w:pPr>
              <w:pStyle w:val="Compact"/>
            </w:pPr>
            <w:r>
              <w:rPr>
                <w:rStyle w:val="VerbatimChar"/>
              </w:rPr>
              <w:t xml:space="preserve">purpose</w:t>
            </w:r>
          </w:p>
        </w:tc>
        <w:tc>
          <w:tcPr/>
          <w:p>
            <w:pPr>
              <w:pStyle w:val="Compact"/>
            </w:pPr>
            <w:r>
              <w:t xml:space="preserve">"Cooperative farmer registration, delivery recording, and payment disbursement — BIRDC/PIBID cooperative procurement"</w:t>
            </w:r>
          </w:p>
        </w:tc>
      </w:tr>
      <w:tr>
        <w:tc>
          <w:tcPr/>
          <w:p>
            <w:pPr>
              <w:pStyle w:val="Compact"/>
            </w:pPr>
            <w:r>
              <w:rPr>
                <w:rStyle w:val="VerbatimChar"/>
              </w:rPr>
              <w:t xml:space="preserve">legal_basis</w:t>
            </w:r>
          </w:p>
        </w:tc>
        <w:tc>
          <w:tcPr/>
          <w:p>
            <w:pPr>
              <w:pStyle w:val="Compact"/>
            </w:pPr>
            <w:r>
              <w:rPr>
                <w:rStyle w:val="VerbatimChar"/>
              </w:rPr>
              <w:t xml:space="preserve">'consent'</w:t>
            </w:r>
          </w:p>
        </w:tc>
      </w:tr>
      <w:tr>
        <w:tc>
          <w:tcPr/>
          <w:p>
            <w:pPr>
              <w:pStyle w:val="Compact"/>
            </w:pPr>
            <w:r>
              <w:rPr>
                <w:rStyle w:val="VerbatimChar"/>
              </w:rPr>
              <w:t xml:space="preserve">data_categories</w:t>
            </w:r>
          </w:p>
        </w:tc>
        <w:tc>
          <w:tcPr/>
          <w:p>
            <w:pPr>
              <w:pStyle w:val="Compact"/>
            </w:pPr>
            <w:r>
              <w:t xml:space="preserve">JSON:</w:t>
            </w:r>
            <w:r>
              <w:t xml:space="preserve"> </w:t>
            </w:r>
            <w:r>
              <w:rPr>
                <w:rStyle w:val="VerbatimChar"/>
              </w:rPr>
              <w:t xml:space="preserve">["name","NIN","contact_phone","GPS_coordinates","photograph","mobile_money_number"]</w:t>
            </w:r>
          </w:p>
        </w:tc>
      </w:tr>
      <w:tr>
        <w:tc>
          <w:tcPr/>
          <w:p>
            <w:pPr>
              <w:pStyle w:val="Compact"/>
            </w:pPr>
            <w:r>
              <w:rPr>
                <w:rStyle w:val="VerbatimChar"/>
              </w:rPr>
              <w:t xml:space="preserve">consent_given_at</w:t>
            </w:r>
          </w:p>
        </w:tc>
        <w:tc>
          <w:tcPr/>
          <w:p>
            <w:pPr>
              <w:pStyle w:val="Compact"/>
            </w:pPr>
            <w:r>
              <w:t xml:space="preserve">UTC timestamp</w:t>
            </w:r>
          </w:p>
        </w:tc>
      </w:tr>
      <w:tr>
        <w:tc>
          <w:tcPr/>
          <w:p>
            <w:pPr>
              <w:pStyle w:val="Compact"/>
            </w:pPr>
            <w:r>
              <w:rPr>
                <w:rStyle w:val="VerbatimChar"/>
              </w:rPr>
              <w:t xml:space="preserve">consent_given_by</w:t>
            </w:r>
          </w:p>
        </w:tc>
        <w:tc>
          <w:tcPr/>
          <w:p>
            <w:pPr>
              <w:pStyle w:val="Compact"/>
            </w:pPr>
            <w:r>
              <w:t xml:space="preserve">User ID of Collections Officer</w:t>
            </w:r>
          </w:p>
        </w:tc>
      </w:tr>
    </w:tbl>
    <w:bookmarkEnd w:id="37"/>
    <w:bookmarkStart w:id="38" w:name="X545fa7f8a5a5fa819ee4e907441c7607bb6ef62"/>
    <w:p>
      <w:pPr>
        <w:pStyle w:val="Heading3"/>
      </w:pPr>
      <w:r>
        <w:t xml:space="preserve">FR-DPPA-003 — Consent Withdrawal Mechanism</w:t>
      </w:r>
    </w:p>
    <w:p>
      <w:pPr>
        <w:pStyle w:val="FirstParagraph"/>
      </w:pPr>
      <w:r>
        <w:t xml:space="preserve">When a farmer requests withdrawal of consent (in person at cooperative collection point or in writing to BIRDC), the IT Administrator shall be able to record the withdrawal in the system. The system shall set</w:t>
      </w:r>
      <w:r>
        <w:t xml:space="preserve"> </w:t>
      </w:r>
      <w:r>
        <w:rPr>
          <w:rStyle w:val="VerbatimChar"/>
        </w:rPr>
        <w:t xml:space="preserve">consent_withdrawn_at</w:t>
      </w:r>
      <w:r>
        <w:t xml:space="preserve"> </w:t>
      </w:r>
      <w:r>
        <w:t xml:space="preserve">and</w:t>
      </w:r>
      <w:r>
        <w:t xml:space="preserve"> </w:t>
      </w:r>
      <w:r>
        <w:rPr>
          <w:rStyle w:val="VerbatimChar"/>
        </w:rPr>
        <w:t xml:space="preserve">withdrawal_method</w:t>
      </w:r>
      <w:r>
        <w:t xml:space="preserve"> </w:t>
      </w:r>
      <w:r>
        <w:t xml:space="preserve">on the consent record. The system shall flag the farmer record as "consent withdrawn — processing restricted" and prevent any new data collection for that farmer. The system shall retain existing financial records for the legally required 7-year period under the Income Tax Act notwithstanding withdrawal (financial records are also covered by legal obligation basis).</w:t>
      </w:r>
    </w:p>
    <w:p>
      <w:pPr>
        <w:pStyle w:val="BodyText"/>
      </w:pPr>
      <w:r>
        <w:rPr>
          <w:b/>
          <w:bCs/>
        </w:rPr>
        <w:t xml:space="preserve">Stimulus:</w:t>
      </w:r>
      <w:r>
        <w:t xml:space="preserve"> </w:t>
      </w:r>
      <w:r>
        <w:t xml:space="preserve">IT Administrator selects "Record Consent Withdrawal" for a farmer record.</w:t>
      </w:r>
      <w:r>
        <w:t xml:space="preserve"> </w:t>
      </w:r>
      <w:r>
        <w:rPr>
          <w:b/>
          <w:bCs/>
        </w:rPr>
        <w:t xml:space="preserve">Response:</w:t>
      </w:r>
      <w:r>
        <w:t xml:space="preserve"> </w:t>
      </w:r>
      <w:r>
        <w:t xml:space="preserve">System records withdrawal timestamp and method; marks farmer profile as restricted; prevents new data entry; displays retention notice: "Financial payment records retained for 7 years per Income Tax Act Cap 340."</w:t>
      </w:r>
    </w:p>
    <w:p>
      <w:r>
        <w:pict>
          <v:rect style="width:0;height:1.5pt" o:hralign="center" o:hrstd="t" o:hr="t"/>
        </w:pict>
      </w:r>
    </w:p>
    <w:bookmarkEnd w:id="38"/>
    <w:bookmarkEnd w:id="39"/>
    <w:bookmarkStart w:id="42" w:name="Xafbeab3a1cc7532d12912cf87b5d1aaefc5e786"/>
    <w:p>
      <w:pPr>
        <w:pStyle w:val="Heading2"/>
      </w:pPr>
      <w:r>
        <w:t xml:space="preserve">4.2 Children's Data Safeguard (Section 8, DPPA 2019)</w:t>
      </w:r>
    </w:p>
    <w:bookmarkStart w:id="40" w:name="Xf148de669768edc6c1d7942de7ef17570cfbceb"/>
    <w:p>
      <w:pPr>
        <w:pStyle w:val="Heading3"/>
      </w:pPr>
      <w:r>
        <w:t xml:space="preserve">FR-DPPA-004 — Age Verification at Farmer Registration</w:t>
      </w:r>
    </w:p>
    <w:p>
      <w:pPr>
        <w:pStyle w:val="FirstParagraph"/>
      </w:pPr>
      <w:r>
        <w:t xml:space="preserve">When a Collections Officer enters a farmer's date of birth during registration, the system shall calculate the farmer's age. If age is under 18, the system shall display an alert: "This farmer is under 18 years of age. Under Section 8, DPPA 2019, consent from a parent or guardian is required before collecting this farmer's personal data."</w:t>
      </w:r>
    </w:p>
    <w:p>
      <w:pPr>
        <w:pStyle w:val="BodyText"/>
      </w:pPr>
      <w:r>
        <w:rPr>
          <w:b/>
          <w:bCs/>
        </w:rPr>
        <w:t xml:space="preserve">Stimulus:</w:t>
      </w:r>
      <w:r>
        <w:t xml:space="preserve"> </w:t>
      </w:r>
      <w:r>
        <w:t xml:space="preserve">Collections Officer enters date of birth resulting in calculated age &lt; 18 years.</w:t>
      </w:r>
      <w:r>
        <w:t xml:space="preserve"> </w:t>
      </w:r>
      <w:r>
        <w:rPr>
          <w:b/>
          <w:bCs/>
        </w:rPr>
        <w:t xml:space="preserve">Response:</w:t>
      </w:r>
      <w:r>
        <w:t xml:space="preserve"> </w:t>
      </w:r>
      <w:r>
        <w:t xml:space="preserve">System displays Section 8 guardian consent alert. The system shall require the Collections Officer to record the guardian's name, relationship to farmer, and confirmation of consent before proceeding. The guardian consent is recorded as a separate consent record linked to the farmer.</w:t>
      </w:r>
    </w:p>
    <w:bookmarkEnd w:id="40"/>
    <w:bookmarkStart w:id="41" w:name="fr-dppa-005--guardian-consent-record"/>
    <w:p>
      <w:pPr>
        <w:pStyle w:val="Heading3"/>
      </w:pPr>
      <w:r>
        <w:t xml:space="preserve">FR-DPPA-005 — Guardian Consent Record</w:t>
      </w:r>
    </w:p>
    <w:p>
      <w:pPr>
        <w:pStyle w:val="FirstParagraph"/>
      </w:pPr>
      <w:r>
        <w:t xml:space="preserve">When a farmer under 18 is registered, the system shall create a linked guardian consent record in</w:t>
      </w:r>
      <w:r>
        <w:t xml:space="preserve"> </w:t>
      </w:r>
      <w:r>
        <w:rPr>
          <w:rStyle w:val="VerbatimChar"/>
        </w:rPr>
        <w:t xml:space="preserve">tbl_consent_register</w:t>
      </w:r>
      <w:r>
        <w:t xml:space="preserve"> </w:t>
      </w:r>
      <w:r>
        <w:t xml:space="preserve">with</w:t>
      </w:r>
      <w:r>
        <w:t xml:space="preserve"> </w:t>
      </w:r>
      <w:r>
        <w:rPr>
          <w:rStyle w:val="VerbatimChar"/>
        </w:rPr>
        <w:t xml:space="preserve">data_subject_type = 'farmer_guardian'</w:t>
      </w:r>
      <w:r>
        <w:t xml:space="preserve"> </w:t>
      </w:r>
      <w:r>
        <w:t xml:space="preserve">and record guardian name, relationship, and consent timestamp.</w:t>
      </w:r>
    </w:p>
    <w:p>
      <w:r>
        <w:pict>
          <v:rect style="width:0;height:1.5pt" o:hralign="center" o:hrstd="t" o:hr="t"/>
        </w:pict>
      </w:r>
    </w:p>
    <w:bookmarkEnd w:id="41"/>
    <w:bookmarkEnd w:id="42"/>
    <w:bookmarkStart w:id="45" w:name="X3b4b2bc9825148da5494261ec5eeb17e190273d"/>
    <w:p>
      <w:pPr>
        <w:pStyle w:val="Heading2"/>
      </w:pPr>
      <w:r>
        <w:t xml:space="preserve">4.3 Employee Registration Consent</w:t>
      </w:r>
    </w:p>
    <w:bookmarkStart w:id="43" w:name="fr-dppa-006--employee-photograph-consent"/>
    <w:p>
      <w:pPr>
        <w:pStyle w:val="Heading3"/>
      </w:pPr>
      <w:r>
        <w:t xml:space="preserve">FR-DPPA-006 — Employee Photograph Consent</w:t>
      </w:r>
    </w:p>
    <w:p>
      <w:pPr>
        <w:pStyle w:val="FirstParagraph"/>
      </w:pPr>
      <w:r>
        <w:t xml:space="preserve">When HR creates a new employee profile and uploads an employee photograph, the system shall require confirmation that explicit photograph consent has been obtained. The system shall not save the photograph if consent confirmation is not checked.</w:t>
      </w:r>
    </w:p>
    <w:p>
      <w:pPr>
        <w:pStyle w:val="BodyText"/>
      </w:pPr>
      <w:r>
        <w:rPr>
          <w:b/>
          <w:bCs/>
        </w:rPr>
        <w:t xml:space="preserve">Stimulus:</w:t>
      </w:r>
      <w:r>
        <w:t xml:space="preserve"> </w:t>
      </w:r>
      <w:r>
        <w:t xml:space="preserve">HR records an employee photograph during onboarding.</w:t>
      </w:r>
      <w:r>
        <w:t xml:space="preserve"> </w:t>
      </w:r>
      <w:r>
        <w:rPr>
          <w:b/>
          <w:bCs/>
        </w:rPr>
        <w:t xml:space="preserve">Response:</w:t>
      </w:r>
      <w:r>
        <w:t xml:space="preserve"> </w:t>
      </w:r>
      <w:r>
        <w:t xml:space="preserve">System displays consent confirmation checkbox: "I confirm that [Employee Name] has given explicit written consent for their photograph to be collected and stored for identity verification purposes." System blocks photograph save unless checkbox is checked.</w:t>
      </w:r>
    </w:p>
    <w:bookmarkEnd w:id="43"/>
    <w:bookmarkStart w:id="44" w:name="X43749388bb3f8bb254a6cf10721146361653328"/>
    <w:p>
      <w:pPr>
        <w:pStyle w:val="Heading3"/>
      </w:pPr>
      <w:r>
        <w:t xml:space="preserve">FR-DPPA-007 — Biometric Attendance Consent (ZKTeco)</w:t>
      </w:r>
    </w:p>
    <w:p>
      <w:pPr>
        <w:pStyle w:val="FirstParagraph"/>
      </w:pPr>
      <w:r>
        <w:t xml:space="preserve">When HR activates biometric attendance for an employee in the ZKTeco device, the system shall require recording of explicit biometric consent. The biometric template is stored on the ZKTeco device only and is never transmitted to or stored in the application database. The system shall record: employee ID, consent to biometric attendance collection, timestamp, and the confirming HR user ID.</w:t>
      </w:r>
    </w:p>
    <w:p>
      <w:pPr>
        <w:pStyle w:val="BodyText"/>
      </w:pPr>
      <w:r>
        <w:rPr>
          <w:b/>
          <w:bCs/>
        </w:rPr>
        <w:t xml:space="preserve">Stimulus:</w:t>
      </w:r>
      <w:r>
        <w:t xml:space="preserve"> </w:t>
      </w:r>
      <w:r>
        <w:t xml:space="preserve">HR user activates an employee for ZKTeco biometric attendance.</w:t>
      </w:r>
      <w:r>
        <w:t xml:space="preserve"> </w:t>
      </w:r>
      <w:r>
        <w:rPr>
          <w:b/>
          <w:bCs/>
        </w:rPr>
        <w:t xml:space="preserve">Response:</w:t>
      </w:r>
      <w:r>
        <w:t xml:space="preserve"> </w:t>
      </w:r>
      <w:r>
        <w:t xml:space="preserve">System requires biometric consent confirmation before the activation is saved. System stores consent record. System displays notice: "Biometric template stored on ZKTeco device only. Not stored in application database."</w:t>
      </w:r>
    </w:p>
    <w:p>
      <w:r>
        <w:pict>
          <v:rect style="width:0;height:1.5pt" o:hralign="center" o:hrstd="t" o:hr="t"/>
        </w:pict>
      </w:r>
    </w:p>
    <w:bookmarkEnd w:id="44"/>
    <w:bookmarkEnd w:id="45"/>
    <w:bookmarkStart w:id="47" w:name="Xdbbcf8c7eef0db22ac7cc9c323e578d503e254a"/>
    <w:p>
      <w:pPr>
        <w:pStyle w:val="Heading2"/>
      </w:pPr>
      <w:r>
        <w:t xml:space="preserve">4.4 Notice at Collection (Section 13, DPPA 2019)</w:t>
      </w:r>
    </w:p>
    <w:bookmarkStart w:id="46" w:name="X5a03aea46c7fb5d9360ee2702e952913eb186d1"/>
    <w:p>
      <w:pPr>
        <w:pStyle w:val="Heading3"/>
      </w:pPr>
      <w:r>
        <w:t xml:space="preserve">FR-DPPA-008 — Notice at Collection — All Data Subjects</w:t>
      </w:r>
    </w:p>
    <w:p>
      <w:pPr>
        <w:pStyle w:val="FirstParagraph"/>
      </w:pPr>
      <w:r>
        <w:t xml:space="preserve">When the system displays any consent notice at data collection (farmer registration, employee onboarding, agent registration), the notice shall include:</w:t>
      </w:r>
    </w:p>
    <w:p>
      <w:pPr>
        <w:pStyle w:val="Compact"/>
        <w:numPr>
          <w:ilvl w:val="0"/>
          <w:numId w:val="1003"/>
        </w:numPr>
      </w:pPr>
      <w:r>
        <w:t xml:space="preserve">The purpose for which the data is being collected.</w:t>
      </w:r>
    </w:p>
    <w:p>
      <w:pPr>
        <w:pStyle w:val="Compact"/>
        <w:numPr>
          <w:ilvl w:val="0"/>
          <w:numId w:val="1003"/>
        </w:numPr>
      </w:pPr>
      <w:r>
        <w:t xml:space="preserve">The categories of data being collected.</w:t>
      </w:r>
    </w:p>
    <w:p>
      <w:pPr>
        <w:pStyle w:val="Compact"/>
        <w:numPr>
          <w:ilvl w:val="0"/>
          <w:numId w:val="1003"/>
        </w:numPr>
      </w:pPr>
      <w:r>
        <w:t xml:space="preserve">The lawful basis for collection.</w:t>
      </w:r>
    </w:p>
    <w:p>
      <w:pPr>
        <w:pStyle w:val="Compact"/>
        <w:numPr>
          <w:ilvl w:val="0"/>
          <w:numId w:val="1003"/>
        </w:numPr>
      </w:pPr>
      <w:r>
        <w:t xml:space="preserve">The data subject's right to access their personal data (Section 14).</w:t>
      </w:r>
    </w:p>
    <w:p>
      <w:pPr>
        <w:pStyle w:val="Compact"/>
        <w:numPr>
          <w:ilvl w:val="0"/>
          <w:numId w:val="1003"/>
        </w:numPr>
      </w:pPr>
      <w:r>
        <w:t xml:space="preserve">The data subject's right to request rectification or erasure (Section 16).</w:t>
      </w:r>
    </w:p>
    <w:p>
      <w:pPr>
        <w:pStyle w:val="Compact"/>
        <w:numPr>
          <w:ilvl w:val="0"/>
          <w:numId w:val="1003"/>
        </w:numPr>
      </w:pPr>
      <w:r>
        <w:t xml:space="preserve">The contact details of the BIRDC Data Protection Officer.</w:t>
      </w:r>
    </w:p>
    <w:p>
      <w:pPr>
        <w:pStyle w:val="Compact"/>
        <w:numPr>
          <w:ilvl w:val="0"/>
          <w:numId w:val="1003"/>
        </w:numPr>
      </w:pPr>
      <w:r>
        <w:t xml:space="preserve">The PDPO registration number (once registered).</w:t>
      </w:r>
    </w:p>
    <w:p>
      <w:r>
        <w:pict>
          <v:rect style="width:0;height:1.5pt" o:hralign="center" o:hrstd="t" o:hr="t"/>
        </w:pict>
      </w:r>
    </w:p>
    <w:bookmarkEnd w:id="46"/>
    <w:bookmarkEnd w:id="47"/>
    <w:bookmarkStart w:id="49" w:name="Xa1b2d0e531961277c1e69b1c98cb7fc04b7a5ec"/>
    <w:p>
      <w:pPr>
        <w:pStyle w:val="Heading2"/>
      </w:pPr>
      <w:r>
        <w:t xml:space="preserve">4.5 Consent Form Generation</w:t>
      </w:r>
    </w:p>
    <w:bookmarkStart w:id="48" w:name="fr-dppa-009--printable-consent-form"/>
    <w:p>
      <w:pPr>
        <w:pStyle w:val="Heading3"/>
      </w:pPr>
      <w:r>
        <w:t xml:space="preserve">FR-DPPA-009 — Printable Consent Form</w:t>
      </w:r>
    </w:p>
    <w:p>
      <w:pPr>
        <w:pStyle w:val="FirstParagraph"/>
      </w:pPr>
      <w:r>
        <w:t xml:space="preserve">When a Collections Officer completes a farmer registration, the system shall generate a printable consent form in English and Runyankore/Rukiga. The form shall include: farmer name, farmer ID, data categories collected, purpose, DPO contact, and a signature field. The form shall be printable from the Farmer Delivery App via Bluetooth printer connection.</w:t>
      </w:r>
    </w:p>
    <w:p>
      <w:pPr>
        <w:pStyle w:val="BodyText"/>
      </w:pPr>
      <w:r>
        <w:rPr>
          <w:b/>
          <w:bCs/>
        </w:rPr>
        <w:t xml:space="preserve">Stimulus:</w:t>
      </w:r>
      <w:r>
        <w:t xml:space="preserve"> </w:t>
      </w:r>
      <w:r>
        <w:t xml:space="preserve">Collections Officer completes farmer registration and selects "Print Consent Form."</w:t>
      </w:r>
      <w:r>
        <w:t xml:space="preserve"> </w:t>
      </w:r>
      <w:r>
        <w:rPr>
          <w:b/>
          <w:bCs/>
        </w:rPr>
        <w:t xml:space="preserve">Response:</w:t>
      </w:r>
      <w:r>
        <w:t xml:space="preserve"> </w:t>
      </w:r>
      <w:r>
        <w:t xml:space="preserve">System generates a consent form pre-populated with the registered farmer's data and displays it for Bluetooth printing. Form language defaults to Runyankore/Rukiga with English parallel columns.</w:t>
      </w:r>
    </w:p>
    <w:bookmarkEnd w:id="48"/>
    <w:bookmarkEnd w:id="49"/>
    <w:bookmarkEnd w:id="50"/>
    <w:bookmarkStart w:id="66" w:name="X631395cc36ed124eaf931fb5764bd11e41d592d"/>
    <w:p>
      <w:pPr>
        <w:pStyle w:val="Heading1"/>
      </w:pPr>
      <w:r>
        <w:t xml:space="preserve">Section 5 — Data Subject Rights (Sections 14–16, DPPA 2019)</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bookmarkStart w:id="53" w:name="X6728a9206efa04ae7c2f638c851b550853e36a1"/>
    <w:p>
      <w:pPr>
        <w:pStyle w:val="Heading2"/>
      </w:pPr>
      <w:r>
        <w:t xml:space="preserve">5.1 Right of Access (Section 14)</w:t>
      </w:r>
    </w:p>
    <w:bookmarkStart w:id="51" w:name="fr-dppa-010--farmer-data-access-report"/>
    <w:p>
      <w:pPr>
        <w:pStyle w:val="Heading3"/>
      </w:pPr>
      <w:r>
        <w:t xml:space="preserve">FR-DPPA-010 — Farmer Data Access Report</w:t>
      </w:r>
    </w:p>
    <w:p>
      <w:pPr>
        <w:pStyle w:val="FirstParagraph"/>
      </w:pPr>
      <w:r>
        <w:t xml:space="preserve">When a farmer (via their cooperative representative) or a farmer's duly authorised agent submits a written data access request, the IT Administrator shall be able to generate a data access report from the system. The report shall list all personal data held for that farmer: name, NIN (masked to last 4 digits), contact phone, GPS coordinates, photograph (thumbnail), mobile money number (masked), delivery history, and payment records.</w:t>
      </w:r>
    </w:p>
    <w:p>
      <w:pPr>
        <w:pStyle w:val="BodyText"/>
      </w:pPr>
      <w:r>
        <w:rPr>
          <w:b/>
          <w:bCs/>
        </w:rPr>
        <w:t xml:space="preserve">Stimulus:</w:t>
      </w:r>
      <w:r>
        <w:t xml:space="preserve"> </w:t>
      </w:r>
      <w:r>
        <w:t xml:space="preserve">IT Administrator selects a farmer record and triggers "Generate Data Access Report."</w:t>
      </w:r>
      <w:r>
        <w:t xml:space="preserve"> </w:t>
      </w:r>
      <w:r>
        <w:rPr>
          <w:b/>
          <w:bCs/>
        </w:rPr>
        <w:t xml:space="preserve">Response:</w:t>
      </w:r>
      <w:r>
        <w:t xml:space="preserve"> </w:t>
      </w:r>
      <w:r>
        <w:t xml:space="preserve">System compiles and displays all personal data fields held for that farmer. System generates a printable/PDF report. System logs the access request in</w:t>
      </w:r>
      <w:r>
        <w:t xml:space="preserve"> </w:t>
      </w:r>
      <w:r>
        <w:rPr>
          <w:rStyle w:val="VerbatimChar"/>
        </w:rPr>
        <w:t xml:space="preserve">tbl_data_subject_requests</w:t>
      </w:r>
      <w:r>
        <w:t xml:space="preserve">.</w:t>
      </w:r>
    </w:p>
    <w:bookmarkEnd w:id="51"/>
    <w:bookmarkStart w:id="52" w:name="Xe3b41a59ee7a84d2707372d7b6470359f1a8cb3"/>
    <w:p>
      <w:pPr>
        <w:pStyle w:val="Heading3"/>
      </w:pPr>
      <w:r>
        <w:t xml:space="preserve">FR-DPPA-011 — Employee Self-Service Data Access</w:t>
      </w:r>
    </w:p>
    <w:p>
      <w:pPr>
        <w:pStyle w:val="FirstParagraph"/>
      </w:pPr>
      <w:r>
        <w:t xml:space="preserve">When an employee logs into the HR Self-Service App, the system shall display a "My Data" screen showing all personal data held: name, NIN (masked), home address, leave records, payslip history, and loan balance. Employee shall not see other employees' data.</w:t>
      </w:r>
    </w:p>
    <w:p>
      <w:pPr>
        <w:pStyle w:val="BodyText"/>
      </w:pPr>
      <w:r>
        <w:rPr>
          <w:b/>
          <w:bCs/>
        </w:rPr>
        <w:t xml:space="preserve">Stimulus:</w:t>
      </w:r>
      <w:r>
        <w:t xml:space="preserve"> </w:t>
      </w:r>
      <w:r>
        <w:t xml:space="preserve">Employee selects "My Data" in HR Self-Service App.</w:t>
      </w:r>
      <w:r>
        <w:t xml:space="preserve"> </w:t>
      </w:r>
      <w:r>
        <w:rPr>
          <w:b/>
          <w:bCs/>
        </w:rPr>
        <w:t xml:space="preserve">Response:</w:t>
      </w:r>
      <w:r>
        <w:t xml:space="preserve"> </w:t>
      </w:r>
      <w:r>
        <w:t xml:space="preserve">System displays only that employee's personal data within the same session. No cross-employee data is accessible.</w:t>
      </w:r>
    </w:p>
    <w:p>
      <w:r>
        <w:pict>
          <v:rect style="width:0;height:1.5pt" o:hralign="center" o:hrstd="t" o:hr="t"/>
        </w:pict>
      </w:r>
    </w:p>
    <w:bookmarkEnd w:id="52"/>
    <w:bookmarkEnd w:id="53"/>
    <w:bookmarkStart w:id="56" w:name="X435cf5cc9567bf2ae17b2c0849084d9ae941c2d"/>
    <w:p>
      <w:pPr>
        <w:pStyle w:val="Heading2"/>
      </w:pPr>
      <w:r>
        <w:t xml:space="preserve">5.2 Right to Object (Section 15)</w:t>
      </w:r>
    </w:p>
    <w:bookmarkStart w:id="54" w:name="fr-dppa-012--objection-logging"/>
    <w:p>
      <w:pPr>
        <w:pStyle w:val="Heading3"/>
      </w:pPr>
      <w:r>
        <w:t xml:space="preserve">FR-DPPA-012 — Objection Logging</w:t>
      </w:r>
    </w:p>
    <w:p>
      <w:pPr>
        <w:pStyle w:val="FirstParagraph"/>
      </w:pPr>
      <w:r>
        <w:t xml:space="preserve">When a data subject (farmer, employee, or agent) submits a written objection to the collection or processing of their personal data, the IT Administrator or DPO shall be able to record the objection in the system. The system shall log: data subject ID, type, objection date, data categories objected to, and grounds stated.</w:t>
      </w:r>
    </w:p>
    <w:p>
      <w:pPr>
        <w:pStyle w:val="BodyText"/>
      </w:pPr>
      <w:r>
        <w:rPr>
          <w:b/>
          <w:bCs/>
        </w:rPr>
        <w:t xml:space="preserve">Stimulus:</w:t>
      </w:r>
      <w:r>
        <w:t xml:space="preserve"> </w:t>
      </w:r>
      <w:r>
        <w:t xml:space="preserve">DPO selects "Record Objection" for a data subject.</w:t>
      </w:r>
      <w:r>
        <w:t xml:space="preserve"> </w:t>
      </w:r>
      <w:r>
        <w:rPr>
          <w:b/>
          <w:bCs/>
        </w:rPr>
        <w:t xml:space="preserve">Response:</w:t>
      </w:r>
      <w:r>
        <w:t xml:space="preserve"> </w:t>
      </w:r>
      <w:r>
        <w:t xml:space="preserve">System creates a record in</w:t>
      </w:r>
      <w:r>
        <w:t xml:space="preserve"> </w:t>
      </w:r>
      <w:r>
        <w:rPr>
          <w:rStyle w:val="VerbatimChar"/>
        </w:rPr>
        <w:t xml:space="preserve">tbl_data_subject_requests</w:t>
      </w:r>
      <w:r>
        <w:t xml:space="preserve"> </w:t>
      </w:r>
      <w:r>
        <w:t xml:space="preserve">with</w:t>
      </w:r>
      <w:r>
        <w:t xml:space="preserve"> </w:t>
      </w:r>
      <w:r>
        <w:rPr>
          <w:rStyle w:val="VerbatimChar"/>
        </w:rPr>
        <w:t xml:space="preserve">request_type = 'objection'</w:t>
      </w:r>
      <w:r>
        <w:t xml:space="preserve">, sets</w:t>
      </w:r>
      <w:r>
        <w:t xml:space="preserve"> </w:t>
      </w:r>
      <w:r>
        <w:rPr>
          <w:rStyle w:val="VerbatimChar"/>
        </w:rPr>
        <w:t xml:space="preserve">due_at = submitted_at + 30 days</w:t>
      </w:r>
      <w:r>
        <w:t xml:space="preserve">, and sets status to</w:t>
      </w:r>
      <w:r>
        <w:t xml:space="preserve"> </w:t>
      </w:r>
      <w:r>
        <w:rPr>
          <w:rStyle w:val="VerbatimChar"/>
        </w:rPr>
        <w:t xml:space="preserve">'pending'</w:t>
      </w:r>
      <w:r>
        <w:t xml:space="preserve">.</w:t>
      </w:r>
    </w:p>
    <w:bookmarkEnd w:id="54"/>
    <w:bookmarkStart w:id="55" w:name="X62806c6951a7e289b15aaa61860b77534f51e21"/>
    <w:p>
      <w:pPr>
        <w:pStyle w:val="Heading3"/>
      </w:pPr>
      <w:r>
        <w:t xml:space="preserve">FR-DPPA-013 — Processing Suspension on Objection</w:t>
      </w:r>
    </w:p>
    <w:p>
      <w:pPr>
        <w:pStyle w:val="FirstParagraph"/>
      </w:pPr>
      <w:r>
        <w:t xml:space="preserve">When an objection is recorded for a data subject, the system shall flag that data subject's profile as "objection pending." The system shall prevent new non-essential data collection for that data subject until the DPO resolves the objection. Financial and legal-obligation-basis processing shall continue per Section 7(2) exception. The DPO dashboard shall display the objection as a pending action.</w:t>
      </w:r>
    </w:p>
    <w:p>
      <w:pPr>
        <w:pStyle w:val="BodyText"/>
      </w:pPr>
      <w:r>
        <w:rPr>
          <w:b/>
          <w:bCs/>
        </w:rPr>
        <w:t xml:space="preserve">Stimulus:</w:t>
      </w:r>
      <w:r>
        <w:t xml:space="preserve"> </w:t>
      </w:r>
      <w:r>
        <w:t xml:space="preserve">Objection flag is set on a data subject.</w:t>
      </w:r>
      <w:r>
        <w:t xml:space="preserve"> </w:t>
      </w:r>
      <w:r>
        <w:rPr>
          <w:b/>
          <w:bCs/>
        </w:rPr>
        <w:t xml:space="preserve">Response:</w:t>
      </w:r>
      <w:r>
        <w:t xml:space="preserve"> </w:t>
      </w:r>
      <w:r>
        <w:t xml:space="preserve">System blocks new consent-basis data entry for that subject. Displays warning to any user attempting data entry: "Data subject objection pending — consult DPO before proceeding." Legal-obligation-basis processes (payment, tax records) continue unaffected.</w:t>
      </w:r>
    </w:p>
    <w:p>
      <w:r>
        <w:pict>
          <v:rect style="width:0;height:1.5pt" o:hralign="center" o:hrstd="t" o:hr="t"/>
        </w:pict>
      </w:r>
    </w:p>
    <w:bookmarkEnd w:id="55"/>
    <w:bookmarkEnd w:id="56"/>
    <w:bookmarkStart w:id="60" w:name="X77a97160ac70e18e36b9157310e734a7f302d91"/>
    <w:p>
      <w:pPr>
        <w:pStyle w:val="Heading2"/>
      </w:pPr>
      <w:r>
        <w:t xml:space="preserve">5.3 Right to Rectification and Erasure (Section 16)</w:t>
      </w:r>
    </w:p>
    <w:bookmarkStart w:id="57" w:name="Xb9fbbb718834ff4feda81f6704df44380c87c68"/>
    <w:p>
      <w:pPr>
        <w:pStyle w:val="Heading3"/>
      </w:pPr>
      <w:r>
        <w:t xml:space="preserve">FR-DPPA-014 — Rectification Request Workflow</w:t>
      </w:r>
    </w:p>
    <w:p>
      <w:pPr>
        <w:pStyle w:val="FirstParagraph"/>
      </w:pPr>
      <w:r>
        <w:t xml:space="preserve">When a data subject submits a rectification request (correct inaccurate, irrelevant, excessive, out-of-date, incomplete, misleading, or unlawfully obtained data), the IT Administrator shall record the request. The system shall set a 30-calendar-day response deadline. The DPO dashboard shall display requests approaching or exceeding the 30-day deadline.</w:t>
      </w:r>
    </w:p>
    <w:p>
      <w:pPr>
        <w:pStyle w:val="BodyText"/>
      </w:pPr>
      <w:r>
        <w:rPr>
          <w:b/>
          <w:bCs/>
        </w:rPr>
        <w:t xml:space="preserve">Stimulus:</w:t>
      </w:r>
      <w:r>
        <w:t xml:space="preserve"> </w:t>
      </w:r>
      <w:r>
        <w:t xml:space="preserve">IT Administrator records a rectification request.</w:t>
      </w:r>
      <w:r>
        <w:t xml:space="preserve"> </w:t>
      </w:r>
      <w:r>
        <w:rPr>
          <w:b/>
          <w:bCs/>
        </w:rPr>
        <w:t xml:space="preserve">Response:</w:t>
      </w:r>
      <w:r>
        <w:t xml:space="preserve"> </w:t>
      </w:r>
      <w:r>
        <w:t xml:space="preserve">System creates</w:t>
      </w:r>
      <w:r>
        <w:t xml:space="preserve"> </w:t>
      </w:r>
      <w:r>
        <w:rPr>
          <w:rStyle w:val="VerbatimChar"/>
        </w:rPr>
        <w:t xml:space="preserve">tbl_data_subject_requests</w:t>
      </w:r>
      <w:r>
        <w:t xml:space="preserve"> </w:t>
      </w:r>
      <w:r>
        <w:t xml:space="preserve">record with</w:t>
      </w:r>
      <w:r>
        <w:t xml:space="preserve"> </w:t>
      </w:r>
      <w:r>
        <w:rPr>
          <w:rStyle w:val="VerbatimChar"/>
        </w:rPr>
        <w:t xml:space="preserve">request_type = 'rectification'</w:t>
      </w:r>
      <w:r>
        <w:t xml:space="preserve"> </w:t>
      </w:r>
      <w:r>
        <w:t xml:space="preserve">and</w:t>
      </w:r>
      <w:r>
        <w:t xml:space="preserve"> </w:t>
      </w:r>
      <w:r>
        <w:rPr>
          <w:rStyle w:val="VerbatimChar"/>
        </w:rPr>
        <w:t xml:space="preserve">due_at = submitted_at + 30 days</w:t>
      </w:r>
      <w:r>
        <w:t xml:space="preserve">.</w:t>
      </w:r>
    </w:p>
    <w:bookmarkEnd w:id="57"/>
    <w:bookmarkStart w:id="58" w:name="Xbc6389828dc1626857b848b36d903710ee9cc83"/>
    <w:p>
      <w:pPr>
        <w:pStyle w:val="Heading3"/>
      </w:pPr>
      <w:r>
        <w:t xml:space="preserve">FR-DPPA-015 — Erasure with Retention Conflict Check</w:t>
      </w:r>
    </w:p>
    <w:p>
      <w:pPr>
        <w:pStyle w:val="FirstParagraph"/>
      </w:pPr>
      <w:r>
        <w:t xml:space="preserve">When an erasure request is received for a data subject, the system shall check whether the data is within the legally mandated 7-year retention window. If within the retention window, the system shall inform the DPO: "Financial records for [Data Subject] cannot be erased until [expiry date] per Income Tax Act Cap 340 and Companies Act 7-year retention obligations." The DPO shall record a written rejection with reasons, which the system shall store and allow the DPO to provide to the data subject.</w:t>
      </w:r>
    </w:p>
    <w:p>
      <w:pPr>
        <w:pStyle w:val="BodyText"/>
      </w:pPr>
      <w:r>
        <w:rPr>
          <w:b/>
          <w:bCs/>
        </w:rPr>
        <w:t xml:space="preserve">Stimulus:</w:t>
      </w:r>
      <w:r>
        <w:t xml:space="preserve"> </w:t>
      </w:r>
      <w:r>
        <w:t xml:space="preserve">DPO processes an erasure request for a data subject whose financial records are within the 7-year window.</w:t>
      </w:r>
      <w:r>
        <w:t xml:space="preserve"> </w:t>
      </w:r>
      <w:r>
        <w:rPr>
          <w:b/>
          <w:bCs/>
        </w:rPr>
        <w:t xml:space="preserve">Response:</w:t>
      </w:r>
      <w:r>
        <w:t xml:space="preserve"> </w:t>
      </w:r>
      <w:r>
        <w:t xml:space="preserve">System displays retention conflict warning with the earliest eligible erasure date. DPO selects "Record Rejection with Reasons." System stores written rejection and marks request as</w:t>
      </w:r>
      <w:r>
        <w:t xml:space="preserve"> </w:t>
      </w:r>
      <w:r>
        <w:rPr>
          <w:rStyle w:val="VerbatimChar"/>
        </w:rPr>
        <w:t xml:space="preserve">'rejected'</w:t>
      </w:r>
      <w:r>
        <w:t xml:space="preserve">.</w:t>
      </w:r>
    </w:p>
    <w:p>
      <w:pPr>
        <w:pStyle w:val="BodyText"/>
      </w:pPr>
      <w:r>
        <w:rPr>
          <w:i/>
          <w:iCs/>
        </w:rPr>
        <w:t xml:space="preserve">Note: The conflict between Section 16 erasure rights and 7-year financial record retention under the Income Tax Act and Companies Act requires resolution by qualified Uganda legal counsel before Phase 3 go-live.</w:t>
      </w:r>
      <w:r>
        <w:t xml:space="preserve"> </w:t>
      </w:r>
      <w:r>
        <w:t xml:space="preserve">[CONTEXT-GAP: GAP-004]</w:t>
      </w:r>
    </w:p>
    <w:bookmarkEnd w:id="58"/>
    <w:bookmarkStart w:id="59" w:name="X57222bef8cb1a2fbd518593d793d20f84731b8c"/>
    <w:p>
      <w:pPr>
        <w:pStyle w:val="Heading3"/>
      </w:pPr>
      <w:r>
        <w:t xml:space="preserve">FR-DPPA-016 — Erasure Execution for Eligible Records</w:t>
      </w:r>
    </w:p>
    <w:p>
      <w:pPr>
        <w:pStyle w:val="FirstParagraph"/>
      </w:pPr>
      <w:r>
        <w:t xml:space="preserve">When a data subject's retention period has expired and an erasure request is submitted (or the automated retention expiry alert fires), the system shall de-identify the data subject's personal data fields: set name to an anonymised token, set NIN to NULL, set GPS coordinates to NULL, set photograph to NULL, set mobile money number to NULL, and set contact phone to NULL. Financial transaction amounts and delivery weights shall remain as N-tier aggregate records with anonymised subject reference.</w:t>
      </w:r>
    </w:p>
    <w:p>
      <w:pPr>
        <w:pStyle w:val="BodyText"/>
      </w:pPr>
      <w:r>
        <w:rPr>
          <w:b/>
          <w:bCs/>
        </w:rPr>
        <w:t xml:space="preserve">Stimulus:</w:t>
      </w:r>
      <w:r>
        <w:t xml:space="preserve"> </w:t>
      </w:r>
      <w:r>
        <w:t xml:space="preserve">DPO confirms erasure for a data subject whose retention period has expired.</w:t>
      </w:r>
      <w:r>
        <w:t xml:space="preserve"> </w:t>
      </w:r>
      <w:r>
        <w:rPr>
          <w:b/>
          <w:bCs/>
        </w:rPr>
        <w:t xml:space="preserve">Response:</w:t>
      </w:r>
      <w:r>
        <w:t xml:space="preserve"> </w:t>
      </w:r>
      <w:r>
        <w:t xml:space="preserve">System de-identifies all P-tier and S-tier fields. Financial records are retained with anonymised reference. System logs the destruction action in the audit trail with DPO user ID and timestamp.</w:t>
      </w:r>
    </w:p>
    <w:p>
      <w:r>
        <w:pict>
          <v:rect style="width:0;height:1.5pt" o:hralign="center" o:hrstd="t" o:hr="t"/>
        </w:pict>
      </w:r>
    </w:p>
    <w:bookmarkEnd w:id="59"/>
    <w:bookmarkEnd w:id="60"/>
    <w:bookmarkStart w:id="62" w:name="Xa61cd7ffc158d610b498eb9cdb43159ea3b4fd9"/>
    <w:p>
      <w:pPr>
        <w:pStyle w:val="Heading2"/>
      </w:pPr>
      <w:r>
        <w:t xml:space="preserve">5.4 Third-Party Notification After Rectification or Erasure (Section 28(4))</w:t>
      </w:r>
    </w:p>
    <w:bookmarkStart w:id="61" w:name="fr-dppa-017--third-party-disclosure-log"/>
    <w:p>
      <w:pPr>
        <w:pStyle w:val="Heading3"/>
      </w:pPr>
      <w:r>
        <w:t xml:space="preserve">FR-DPPA-017 — Third-Party Disclosure Log</w:t>
      </w:r>
    </w:p>
    <w:p>
      <w:pPr>
        <w:pStyle w:val="FirstParagraph"/>
      </w:pPr>
      <w:r>
        <w:t xml:space="preserve">The system shall maintain a log of all third parties to whom a data subject's personal data has been disclosed (MTN MoMo, Airtel Money, Africa's Talking). When a rectification or erasure is performed, the DPO dashboard shall display a notification task: "Notify third parties of data change for [Data Subject ID]." The DPO shall record the date on which each third party was notified and the method of notification.</w:t>
      </w:r>
    </w:p>
    <w:p>
      <w:r>
        <w:pict>
          <v:rect style="width:0;height:1.5pt" o:hralign="center" o:hrstd="t" o:hr="t"/>
        </w:pict>
      </w:r>
    </w:p>
    <w:bookmarkEnd w:id="61"/>
    <w:bookmarkEnd w:id="62"/>
    <w:bookmarkStart w:id="63" w:name="X44e0efb55b68082115e442a0c7c86c7116156dd"/>
    <w:p>
      <w:pPr>
        <w:pStyle w:val="Heading2"/>
      </w:pPr>
      <w:r>
        <w:t xml:space="preserve">5.5 Data Subject Rights Request Log Schema</w:t>
      </w:r>
    </w:p>
    <w:p>
      <w:pPr>
        <w:pStyle w:val="FirstParagraph"/>
      </w:pPr>
      <w:r>
        <w:t xml:space="preserve">All data subject rights requests are stored in</w:t>
      </w:r>
      <w:r>
        <w:t xml:space="preserve"> </w:t>
      </w:r>
      <w:r>
        <w:rPr>
          <w:rStyle w:val="VerbatimChar"/>
        </w:rPr>
        <w:t xml:space="preserve">tbl_data_subject_requests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request_id</w:t>
            </w:r>
          </w:p>
        </w:tc>
        <w:tc>
          <w:tcPr/>
          <w:p>
            <w:pPr>
              <w:pStyle w:val="Compact"/>
            </w:pPr>
            <w:r>
              <w:t xml:space="preserve">BIGINT UNSIGNED PK</w:t>
            </w:r>
          </w:p>
        </w:tc>
        <w:tc>
          <w:tcPr/>
          <w:p>
            <w:pPr>
              <w:pStyle w:val="Compact"/>
            </w:pPr>
            <w:r>
              <w:t xml:space="preserve">Auto-increment</w:t>
            </w:r>
          </w:p>
        </w:tc>
      </w:tr>
      <w:tr>
        <w:tc>
          <w:tcPr/>
          <w:p>
            <w:pPr>
              <w:pStyle w:val="Compact"/>
            </w:pPr>
            <w:r>
              <w:rPr>
                <w:rStyle w:val="VerbatimChar"/>
              </w:rPr>
              <w:t xml:space="preserve">data_subject_id</w:t>
            </w:r>
          </w:p>
        </w:tc>
        <w:tc>
          <w:tcPr/>
          <w:p>
            <w:pPr>
              <w:pStyle w:val="Compact"/>
            </w:pPr>
            <w:r>
              <w:t xml:space="preserve">INT</w:t>
            </w:r>
          </w:p>
        </w:tc>
        <w:tc>
          <w:tcPr/>
          <w:p>
            <w:pPr>
              <w:pStyle w:val="Compact"/>
            </w:pPr>
            <w:r>
              <w:t xml:space="preserve">FK to farmer / employee / agent table</w:t>
            </w:r>
          </w:p>
        </w:tc>
      </w:tr>
      <w:tr>
        <w:tc>
          <w:tcPr/>
          <w:p>
            <w:pPr>
              <w:pStyle w:val="Compact"/>
            </w:pPr>
            <w:r>
              <w:rPr>
                <w:rStyle w:val="VerbatimChar"/>
              </w:rPr>
              <w:t xml:space="preserve">data_subject_type</w:t>
            </w:r>
          </w:p>
        </w:tc>
        <w:tc>
          <w:tcPr/>
          <w:p>
            <w:pPr>
              <w:pStyle w:val="Compact"/>
            </w:pPr>
            <w:r>
              <w:t xml:space="preserve">ENUM('farmer','employee','agent')</w:t>
            </w:r>
          </w:p>
        </w:tc>
        <w:tc>
          <w:tcPr/>
          <w:p>
            <w:pPr>
              <w:pStyle w:val="Compact"/>
            </w:pPr>
          </w:p>
        </w:tc>
      </w:tr>
      <w:tr>
        <w:tc>
          <w:tcPr/>
          <w:p>
            <w:pPr>
              <w:pStyle w:val="Compact"/>
            </w:pPr>
            <w:r>
              <w:rPr>
                <w:rStyle w:val="VerbatimChar"/>
              </w:rPr>
              <w:t xml:space="preserve">request_type</w:t>
            </w:r>
          </w:p>
        </w:tc>
        <w:tc>
          <w:tcPr/>
          <w:p>
            <w:pPr>
              <w:pStyle w:val="Compact"/>
            </w:pPr>
            <w:r>
              <w:t xml:space="preserve">ENUM('access','rectification','erasure','objection')</w:t>
            </w:r>
          </w:p>
        </w:tc>
        <w:tc>
          <w:tcPr/>
          <w:p>
            <w:pPr>
              <w:pStyle w:val="Compact"/>
            </w:pPr>
            <w:r>
              <w:t xml:space="preserve">Sections 14–16</w:t>
            </w:r>
          </w:p>
        </w:tc>
      </w:tr>
      <w:tr>
        <w:tc>
          <w:tcPr/>
          <w:p>
            <w:pPr>
              <w:pStyle w:val="Compact"/>
            </w:pPr>
            <w:r>
              <w:rPr>
                <w:rStyle w:val="VerbatimChar"/>
              </w:rPr>
              <w:t xml:space="preserve">submitted_at</w:t>
            </w:r>
          </w:p>
        </w:tc>
        <w:tc>
          <w:tcPr/>
          <w:p>
            <w:pPr>
              <w:pStyle w:val="Compact"/>
            </w:pPr>
            <w:r>
              <w:t xml:space="preserve">DATETIME</w:t>
            </w:r>
          </w:p>
        </w:tc>
        <w:tc>
          <w:tcPr/>
          <w:p>
            <w:pPr>
              <w:pStyle w:val="Compact"/>
            </w:pPr>
            <w:r>
              <w:t xml:space="preserve">UTC</w:t>
            </w:r>
          </w:p>
        </w:tc>
      </w:tr>
      <w:tr>
        <w:tc>
          <w:tcPr/>
          <w:p>
            <w:pPr>
              <w:pStyle w:val="Compact"/>
            </w:pPr>
            <w:r>
              <w:rPr>
                <w:rStyle w:val="VerbatimChar"/>
              </w:rPr>
              <w:t xml:space="preserve">due_at</w:t>
            </w:r>
          </w:p>
        </w:tc>
        <w:tc>
          <w:tcPr/>
          <w:p>
            <w:pPr>
              <w:pStyle w:val="Compact"/>
            </w:pPr>
            <w:r>
              <w:t xml:space="preserve">DATETIME</w:t>
            </w:r>
          </w:p>
        </w:tc>
        <w:tc>
          <w:tcPr/>
          <w:p>
            <w:pPr>
              <w:pStyle w:val="Compact"/>
            </w:pPr>
            <w:r>
              <w:rPr>
                <w:rStyle w:val="VerbatimChar"/>
              </w:rPr>
              <w:t xml:space="preserve">submitted_at + 30 days</w:t>
            </w:r>
          </w:p>
        </w:tc>
      </w:tr>
      <w:tr>
        <w:tc>
          <w:tcPr/>
          <w:p>
            <w:pPr>
              <w:pStyle w:val="Compact"/>
            </w:pPr>
            <w:r>
              <w:rPr>
                <w:rStyle w:val="VerbatimChar"/>
              </w:rPr>
              <w:t xml:space="preserve">status</w:t>
            </w:r>
          </w:p>
        </w:tc>
        <w:tc>
          <w:tcPr/>
          <w:p>
            <w:pPr>
              <w:pStyle w:val="Compact"/>
            </w:pPr>
            <w:r>
              <w:t xml:space="preserve">ENUM('pending','complied','rejected','escalated')</w:t>
            </w:r>
          </w:p>
        </w:tc>
        <w:tc>
          <w:tcPr/>
          <w:p>
            <w:pPr>
              <w:pStyle w:val="Compact"/>
            </w:pPr>
          </w:p>
        </w:tc>
      </w:tr>
      <w:tr>
        <w:tc>
          <w:tcPr/>
          <w:p>
            <w:pPr>
              <w:pStyle w:val="Compact"/>
            </w:pPr>
            <w:r>
              <w:rPr>
                <w:rStyle w:val="VerbatimChar"/>
              </w:rPr>
              <w:t xml:space="preserve">responded_at</w:t>
            </w:r>
          </w:p>
        </w:tc>
        <w:tc>
          <w:tcPr/>
          <w:p>
            <w:pPr>
              <w:pStyle w:val="Compact"/>
            </w:pPr>
            <w:r>
              <w:t xml:space="preserve">DATETIME NULL</w:t>
            </w:r>
          </w:p>
        </w:tc>
        <w:tc>
          <w:tcPr/>
          <w:p>
            <w:pPr>
              <w:pStyle w:val="Compact"/>
            </w:pPr>
          </w:p>
        </w:tc>
      </w:tr>
      <w:tr>
        <w:tc>
          <w:tcPr/>
          <w:p>
            <w:pPr>
              <w:pStyle w:val="Compact"/>
            </w:pPr>
            <w:r>
              <w:rPr>
                <w:rStyle w:val="VerbatimChar"/>
              </w:rPr>
              <w:t xml:space="preserve">response_notes</w:t>
            </w:r>
          </w:p>
        </w:tc>
        <w:tc>
          <w:tcPr/>
          <w:p>
            <w:pPr>
              <w:pStyle w:val="Compact"/>
            </w:pPr>
            <w:r>
              <w:t xml:space="preserve">TEXT NULL</w:t>
            </w:r>
          </w:p>
        </w:tc>
        <w:tc>
          <w:tcPr/>
          <w:p>
            <w:pPr>
              <w:pStyle w:val="Compact"/>
            </w:pPr>
            <w:r>
              <w:t xml:space="preserve">Written rejection reason if rejected</w:t>
            </w:r>
          </w:p>
        </w:tc>
      </w:tr>
      <w:tr>
        <w:tc>
          <w:tcPr/>
          <w:p>
            <w:pPr>
              <w:pStyle w:val="Compact"/>
            </w:pPr>
            <w:r>
              <w:rPr>
                <w:rStyle w:val="VerbatimChar"/>
              </w:rPr>
              <w:t xml:space="preserve">handled_by</w:t>
            </w:r>
          </w:p>
        </w:tc>
        <w:tc>
          <w:tcPr/>
          <w:p>
            <w:pPr>
              <w:pStyle w:val="Compact"/>
            </w:pPr>
            <w:r>
              <w:t xml:space="preserve">INT NULL</w:t>
            </w:r>
          </w:p>
        </w:tc>
        <w:tc>
          <w:tcPr/>
          <w:p>
            <w:pPr>
              <w:pStyle w:val="Compact"/>
            </w:pPr>
            <w:r>
              <w:t xml:space="preserve">DPO user ID</w:t>
            </w:r>
          </w:p>
        </w:tc>
      </w:tr>
      <w:tr>
        <w:tc>
          <w:tcPr/>
          <w:p>
            <w:pPr>
              <w:pStyle w:val="Compact"/>
            </w:pPr>
            <w:r>
              <w:rPr>
                <w:rStyle w:val="VerbatimChar"/>
              </w:rPr>
              <w:t xml:space="preserve">third_party_notified_at</w:t>
            </w:r>
          </w:p>
        </w:tc>
        <w:tc>
          <w:tcPr/>
          <w:p>
            <w:pPr>
              <w:pStyle w:val="Compact"/>
            </w:pPr>
            <w:r>
              <w:t xml:space="preserve">DATETIME NULL</w:t>
            </w:r>
          </w:p>
        </w:tc>
        <w:tc>
          <w:tcPr/>
          <w:p>
            <w:pPr>
              <w:pStyle w:val="Compact"/>
            </w:pPr>
            <w:r>
              <w:t xml:space="preserve">Section 28(4) notification timestamp</w:t>
            </w:r>
          </w:p>
        </w:tc>
      </w:tr>
    </w:tbl>
    <w:p>
      <w:r>
        <w:pict>
          <v:rect style="width:0;height:1.5pt" o:hralign="center" o:hrstd="t" o:hr="t"/>
        </w:pict>
      </w:r>
    </w:p>
    <w:bookmarkEnd w:id="63"/>
    <w:bookmarkStart w:id="65" w:name="X20d54ae9765da36a9ab33fdb841a0ba9cc1d57e"/>
    <w:p>
      <w:pPr>
        <w:pStyle w:val="Heading2"/>
      </w:pPr>
      <w:r>
        <w:t xml:space="preserve">5.6 DPO Dashboard — Overdue Rights Requests</w:t>
      </w:r>
    </w:p>
    <w:bookmarkStart w:id="64" w:name="fr-dppa-018--dpo-overdue-requests-alert"/>
    <w:p>
      <w:pPr>
        <w:pStyle w:val="Heading3"/>
      </w:pPr>
      <w:r>
        <w:t xml:space="preserve">FR-DPPA-018 — DPO Overdue Requests Alert</w:t>
      </w:r>
    </w:p>
    <w:p>
      <w:pPr>
        <w:pStyle w:val="FirstParagraph"/>
      </w:pPr>
      <w:r>
        <w:t xml:space="preserve">When the DPO logs into the system, the DPO dashboard shall display all data subject rights requests where</w:t>
      </w:r>
      <w:r>
        <w:t xml:space="preserve"> </w:t>
      </w:r>
      <w:r>
        <w:rPr>
          <w:rStyle w:val="VerbatimChar"/>
        </w:rPr>
        <w:t xml:space="preserve">due_at &lt; NOW()</w:t>
      </w:r>
      <w:r>
        <w:t xml:space="preserve"> </w:t>
      </w:r>
      <w:r>
        <w:t xml:space="preserve">and</w:t>
      </w:r>
      <w:r>
        <w:t xml:space="preserve"> </w:t>
      </w:r>
      <w:r>
        <w:rPr>
          <w:rStyle w:val="VerbatimChar"/>
        </w:rPr>
        <w:t xml:space="preserve">status = 'pending'</w:t>
      </w:r>
      <w:r>
        <w:t xml:space="preserve">. Each overdue item shall show: data subject ID, type, request type, days overdue, and a direct link to the request record. The dashboard shall display a count of overdue requests with a red indicator if the count is greater than 0.</w:t>
      </w:r>
    </w:p>
    <w:p>
      <w:pPr>
        <w:pStyle w:val="BodyText"/>
      </w:pPr>
      <w:r>
        <w:rPr>
          <w:b/>
          <w:bCs/>
        </w:rPr>
        <w:t xml:space="preserve">Stimulus:</w:t>
      </w:r>
      <w:r>
        <w:t xml:space="preserve"> </w:t>
      </w:r>
      <w:r>
        <w:t xml:space="preserve">DPO loads the dashboard.</w:t>
      </w:r>
      <w:r>
        <w:t xml:space="preserve"> </w:t>
      </w:r>
      <w:r>
        <w:rPr>
          <w:b/>
          <w:bCs/>
        </w:rPr>
        <w:t xml:space="preserve">Response:</w:t>
      </w:r>
      <w:r>
        <w:t xml:space="preserve"> </w:t>
      </w:r>
      <w:r>
        <w:t xml:space="preserve">System queries</w:t>
      </w:r>
      <w:r>
        <w:t xml:space="preserve"> </w:t>
      </w:r>
      <w:r>
        <w:rPr>
          <w:rStyle w:val="VerbatimChar"/>
        </w:rPr>
        <w:t xml:space="preserve">tbl_data_subject_requests</w:t>
      </w:r>
      <w:r>
        <w:t xml:space="preserve"> </w:t>
      </w:r>
      <w:r>
        <w:t xml:space="preserve">where</w:t>
      </w:r>
      <w:r>
        <w:t xml:space="preserve"> </w:t>
      </w:r>
      <w:r>
        <w:rPr>
          <w:rStyle w:val="VerbatimChar"/>
        </w:rPr>
        <w:t xml:space="preserve">due_at &lt; NOW()</w:t>
      </w:r>
      <w:r>
        <w:t xml:space="preserve"> </w:t>
      </w:r>
      <w:r>
        <w:t xml:space="preserve">and</w:t>
      </w:r>
      <w:r>
        <w:t xml:space="preserve"> </w:t>
      </w:r>
      <w:r>
        <w:rPr>
          <w:rStyle w:val="VerbatimChar"/>
        </w:rPr>
        <w:t xml:space="preserve">status = 'pending'</w:t>
      </w:r>
      <w:r>
        <w:t xml:space="preserve"> </w:t>
      </w:r>
      <w:r>
        <w:t xml:space="preserve">and displays results sorted by</w:t>
      </w:r>
      <w:r>
        <w:t xml:space="preserve"> </w:t>
      </w:r>
      <w:r>
        <w:rPr>
          <w:rStyle w:val="VerbatimChar"/>
        </w:rPr>
        <w:t xml:space="preserve">due_at ASC</w:t>
      </w:r>
      <w:r>
        <w:t xml:space="preserve">.</w:t>
      </w:r>
    </w:p>
    <w:bookmarkEnd w:id="64"/>
    <w:bookmarkEnd w:id="65"/>
    <w:bookmarkEnd w:id="66"/>
    <w:bookmarkStart w:id="82" w:name="Xda571a4b7b0c68491dfba865283f257c9a5a547"/>
    <w:p>
      <w:pPr>
        <w:pStyle w:val="Heading1"/>
      </w:pPr>
      <w:r>
        <w:t xml:space="preserve">Section 6 — Security and Technical Measures (Section 20, DPPA 2019)</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bookmarkStart w:id="69" w:name="X7b061afc103ccd35d87153b8664c481ec799ebc"/>
    <w:p>
      <w:pPr>
        <w:pStyle w:val="Heading2"/>
      </w:pPr>
      <w:r>
        <w:t xml:space="preserve">6.1 Encryption at Rest — S-Tier Fields</w:t>
      </w:r>
    </w:p>
    <w:bookmarkStart w:id="67" w:name="X453ac4d722f1e6cab524bea470fcea0219a408a"/>
    <w:p>
      <w:pPr>
        <w:pStyle w:val="Heading3"/>
      </w:pPr>
      <w:r>
        <w:t xml:space="preserve">NFR-DPPA-001 — AES-256-GCM for Special Personal Data at Rest</w:t>
      </w:r>
    </w:p>
    <w:p>
      <w:pPr>
        <w:pStyle w:val="FirstParagraph"/>
      </w:pPr>
      <w:r>
        <w:t xml:space="preserve">The system shall encrypt all S-tier fields at rest using AES-256-GCM. Encryption shall be applied at the application layer before data is written to the database. S-tier fields subject to this requirement: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Table</w:t>
            </w:r>
          </w:p>
        </w:tc>
        <w:tc>
          <w:tcPr/>
          <w:p>
            <w:pPr>
              <w:pStyle w:val="Compact"/>
            </w:pPr>
            <w:r>
              <w:t xml:space="preserve">Subject</w:t>
            </w:r>
          </w:p>
        </w:tc>
      </w:tr>
      <w:tr>
        <w:tc>
          <w:tcPr/>
          <w:p>
            <w:pPr>
              <w:pStyle w:val="Compact"/>
            </w:pPr>
            <w:r>
              <w:t xml:space="preserve">Mobile money number</w:t>
            </w:r>
          </w:p>
        </w:tc>
        <w:tc>
          <w:tcPr/>
          <w:p>
            <w:pPr>
              <w:pStyle w:val="Compact"/>
            </w:pPr>
            <w:r>
              <w:rPr>
                <w:rStyle w:val="VerbatimChar"/>
              </w:rPr>
              <w:t xml:space="preserve">tbl_farmers</w:t>
            </w:r>
          </w:p>
        </w:tc>
        <w:tc>
          <w:tcPr/>
          <w:p>
            <w:pPr>
              <w:pStyle w:val="Compact"/>
            </w:pPr>
            <w:r>
              <w:t xml:space="preserve">Farmer</w:t>
            </w:r>
          </w:p>
        </w:tc>
      </w:tr>
      <w:tr>
        <w:tc>
          <w:tcPr/>
          <w:p>
            <w:pPr>
              <w:pStyle w:val="Compact"/>
            </w:pPr>
            <w:r>
              <w:t xml:space="preserve">Payment amounts (per farmer)</w:t>
            </w:r>
          </w:p>
        </w:tc>
        <w:tc>
          <w:tcPr/>
          <w:p>
            <w:pPr>
              <w:pStyle w:val="Compact"/>
            </w:pPr>
            <w:r>
              <w:rPr>
                <w:rStyle w:val="VerbatimChar"/>
              </w:rPr>
              <w:t xml:space="preserve">tbl_farmer_payments</w:t>
            </w:r>
          </w:p>
        </w:tc>
        <w:tc>
          <w:tcPr/>
          <w:p>
            <w:pPr>
              <w:pStyle w:val="Compact"/>
            </w:pPr>
            <w:r>
              <w:t xml:space="preserve">Farmer</w:t>
            </w:r>
          </w:p>
        </w:tc>
      </w:tr>
      <w:tr>
        <w:tc>
          <w:tcPr/>
          <w:p>
            <w:pPr>
              <w:pStyle w:val="Compact"/>
            </w:pPr>
            <w:r>
              <w:t xml:space="preserve">Mobile money number</w:t>
            </w:r>
          </w:p>
        </w:tc>
        <w:tc>
          <w:tcPr/>
          <w:p>
            <w:pPr>
              <w:pStyle w:val="Compact"/>
            </w:pPr>
            <w:r>
              <w:rPr>
                <w:rStyle w:val="VerbatimChar"/>
              </w:rPr>
              <w:t xml:space="preserve">tbl_employees</w:t>
            </w:r>
          </w:p>
        </w:tc>
        <w:tc>
          <w:tcPr/>
          <w:p>
            <w:pPr>
              <w:pStyle w:val="Compact"/>
            </w:pPr>
            <w:r>
              <w:t xml:space="preserve">Employee</w:t>
            </w:r>
          </w:p>
        </w:tc>
      </w:tr>
      <w:tr>
        <w:tc>
          <w:tcPr/>
          <w:p>
            <w:pPr>
              <w:pStyle w:val="Compact"/>
            </w:pPr>
            <w:r>
              <w:t xml:space="preserve">Salary / gross pay / pay grade</w:t>
            </w:r>
          </w:p>
        </w:tc>
        <w:tc>
          <w:tcPr/>
          <w:p>
            <w:pPr>
              <w:pStyle w:val="Compact"/>
            </w:pPr>
            <w:r>
              <w:rPr>
                <w:rStyle w:val="VerbatimChar"/>
              </w:rPr>
              <w:t xml:space="preserve">tbl_payroll</w:t>
            </w:r>
          </w:p>
        </w:tc>
        <w:tc>
          <w:tcPr/>
          <w:p>
            <w:pPr>
              <w:pStyle w:val="Compact"/>
            </w:pPr>
            <w:r>
              <w:t xml:space="preserve">Employee</w:t>
            </w:r>
          </w:p>
        </w:tc>
      </w:tr>
      <w:tr>
        <w:tc>
          <w:tcPr/>
          <w:p>
            <w:pPr>
              <w:pStyle w:val="Compact"/>
            </w:pPr>
            <w:r>
              <w:t xml:space="preserve">Payroll deductions (PAYE, NSSF, LST)</w:t>
            </w:r>
          </w:p>
        </w:tc>
        <w:tc>
          <w:tcPr/>
          <w:p>
            <w:pPr>
              <w:pStyle w:val="Compact"/>
            </w:pPr>
            <w:r>
              <w:rPr>
                <w:rStyle w:val="VerbatimChar"/>
              </w:rPr>
              <w:t xml:space="preserve">tbl_payroll</w:t>
            </w:r>
          </w:p>
        </w:tc>
        <w:tc>
          <w:tcPr/>
          <w:p>
            <w:pPr>
              <w:pStyle w:val="Compact"/>
            </w:pPr>
            <w:r>
              <w:t xml:space="preserve">Employee</w:t>
            </w:r>
          </w:p>
        </w:tc>
      </w:tr>
      <w:tr>
        <w:tc>
          <w:tcPr/>
          <w:p>
            <w:pPr>
              <w:pStyle w:val="Compact"/>
            </w:pPr>
            <w:r>
              <w:t xml:space="preserve">Bank account number</w:t>
            </w:r>
          </w:p>
        </w:tc>
        <w:tc>
          <w:tcPr/>
          <w:p>
            <w:pPr>
              <w:pStyle w:val="Compact"/>
            </w:pPr>
            <w:r>
              <w:rPr>
                <w:rStyle w:val="VerbatimChar"/>
              </w:rPr>
              <w:t xml:space="preserve">tbl_employees</w:t>
            </w:r>
          </w:p>
        </w:tc>
        <w:tc>
          <w:tcPr/>
          <w:p>
            <w:pPr>
              <w:pStyle w:val="Compact"/>
            </w:pPr>
            <w:r>
              <w:t xml:space="preserve">Employee</w:t>
            </w:r>
          </w:p>
        </w:tc>
      </w:tr>
      <w:tr>
        <w:tc>
          <w:tcPr/>
          <w:p>
            <w:pPr>
              <w:pStyle w:val="Compact"/>
            </w:pPr>
            <w:r>
              <w:t xml:space="preserve">Staff loan balance</w:t>
            </w:r>
          </w:p>
        </w:tc>
        <w:tc>
          <w:tcPr/>
          <w:p>
            <w:pPr>
              <w:pStyle w:val="Compact"/>
            </w:pPr>
            <w:r>
              <w:rPr>
                <w:rStyle w:val="VerbatimChar"/>
              </w:rPr>
              <w:t xml:space="preserve">tbl_staff_loans</w:t>
            </w:r>
          </w:p>
        </w:tc>
        <w:tc>
          <w:tcPr/>
          <w:p>
            <w:pPr>
              <w:pStyle w:val="Compact"/>
            </w:pPr>
            <w:r>
              <w:t xml:space="preserve">Employee</w:t>
            </w:r>
          </w:p>
        </w:tc>
      </w:tr>
      <w:tr>
        <w:tc>
          <w:tcPr/>
          <w:p>
            <w:pPr>
              <w:pStyle w:val="Compact"/>
            </w:pPr>
            <w:r>
              <w:t xml:space="preserve">Mobile money number</w:t>
            </w:r>
          </w:p>
        </w:tc>
        <w:tc>
          <w:tcPr/>
          <w:p>
            <w:pPr>
              <w:pStyle w:val="Compact"/>
            </w:pPr>
            <w:r>
              <w:rPr>
                <w:rStyle w:val="VerbatimChar"/>
              </w:rPr>
              <w:t xml:space="preserve">tbl_agents</w:t>
            </w:r>
          </w:p>
        </w:tc>
        <w:tc>
          <w:tcPr/>
          <w:p>
            <w:pPr>
              <w:pStyle w:val="Compact"/>
            </w:pPr>
            <w:r>
              <w:t xml:space="preserve">Agent</w:t>
            </w:r>
          </w:p>
        </w:tc>
      </w:tr>
      <w:tr>
        <w:tc>
          <w:tcPr/>
          <w:p>
            <w:pPr>
              <w:pStyle w:val="Compact"/>
            </w:pPr>
            <w:r>
              <w:t xml:space="preserve">Commission amounts</w:t>
            </w:r>
          </w:p>
        </w:tc>
        <w:tc>
          <w:tcPr/>
          <w:p>
            <w:pPr>
              <w:pStyle w:val="Compact"/>
            </w:pPr>
            <w:r>
              <w:rPr>
                <w:rStyle w:val="VerbatimChar"/>
              </w:rPr>
              <w:t xml:space="preserve">tbl_agent_commissions</w:t>
            </w:r>
          </w:p>
        </w:tc>
        <w:tc>
          <w:tcPr/>
          <w:p>
            <w:pPr>
              <w:pStyle w:val="Compact"/>
            </w:pPr>
            <w:r>
              <w:t xml:space="preserve">Agent</w:t>
            </w:r>
          </w:p>
        </w:tc>
      </w:tr>
      <w:tr>
        <w:tc>
          <w:tcPr/>
          <w:p>
            <w:pPr>
              <w:pStyle w:val="Compact"/>
            </w:pPr>
            <w:r>
              <w:t xml:space="preserve">Cash balance</w:t>
            </w:r>
          </w:p>
        </w:tc>
        <w:tc>
          <w:tcPr/>
          <w:p>
            <w:pPr>
              <w:pStyle w:val="Compact"/>
            </w:pPr>
            <w:r>
              <w:rPr>
                <w:rStyle w:val="VerbatimChar"/>
              </w:rPr>
              <w:t xml:space="preserve">tbl_agent_cash_balance</w:t>
            </w:r>
          </w:p>
        </w:tc>
        <w:tc>
          <w:tcPr/>
          <w:p>
            <w:pPr>
              <w:pStyle w:val="Compact"/>
            </w:pPr>
            <w:r>
              <w:t xml:space="preserve">Agent</w:t>
            </w:r>
          </w:p>
        </w:tc>
      </w:tr>
    </w:tbl>
    <w:p>
      <w:pPr>
        <w:pStyle w:val="BodyText"/>
      </w:pPr>
      <w:r>
        <w:rPr>
          <w:i/>
          <w:iCs/>
        </w:rPr>
        <w:t xml:space="preserve">Encryption keys are generated and held by BIRDC IT. Keys are not held by any vendor or cloud provider. Key rotation procedure documented in the System Administration Guide.</w:t>
      </w:r>
    </w:p>
    <w:bookmarkEnd w:id="67"/>
    <w:bookmarkStart w:id="68" w:name="X9df07ac9c136ade915ae8b2bd21828a867f2a05"/>
    <w:p>
      <w:pPr>
        <w:pStyle w:val="Heading3"/>
      </w:pPr>
      <w:r>
        <w:t xml:space="preserve">NFR-DPPA-002 — AES-128+ for Personal Data at Rest</w:t>
      </w:r>
    </w:p>
    <w:p>
      <w:pPr>
        <w:pStyle w:val="FirstParagraph"/>
      </w:pPr>
      <w:r>
        <w:t xml:space="preserve">The system shall encrypt all P-tier fields at rest using AES-128-GCM or stronger. P-tier fields subject to this requirement: NIN (farmer, employee, agent), GPS farm coordinates, farmer photograph, employee photograph, home address, contact phone numbers, leave records, disciplinary records.</w:t>
      </w:r>
    </w:p>
    <w:p>
      <w:r>
        <w:pict>
          <v:rect style="width:0;height:1.5pt" o:hralign="center" o:hrstd="t" o:hr="t"/>
        </w:pict>
      </w:r>
    </w:p>
    <w:bookmarkEnd w:id="68"/>
    <w:bookmarkEnd w:id="69"/>
    <w:bookmarkStart w:id="71" w:name="Xc266e5fe92f381ed8523da45c5151ceea8f0ee4"/>
    <w:p>
      <w:pPr>
        <w:pStyle w:val="Heading2"/>
      </w:pPr>
      <w:r>
        <w:t xml:space="preserve">6.2 Encryption in Transit</w:t>
      </w:r>
    </w:p>
    <w:bookmarkStart w:id="70" w:name="X31cd9562b05de00c25202456a765a5e64dabd1d"/>
    <w:p>
      <w:pPr>
        <w:pStyle w:val="Heading3"/>
      </w:pPr>
      <w:r>
        <w:t xml:space="preserve">NFR-DPPA-003 — TLS 1.3 for All Data in Transit</w:t>
      </w:r>
    </w:p>
    <w:p>
      <w:pPr>
        <w:pStyle w:val="FirstParagraph"/>
      </w:pPr>
      <w:r>
        <w:t xml:space="preserve">All API communication between the web application and the server, between the Android mobile applications and the server, between the server and external APIs (MTN MoMo, Airtel Money, Africa's Talking, URA EFRIS, NIRA), and all web sessions shall use TLS 1.3 or higher. TLS 1.0 and TLS 1.1 are prohibited. TLS 1.2 is permitted only if TLS 1.3 is not supported by the external API endpoint.</w:t>
      </w:r>
    </w:p>
    <w:p>
      <w:r>
        <w:pict>
          <v:rect style="width:0;height:1.5pt" o:hralign="center" o:hrstd="t" o:hr="t"/>
        </w:pict>
      </w:r>
    </w:p>
    <w:bookmarkEnd w:id="70"/>
    <w:bookmarkEnd w:id="71"/>
    <w:bookmarkStart w:id="74" w:name="Xafd0a0353a808d0f9f620ad62bc913acbab1aaa"/>
    <w:p>
      <w:pPr>
        <w:pStyle w:val="Heading2"/>
      </w:pPr>
      <w:r>
        <w:t xml:space="preserve">6.3 Role-Based Access Control for S-Tier Fields</w:t>
      </w:r>
    </w:p>
    <w:bookmarkStart w:id="72" w:name="Xad0097908cd33c47ea6881ff5df8251d0ae6f31"/>
    <w:p>
      <w:pPr>
        <w:pStyle w:val="Heading3"/>
      </w:pPr>
      <w:r>
        <w:t xml:space="preserve">NFR-DPPA-004 — Named Role Restriction for Special Personal Data</w:t>
      </w:r>
    </w:p>
    <w:p>
      <w:pPr>
        <w:pStyle w:val="FirstParagraph"/>
      </w:pPr>
      <w:r>
        <w:t xml:space="preserve">The system shall restrict visibility and export of S-tier fields to the following named roles 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S-Tier Field</w:t>
            </w:r>
          </w:p>
        </w:tc>
        <w:tc>
          <w:tcPr/>
          <w:p>
            <w:pPr>
              <w:pStyle w:val="Compact"/>
            </w:pPr>
            <w:r>
              <w:t xml:space="preserve">Authorised Roles</w:t>
            </w:r>
          </w:p>
        </w:tc>
      </w:tr>
      <w:tr>
        <w:tc>
          <w:tcPr/>
          <w:p>
            <w:pPr>
              <w:pStyle w:val="Compact"/>
            </w:pPr>
            <w:r>
              <w:t xml:space="preserve">Farmer mobile money number</w:t>
            </w:r>
          </w:p>
        </w:tc>
        <w:tc>
          <w:tcPr/>
          <w:p>
            <w:pPr>
              <w:pStyle w:val="Compact"/>
            </w:pPr>
            <w:r>
              <w:t xml:space="preserve">Payroll Officer, Finance Director, IT Administrator</w:t>
            </w:r>
          </w:p>
        </w:tc>
      </w:tr>
      <w:tr>
        <w:tc>
          <w:tcPr/>
          <w:p>
            <w:pPr>
              <w:pStyle w:val="Compact"/>
            </w:pPr>
            <w:r>
              <w:t xml:space="preserve">Farmer payment amounts</w:t>
            </w:r>
          </w:p>
        </w:tc>
        <w:tc>
          <w:tcPr/>
          <w:p>
            <w:pPr>
              <w:pStyle w:val="Compact"/>
            </w:pPr>
            <w:r>
              <w:t xml:space="preserve">Payroll Officer, Finance Director, Procurement Manager, IT Administrator</w:t>
            </w:r>
          </w:p>
        </w:tc>
      </w:tr>
      <w:tr>
        <w:tc>
          <w:tcPr/>
          <w:p>
            <w:pPr>
              <w:pStyle w:val="Compact"/>
            </w:pPr>
            <w:r>
              <w:t xml:space="preserve">Employee salary / deductions</w:t>
            </w:r>
          </w:p>
        </w:tc>
        <w:tc>
          <w:tcPr/>
          <w:p>
            <w:pPr>
              <w:pStyle w:val="Compact"/>
            </w:pPr>
            <w:r>
              <w:t xml:space="preserve">HR Manager, Payroll Officer, Finance Director, IT Administrator, Employee Self (own record only)</w:t>
            </w:r>
          </w:p>
        </w:tc>
      </w:tr>
      <w:tr>
        <w:tc>
          <w:tcPr/>
          <w:p>
            <w:pPr>
              <w:pStyle w:val="Compact"/>
            </w:pPr>
            <w:r>
              <w:t xml:space="preserve">Employee bank account number</w:t>
            </w:r>
          </w:p>
        </w:tc>
        <w:tc>
          <w:tcPr/>
          <w:p>
            <w:pPr>
              <w:pStyle w:val="Compact"/>
            </w:pPr>
            <w:r>
              <w:t xml:space="preserve">Payroll Officer, Finance Director, IT Administrator</w:t>
            </w:r>
          </w:p>
        </w:tc>
      </w:tr>
      <w:tr>
        <w:tc>
          <w:tcPr/>
          <w:p>
            <w:pPr>
              <w:pStyle w:val="Compact"/>
            </w:pPr>
            <w:r>
              <w:t xml:space="preserve">Employee mobile money number</w:t>
            </w:r>
          </w:p>
        </w:tc>
        <w:tc>
          <w:tcPr/>
          <w:p>
            <w:pPr>
              <w:pStyle w:val="Compact"/>
            </w:pPr>
            <w:r>
              <w:t xml:space="preserve">Payroll Officer, Finance Director, IT Administrator</w:t>
            </w:r>
          </w:p>
        </w:tc>
      </w:tr>
      <w:tr>
        <w:tc>
          <w:tcPr/>
          <w:p>
            <w:pPr>
              <w:pStyle w:val="Compact"/>
            </w:pPr>
            <w:r>
              <w:t xml:space="preserve">Staff loan balance</w:t>
            </w:r>
          </w:p>
        </w:tc>
        <w:tc>
          <w:tcPr/>
          <w:p>
            <w:pPr>
              <w:pStyle w:val="Compact"/>
            </w:pPr>
            <w:r>
              <w:t xml:space="preserve">HR Manager, Finance Director, IT Administrator, Employee Self (own record only)</w:t>
            </w:r>
          </w:p>
        </w:tc>
      </w:tr>
      <w:tr>
        <w:tc>
          <w:tcPr/>
          <w:p>
            <w:pPr>
              <w:pStyle w:val="Compact"/>
            </w:pPr>
            <w:r>
              <w:t xml:space="preserve">Agent mobile money number</w:t>
            </w:r>
          </w:p>
        </w:tc>
        <w:tc>
          <w:tcPr/>
          <w:p>
            <w:pPr>
              <w:pStyle w:val="Compact"/>
            </w:pPr>
            <w:r>
              <w:t xml:space="preserve">Finance Director, IT Administrator</w:t>
            </w:r>
          </w:p>
        </w:tc>
      </w:tr>
      <w:tr>
        <w:tc>
          <w:tcPr/>
          <w:p>
            <w:pPr>
              <w:pStyle w:val="Compact"/>
            </w:pPr>
            <w:r>
              <w:t xml:space="preserve">Agent commission amounts</w:t>
            </w:r>
          </w:p>
        </w:tc>
        <w:tc>
          <w:tcPr/>
          <w:p>
            <w:pPr>
              <w:pStyle w:val="Compact"/>
            </w:pPr>
            <w:r>
              <w:t xml:space="preserve">Finance Director, Sales Manager, IT Administrator, Agent Self (own record only)</w:t>
            </w:r>
          </w:p>
        </w:tc>
      </w:tr>
      <w:tr>
        <w:tc>
          <w:tcPr/>
          <w:p>
            <w:pPr>
              <w:pStyle w:val="Compact"/>
            </w:pPr>
            <w:r>
              <w:t xml:space="preserve">Agent cash balance</w:t>
            </w:r>
          </w:p>
        </w:tc>
        <w:tc>
          <w:tcPr/>
          <w:p>
            <w:pPr>
              <w:pStyle w:val="Compact"/>
            </w:pPr>
            <w:r>
              <w:t xml:space="preserve">Finance Director, Sales Manager, IT Administrator</w:t>
            </w:r>
          </w:p>
        </w:tc>
      </w:tr>
    </w:tbl>
    <w:p>
      <w:pPr>
        <w:pStyle w:val="BodyText"/>
      </w:pPr>
      <w:r>
        <w:t xml:space="preserve">All other roles shall see these fields masked (e.g.,</w:t>
      </w:r>
      <w:r>
        <w:t xml:space="preserve"> </w:t>
      </w:r>
      <w:r>
        <w:rPr>
          <w:rStyle w:val="VerbatimChar"/>
        </w:rPr>
        <w:t xml:space="preserve">MTN: ****4567</w:t>
      </w:r>
      <w:r>
        <w:t xml:space="preserve">).</w:t>
      </w:r>
    </w:p>
    <w:bookmarkEnd w:id="72"/>
    <w:bookmarkStart w:id="73" w:name="X3bed032a7481bd90683641424840f87b8e15a59"/>
    <w:p>
      <w:pPr>
        <w:pStyle w:val="Heading3"/>
      </w:pPr>
      <w:r>
        <w:t xml:space="preserve">NFR-DPPA-005 — S-Tier Field Access Logging</w:t>
      </w:r>
    </w:p>
    <w:p>
      <w:pPr>
        <w:pStyle w:val="FirstParagraph"/>
      </w:pPr>
      <w:r>
        <w:t xml:space="preserve">Every read, display, export, or API transmission of an S-tier field shall be logged in</w:t>
      </w:r>
      <w:r>
        <w:t xml:space="preserve"> </w:t>
      </w:r>
      <w:r>
        <w:rPr>
          <w:rStyle w:val="VerbatimChar"/>
        </w:rPr>
        <w:t xml:space="preserve">tbl_audit_log</w:t>
      </w:r>
      <w:r>
        <w:t xml:space="preserve"> </w:t>
      </w:r>
      <w:r>
        <w:t xml:space="preserve">with: user ID, role, action (</w:t>
      </w:r>
      <w:r>
        <w:rPr>
          <w:rStyle w:val="VerbatimChar"/>
        </w:rPr>
        <w:t xml:space="preserve">READ</w:t>
      </w:r>
      <w:r>
        <w:t xml:space="preserve"> </w:t>
      </w:r>
      <w:r>
        <w:t xml:space="preserve">/</w:t>
      </w:r>
      <w:r>
        <w:t xml:space="preserve"> </w:t>
      </w:r>
      <w:r>
        <w:rPr>
          <w:rStyle w:val="VerbatimChar"/>
        </w:rPr>
        <w:t xml:space="preserve">EXPORT</w:t>
      </w:r>
      <w:r>
        <w:t xml:space="preserve"> </w:t>
      </w:r>
      <w:r>
        <w:t xml:space="preserve">/</w:t>
      </w:r>
      <w:r>
        <w:t xml:space="preserve"> </w:t>
      </w:r>
      <w:r>
        <w:rPr>
          <w:rStyle w:val="VerbatimChar"/>
        </w:rPr>
        <w:t xml:space="preserve">DECRYPT</w:t>
      </w:r>
      <w:r>
        <w:t xml:space="preserve">), field name, data subject ID, timestamp. This log is immutable and is included in the GL hash chain audit trail.</w:t>
      </w:r>
    </w:p>
    <w:p>
      <w:r>
        <w:pict>
          <v:rect style="width:0;height:1.5pt" o:hralign="center" o:hrstd="t" o:hr="t"/>
        </w:pict>
      </w:r>
    </w:p>
    <w:bookmarkEnd w:id="73"/>
    <w:bookmarkEnd w:id="74"/>
    <w:bookmarkStart w:id="76" w:name="Xd56e9ad15dc441115bf06bb1372a971c308630f"/>
    <w:p>
      <w:pPr>
        <w:pStyle w:val="Heading2"/>
      </w:pPr>
      <w:r>
        <w:t xml:space="preserve">6.4 Risk Management Cycle (Section 20)</w:t>
      </w:r>
    </w:p>
    <w:bookmarkStart w:id="75" w:name="nfr-dppa-006--security-risk-review"/>
    <w:p>
      <w:pPr>
        <w:pStyle w:val="Heading3"/>
      </w:pPr>
      <w:r>
        <w:t xml:space="preserve">NFR-DPPA-006 — Security Risk Review</w:t>
      </w:r>
    </w:p>
    <w:p>
      <w:pPr>
        <w:pStyle w:val="FirstParagraph"/>
      </w:pPr>
      <w:r>
        <w:t xml:space="preserve">BIRDC IT shall conduct a formal review of foreseeable security risks to personal data at least annually, or whenever a new integration, module, or data category is added. Risk review findings shall be recorded in the system's administration documentation. Safeguards established in response to identified risks shall be verified for effectiveness within 60 days of implementation.</w:t>
      </w:r>
    </w:p>
    <w:p>
      <w:r>
        <w:pict>
          <v:rect style="width:0;height:1.5pt" o:hralign="center" o:hrstd="t" o:hr="t"/>
        </w:pict>
      </w:r>
    </w:p>
    <w:bookmarkEnd w:id="75"/>
    <w:bookmarkEnd w:id="76"/>
    <w:bookmarkStart w:id="79" w:name="X908586393a8fec50104a58f4ece80cadf2912b8"/>
    <w:p>
      <w:pPr>
        <w:pStyle w:val="Heading2"/>
      </w:pPr>
      <w:r>
        <w:t xml:space="preserve">6.5 Data Processor Contracts (Section 21)</w:t>
      </w:r>
    </w:p>
    <w:bookmarkStart w:id="77" w:name="X6ddc1866b8f4a882c43d98cbf532ab7fbe61fe6"/>
    <w:p>
      <w:pPr>
        <w:pStyle w:val="Heading3"/>
      </w:pPr>
      <w:r>
        <w:t xml:space="preserve">NFR-DPPA-007 — Written Data Processor Contracts</w:t>
      </w:r>
    </w:p>
    <w:p>
      <w:pPr>
        <w:pStyle w:val="FirstParagraph"/>
      </w:pPr>
      <w:r>
        <w:t xml:space="preserve">BIRDC shall execute written data processor contracts with each of the following processors before any personal data is transmitted to their systems: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Processor</w:t>
            </w:r>
          </w:p>
        </w:tc>
        <w:tc>
          <w:tcPr/>
          <w:p>
            <w:pPr>
              <w:pStyle w:val="Compact"/>
            </w:pPr>
            <w:r>
              <w:t xml:space="preserve">Data Transmitted</w:t>
            </w:r>
          </w:p>
        </w:tc>
        <w:tc>
          <w:tcPr/>
          <w:p>
            <w:pPr>
              <w:pStyle w:val="Compact"/>
            </w:pPr>
            <w:r>
              <w:t xml:space="preserve">Required Contract Clauses</w:t>
            </w:r>
          </w:p>
        </w:tc>
      </w:tr>
      <w:tr>
        <w:tc>
          <w:tcPr/>
          <w:p>
            <w:pPr>
              <w:pStyle w:val="Compact"/>
            </w:pPr>
            <w:r>
              <w:t xml:space="preserve">MTN Uganda (MTN MoMo API)</w:t>
            </w:r>
          </w:p>
        </w:tc>
        <w:tc>
          <w:tcPr/>
          <w:p>
            <w:pPr>
              <w:pStyle w:val="Compact"/>
            </w:pPr>
            <w:r>
              <w:t xml:space="preserve">Farmer and employee mobile money numbers, payment amounts</w:t>
            </w:r>
          </w:p>
        </w:tc>
        <w:tc>
          <w:tcPr/>
          <w:p>
            <w:pPr>
              <w:pStyle w:val="Compact"/>
            </w:pPr>
            <w:r>
              <w:t xml:space="preserve">Confidentiality, AES-256 in transit, no secondary use, data deletion on contract end</w:t>
            </w:r>
          </w:p>
        </w:tc>
      </w:tr>
      <w:tr>
        <w:tc>
          <w:tcPr/>
          <w:p>
            <w:pPr>
              <w:pStyle w:val="Compact"/>
            </w:pPr>
            <w:r>
              <w:t xml:space="preserve">Airtel Uganda (Airtel Money API)</w:t>
            </w:r>
          </w:p>
        </w:tc>
        <w:tc>
          <w:tcPr/>
          <w:p>
            <w:pPr>
              <w:pStyle w:val="Compact"/>
            </w:pPr>
            <w:r>
              <w:t xml:space="preserve">Farmer and employee mobile money numbers, payment amounts</w:t>
            </w:r>
          </w:p>
        </w:tc>
        <w:tc>
          <w:tcPr/>
          <w:p>
            <w:pPr>
              <w:pStyle w:val="Compact"/>
            </w:pPr>
            <w:r>
              <w:t xml:space="preserve">Same as MTN</w:t>
            </w:r>
          </w:p>
        </w:tc>
      </w:tr>
      <w:tr>
        <w:tc>
          <w:tcPr/>
          <w:p>
            <w:pPr>
              <w:pStyle w:val="Compact"/>
            </w:pPr>
            <w:r>
              <w:t xml:space="preserve">Africa's Talking (SMS API)</w:t>
            </w:r>
          </w:p>
        </w:tc>
        <w:tc>
          <w:tcPr/>
          <w:p>
            <w:pPr>
              <w:pStyle w:val="Compact"/>
            </w:pPr>
            <w:r>
              <w:t xml:space="preserve">Farmer and employee phone numbers, SMS content</w:t>
            </w:r>
          </w:p>
        </w:tc>
        <w:tc>
          <w:tcPr/>
          <w:p>
            <w:pPr>
              <w:pStyle w:val="Compact"/>
            </w:pPr>
            <w:r>
              <w:t xml:space="preserve">Confidentiality, no secondary use, data deletion on contract end</w:t>
            </w:r>
          </w:p>
        </w:tc>
      </w:tr>
    </w:tbl>
    <w:p>
      <w:pPr>
        <w:pStyle w:val="BodyText"/>
      </w:pPr>
      <w:r>
        <w:rPr>
          <w:i/>
          <w:iCs/>
        </w:rPr>
        <w:t xml:space="preserve">Note: These contracts cannot be executed until API credentials are obtained.</w:t>
      </w:r>
      <w:r>
        <w:t xml:space="preserve"> </w:t>
      </w:r>
      <w:r>
        <w:t xml:space="preserve">[CONTEXT-GAP: GAP-002] [CONTEXT-GAP: GAP-003]</w:t>
      </w:r>
    </w:p>
    <w:p>
      <w:pPr>
        <w:pStyle w:val="BodyText"/>
      </w:pPr>
      <w:r>
        <w:t xml:space="preserve">The system shall not transmit personal data to any data processor until the corresponding contract record is marked as executed in the system administration configuration.</w:t>
      </w:r>
    </w:p>
    <w:bookmarkEnd w:id="77"/>
    <w:bookmarkStart w:id="78" w:name="X64dc68a7470ea20321fd218627b4d7dc9d6c574"/>
    <w:p>
      <w:pPr>
        <w:pStyle w:val="Heading3"/>
      </w:pPr>
      <w:r>
        <w:t xml:space="preserve">NFR-DPPA-008 — Processor Contract Configuration Check</w:t>
      </w:r>
    </w:p>
    <w:p>
      <w:pPr>
        <w:pStyle w:val="FirstParagraph"/>
      </w:pPr>
      <w:r>
        <w:t xml:space="preserve">When any scheduled bulk payment run is initiated (farmer payments, payroll), the system shall verify that a data processor contract record is marked as executed for the target payment provider. If no executed contract is on file, the system shall block the payment run and display: "Data processor contract for [Provider] is not executed — payment cannot proceed. Contact the DPO."</w:t>
      </w:r>
    </w:p>
    <w:p>
      <w:r>
        <w:pict>
          <v:rect style="width:0;height:1.5pt" o:hralign="center" o:hrstd="t" o:hr="t"/>
        </w:pict>
      </w:r>
    </w:p>
    <w:bookmarkEnd w:id="78"/>
    <w:bookmarkEnd w:id="79"/>
    <w:bookmarkStart w:id="81" w:name="X3c82b6679af3f2e31683af5a4e4eddfc0ff0fc8"/>
    <w:p>
      <w:pPr>
        <w:pStyle w:val="Heading2"/>
      </w:pPr>
      <w:r>
        <w:t xml:space="preserve">6.6 Encryption Key Management</w:t>
      </w:r>
    </w:p>
    <w:bookmarkStart w:id="80" w:name="nfr-dppa-009--birdc-held-encryption-keys"/>
    <w:p>
      <w:pPr>
        <w:pStyle w:val="Heading3"/>
      </w:pPr>
      <w:r>
        <w:t xml:space="preserve">NFR-DPPA-009 — BIRDC-Held Encryption Keys</w:t>
      </w:r>
    </w:p>
    <w:p>
      <w:pPr>
        <w:pStyle w:val="FirstParagraph"/>
      </w:pPr>
      <w:r>
        <w:t xml:space="preserve">All encryption keys for S-tier and P-tier field encryption shall be generated by BIRDC IT and stored in a key management configuration accessible only to the IT Administrator role. Keys shall not be stored in the application database. Keys shall not be transmitted to any vendor or cloud service. Key backup procedure shall be documented and tested annually.</w:t>
      </w:r>
    </w:p>
    <w:bookmarkEnd w:id="80"/>
    <w:bookmarkEnd w:id="81"/>
    <w:bookmarkEnd w:id="82"/>
    <w:bookmarkStart w:id="92" w:name="X5c981a2c531efcf34fa5a9ddccde3602617f84e"/>
    <w:p>
      <w:pPr>
        <w:pStyle w:val="Heading1"/>
      </w:pPr>
      <w:r>
        <w:t xml:space="preserve">Section 7 — Retention and Destruction Schedule (Section 18, DPPA 2019)</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bookmarkStart w:id="83" w:name="X785694ee6ee29a93b5ecd56cd9a53717e7dc8bf"/>
    <w:p>
      <w:pPr>
        <w:pStyle w:val="Heading2"/>
      </w:pPr>
      <w:r>
        <w:t xml:space="preserve">7.1 Retention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Category</w:t>
            </w:r>
          </w:p>
        </w:tc>
        <w:tc>
          <w:tcPr/>
          <w:p>
            <w:pPr>
              <w:pStyle w:val="Compact"/>
            </w:pPr>
            <w:r>
              <w:t xml:space="preserve">Data Subjects</w:t>
            </w:r>
          </w:p>
        </w:tc>
        <w:tc>
          <w:tcPr/>
          <w:p>
            <w:pPr>
              <w:pStyle w:val="Compact"/>
            </w:pPr>
            <w:r>
              <w:t xml:space="preserve">Retention Period</w:t>
            </w:r>
          </w:p>
        </w:tc>
        <w:tc>
          <w:tcPr/>
          <w:p>
            <w:pPr>
              <w:pStyle w:val="Compact"/>
            </w:pPr>
            <w:r>
              <w:t xml:space="preserve">Legal Basis for Retention</w:t>
            </w:r>
          </w:p>
        </w:tc>
      </w:tr>
      <w:tr>
        <w:tc>
          <w:tcPr/>
          <w:p>
            <w:pPr>
              <w:pStyle w:val="Compact"/>
            </w:pPr>
            <w:r>
              <w:t xml:space="preserve">Farmer personal data (name, NIN, GPS, photo, phone, mobile money number)</w:t>
            </w:r>
          </w:p>
        </w:tc>
        <w:tc>
          <w:tcPr/>
          <w:p>
            <w:pPr>
              <w:pStyle w:val="Compact"/>
            </w:pPr>
            <w:r>
              <w:t xml:space="preserve">Cooperative farmers</w:t>
            </w:r>
          </w:p>
        </w:tc>
        <w:tc>
          <w:tcPr/>
          <w:p>
            <w:pPr>
              <w:pStyle w:val="Compact"/>
            </w:pPr>
            <w:r>
              <w:t xml:space="preserve">Duration of cooperative membership + 7 years from last payment</w:t>
            </w:r>
          </w:p>
        </w:tc>
        <w:tc>
          <w:tcPr/>
          <w:p>
            <w:pPr>
              <w:pStyle w:val="Compact"/>
            </w:pPr>
            <w:r>
              <w:t xml:space="preserve">Income Tax Act Cap 340 — 7-year financial record retention</w:t>
            </w:r>
          </w:p>
        </w:tc>
      </w:tr>
      <w:tr>
        <w:tc>
          <w:tcPr/>
          <w:p>
            <w:pPr>
              <w:pStyle w:val="Compact"/>
            </w:pPr>
            <w:r>
              <w:t xml:space="preserve">Farmer payment records (amounts, dates)</w:t>
            </w:r>
          </w:p>
        </w:tc>
        <w:tc>
          <w:tcPr/>
          <w:p>
            <w:pPr>
              <w:pStyle w:val="Compact"/>
            </w:pPr>
            <w:r>
              <w:t xml:space="preserve">Cooperative farmers</w:t>
            </w:r>
          </w:p>
        </w:tc>
        <w:tc>
          <w:tcPr/>
          <w:p>
            <w:pPr>
              <w:pStyle w:val="Compact"/>
            </w:pPr>
            <w:r>
              <w:t xml:space="preserve">7 years from payment date</w:t>
            </w:r>
          </w:p>
        </w:tc>
        <w:tc>
          <w:tcPr/>
          <w:p>
            <w:pPr>
              <w:pStyle w:val="Compact"/>
            </w:pPr>
            <w:r>
              <w:t xml:space="preserve">Income Tax Act Cap 340; PPDA cooperative procurement audit trail</w:t>
            </w:r>
          </w:p>
        </w:tc>
      </w:tr>
      <w:tr>
        <w:tc>
          <w:tcPr/>
          <w:p>
            <w:pPr>
              <w:pStyle w:val="Compact"/>
            </w:pPr>
            <w:r>
              <w:t xml:space="preserve">Farmer delivery records (weights, grades, dates)</w:t>
            </w:r>
          </w:p>
        </w:tc>
        <w:tc>
          <w:tcPr/>
          <w:p>
            <w:pPr>
              <w:pStyle w:val="Compact"/>
            </w:pPr>
            <w:r>
              <w:t xml:space="preserve">Cooperative farmers</w:t>
            </w:r>
          </w:p>
        </w:tc>
        <w:tc>
          <w:tcPr/>
          <w:p>
            <w:pPr>
              <w:pStyle w:val="Compact"/>
            </w:pPr>
            <w:r>
              <w:t xml:space="preserve">7 years</w:t>
            </w:r>
          </w:p>
        </w:tc>
        <w:tc>
          <w:tcPr/>
          <w:p>
            <w:pPr>
              <w:pStyle w:val="Compact"/>
            </w:pPr>
            <w:r>
              <w:t xml:space="preserve">PPDA cooperative procurement audit trail</w:t>
            </w:r>
          </w:p>
        </w:tc>
      </w:tr>
      <w:tr>
        <w:tc>
          <w:tcPr/>
          <w:p>
            <w:pPr>
              <w:pStyle w:val="Compact"/>
            </w:pPr>
            <w:r>
              <w:t xml:space="preserve">Employee personal data (name, NIN, address, photo, phone)</w:t>
            </w:r>
          </w:p>
        </w:tc>
        <w:tc>
          <w:tcPr/>
          <w:p>
            <w:pPr>
              <w:pStyle w:val="Compact"/>
            </w:pPr>
            <w:r>
              <w:t xml:space="preserve">All employees</w:t>
            </w:r>
          </w:p>
        </w:tc>
        <w:tc>
          <w:tcPr/>
          <w:p>
            <w:pPr>
              <w:pStyle w:val="Compact"/>
            </w:pPr>
            <w:r>
              <w:t xml:space="preserve">Duration of employment + 7 years</w:t>
            </w:r>
          </w:p>
        </w:tc>
        <w:tc>
          <w:tcPr/>
          <w:p>
            <w:pPr>
              <w:pStyle w:val="Compact"/>
            </w:pPr>
            <w:r>
              <w:t xml:space="preserve">Income Tax Act Cap 340; NSSF Act</w:t>
            </w:r>
          </w:p>
        </w:tc>
      </w:tr>
      <w:tr>
        <w:tc>
          <w:tcPr/>
          <w:p>
            <w:pPr>
              <w:pStyle w:val="Compact"/>
            </w:pPr>
            <w:r>
              <w:t xml:space="preserve">Employee payroll records (salary, deductions, PAYE, NSSF)</w:t>
            </w:r>
          </w:p>
        </w:tc>
        <w:tc>
          <w:tcPr/>
          <w:p>
            <w:pPr>
              <w:pStyle w:val="Compact"/>
            </w:pPr>
            <w:r>
              <w:t xml:space="preserve">All employees</w:t>
            </w:r>
          </w:p>
        </w:tc>
        <w:tc>
          <w:tcPr/>
          <w:p>
            <w:pPr>
              <w:pStyle w:val="Compact"/>
            </w:pPr>
            <w:r>
              <w:t xml:space="preserve">Duration of employment + 7 years</w:t>
            </w:r>
          </w:p>
        </w:tc>
        <w:tc>
          <w:tcPr/>
          <w:p>
            <w:pPr>
              <w:pStyle w:val="Compact"/>
            </w:pPr>
            <w:r>
              <w:t xml:space="preserve">Income Tax Act Cap 340 — PAYE records; NSSF Act</w:t>
            </w:r>
          </w:p>
        </w:tc>
      </w:tr>
      <w:tr>
        <w:tc>
          <w:tcPr/>
          <w:p>
            <w:pPr>
              <w:pStyle w:val="Compact"/>
            </w:pPr>
            <w:r>
              <w:t xml:space="preserve">Employee bank account and mobile money numbers</w:t>
            </w:r>
          </w:p>
        </w:tc>
        <w:tc>
          <w:tcPr/>
          <w:p>
            <w:pPr>
              <w:pStyle w:val="Compact"/>
            </w:pPr>
            <w:r>
              <w:t xml:space="preserve">All employees</w:t>
            </w:r>
          </w:p>
        </w:tc>
        <w:tc>
          <w:tcPr/>
          <w:p>
            <w:pPr>
              <w:pStyle w:val="Compact"/>
            </w:pPr>
            <w:r>
              <w:t xml:space="preserve">Duration of employment + 7 years</w:t>
            </w:r>
          </w:p>
        </w:tc>
        <w:tc>
          <w:tcPr/>
          <w:p>
            <w:pPr>
              <w:pStyle w:val="Compact"/>
            </w:pPr>
            <w:r>
              <w:t xml:space="preserve">Income Tax Act — payment records</w:t>
            </w:r>
          </w:p>
        </w:tc>
      </w:tr>
      <w:tr>
        <w:tc>
          <w:tcPr/>
          <w:p>
            <w:pPr>
              <w:pStyle w:val="Compact"/>
            </w:pPr>
            <w:r>
              <w:t xml:space="preserve">Employee leave and disciplinary records</w:t>
            </w:r>
          </w:p>
        </w:tc>
        <w:tc>
          <w:tcPr/>
          <w:p>
            <w:pPr>
              <w:pStyle w:val="Compact"/>
            </w:pPr>
            <w:r>
              <w:t xml:space="preserve">All employees</w:t>
            </w:r>
          </w:p>
        </w:tc>
        <w:tc>
          <w:tcPr/>
          <w:p>
            <w:pPr>
              <w:pStyle w:val="Compact"/>
            </w:pPr>
            <w:r>
              <w:t xml:space="preserve">Duration of employment + 7 years</w:t>
            </w:r>
          </w:p>
        </w:tc>
        <w:tc>
          <w:tcPr/>
          <w:p>
            <w:pPr>
              <w:pStyle w:val="Compact"/>
            </w:pPr>
            <w:r>
              <w:t xml:space="preserve">Employment Act obligations</w:t>
            </w:r>
          </w:p>
        </w:tc>
      </w:tr>
      <w:tr>
        <w:tc>
          <w:tcPr/>
          <w:p>
            <w:pPr>
              <w:pStyle w:val="Compact"/>
            </w:pPr>
            <w:r>
              <w:t xml:space="preserve">Staff loan records</w:t>
            </w:r>
          </w:p>
        </w:tc>
        <w:tc>
          <w:tcPr/>
          <w:p>
            <w:pPr>
              <w:pStyle w:val="Compact"/>
            </w:pPr>
            <w:r>
              <w:t xml:space="preserve">All employees</w:t>
            </w:r>
          </w:p>
        </w:tc>
        <w:tc>
          <w:tcPr/>
          <w:p>
            <w:pPr>
              <w:pStyle w:val="Compact"/>
            </w:pPr>
            <w:r>
              <w:t xml:space="preserve">Duration of employment + 7 years</w:t>
            </w:r>
          </w:p>
        </w:tc>
        <w:tc>
          <w:tcPr/>
          <w:p>
            <w:pPr>
              <w:pStyle w:val="Compact"/>
            </w:pPr>
            <w:r>
              <w:t xml:space="preserve">Financial obligation records</w:t>
            </w:r>
          </w:p>
        </w:tc>
      </w:tr>
      <w:tr>
        <w:tc>
          <w:tcPr/>
          <w:p>
            <w:pPr>
              <w:pStyle w:val="Compact"/>
            </w:pPr>
            <w:r>
              <w:t xml:space="preserve">Biometric fingerprint template (ZKTeco device)</w:t>
            </w:r>
          </w:p>
        </w:tc>
        <w:tc>
          <w:tcPr/>
          <w:p>
            <w:pPr>
              <w:pStyle w:val="Compact"/>
            </w:pPr>
            <w:r>
              <w:t xml:space="preserve">All employees</w:t>
            </w:r>
          </w:p>
        </w:tc>
        <w:tc>
          <w:tcPr/>
          <w:p>
            <w:pPr>
              <w:pStyle w:val="Compact"/>
            </w:pPr>
            <w:r>
              <w:t xml:space="preserve">Duration of employment</w:t>
            </w:r>
          </w:p>
        </w:tc>
        <w:tc>
          <w:tcPr/>
          <w:p>
            <w:pPr>
              <w:pStyle w:val="Compact"/>
            </w:pPr>
            <w:r>
              <w:t xml:space="preserve">Not stored in application DB — deleted from ZKTeco device on exit</w:t>
            </w:r>
          </w:p>
        </w:tc>
      </w:tr>
      <w:tr>
        <w:tc>
          <w:tcPr/>
          <w:p>
            <w:pPr>
              <w:pStyle w:val="Compact"/>
            </w:pPr>
            <w:r>
              <w:t xml:space="preserve">Agent personal data (name, NIN, phone, mobile money)</w:t>
            </w:r>
          </w:p>
        </w:tc>
        <w:tc>
          <w:tcPr/>
          <w:p>
            <w:pPr>
              <w:pStyle w:val="Compact"/>
            </w:pPr>
            <w:r>
              <w:t xml:space="preserve">Field agents</w:t>
            </w:r>
          </w:p>
        </w:tc>
        <w:tc>
          <w:tcPr/>
          <w:p>
            <w:pPr>
              <w:pStyle w:val="Compact"/>
            </w:pPr>
            <w:r>
              <w:t xml:space="preserve">Duration of engagement + 7 years</w:t>
            </w:r>
          </w:p>
        </w:tc>
        <w:tc>
          <w:tcPr/>
          <w:p>
            <w:pPr>
              <w:pStyle w:val="Compact"/>
            </w:pPr>
            <w:r>
              <w:t xml:space="preserve">Income Tax Act — WHT on commissions</w:t>
            </w:r>
          </w:p>
        </w:tc>
      </w:tr>
      <w:tr>
        <w:tc>
          <w:tcPr/>
          <w:p>
            <w:pPr>
              <w:pStyle w:val="Compact"/>
            </w:pPr>
            <w:r>
              <w:t xml:space="preserve">Agent commission and cash balance records</w:t>
            </w:r>
          </w:p>
        </w:tc>
        <w:tc>
          <w:tcPr/>
          <w:p>
            <w:pPr>
              <w:pStyle w:val="Compact"/>
            </w:pPr>
            <w:r>
              <w:t xml:space="preserve">Field agents</w:t>
            </w:r>
          </w:p>
        </w:tc>
        <w:tc>
          <w:tcPr/>
          <w:p>
            <w:pPr>
              <w:pStyle w:val="Compact"/>
            </w:pPr>
            <w:r>
              <w:t xml:space="preserve">Duration of engagement + 7 years</w:t>
            </w:r>
          </w:p>
        </w:tc>
        <w:tc>
          <w:tcPr/>
          <w:p>
            <w:pPr>
              <w:pStyle w:val="Compact"/>
            </w:pPr>
            <w:r>
              <w:t xml:space="preserve">Income Tax Act — commission income records</w:t>
            </w:r>
          </w:p>
        </w:tc>
      </w:tr>
      <w:tr>
        <w:tc>
          <w:tcPr/>
          <w:p>
            <w:pPr>
              <w:pStyle w:val="Compact"/>
            </w:pPr>
            <w:r>
              <w:t xml:space="preserve">Consent records</w:t>
            </w:r>
          </w:p>
        </w:tc>
        <w:tc>
          <w:tcPr/>
          <w:p>
            <w:pPr>
              <w:pStyle w:val="Compact"/>
            </w:pPr>
            <w:r>
              <w:t xml:space="preserve">Farmers, employees, agents</w:t>
            </w:r>
          </w:p>
        </w:tc>
        <w:tc>
          <w:tcPr/>
          <w:p>
            <w:pPr>
              <w:pStyle w:val="Compact"/>
            </w:pPr>
            <w:r>
              <w:t xml:space="preserve">7 years after data subject relationship ends</w:t>
            </w:r>
          </w:p>
        </w:tc>
        <w:tc>
          <w:tcPr/>
          <w:p>
            <w:pPr>
              <w:pStyle w:val="Compact"/>
            </w:pPr>
            <w:r>
              <w:t xml:space="preserve">DPPA 2019 accountability principle — Section 3</w:t>
            </w:r>
          </w:p>
        </w:tc>
      </w:tr>
      <w:tr>
        <w:tc>
          <w:tcPr/>
          <w:p>
            <w:pPr>
              <w:pStyle w:val="Compact"/>
            </w:pPr>
            <w:r>
              <w:t xml:space="preserve">Data subject rights request records</w:t>
            </w:r>
          </w:p>
        </w:tc>
        <w:tc>
          <w:tcPr/>
          <w:p>
            <w:pPr>
              <w:pStyle w:val="Compact"/>
            </w:pPr>
            <w:r>
              <w:t xml:space="preserve">All</w:t>
            </w:r>
          </w:p>
        </w:tc>
        <w:tc>
          <w:tcPr/>
          <w:p>
            <w:pPr>
              <w:pStyle w:val="Compact"/>
            </w:pPr>
            <w:r>
              <w:t xml:space="preserve">7 years</w:t>
            </w:r>
          </w:p>
        </w:tc>
        <w:tc>
          <w:tcPr/>
          <w:p>
            <w:pPr>
              <w:pStyle w:val="Compact"/>
            </w:pPr>
            <w:r>
              <w:t xml:space="preserve">DPPA 2019 accountability — audit evidence</w:t>
            </w:r>
          </w:p>
        </w:tc>
      </w:tr>
      <w:tr>
        <w:tc>
          <w:tcPr/>
          <w:p>
            <w:pPr>
              <w:pStyle w:val="Compact"/>
            </w:pPr>
            <w:r>
              <w:t xml:space="preserve">Breach notification records</w:t>
            </w:r>
          </w:p>
        </w:tc>
        <w:tc>
          <w:tcPr/>
          <w:p>
            <w:pPr>
              <w:pStyle w:val="Compact"/>
            </w:pPr>
            <w:r>
              <w:t xml:space="preserve">N/A</w:t>
            </w:r>
          </w:p>
        </w:tc>
        <w:tc>
          <w:tcPr/>
          <w:p>
            <w:pPr>
              <w:pStyle w:val="Compact"/>
            </w:pPr>
            <w:r>
              <w:t xml:space="preserve">10 years</w:t>
            </w:r>
          </w:p>
        </w:tc>
        <w:tc>
          <w:tcPr/>
          <w:p>
            <w:pPr>
              <w:pStyle w:val="Compact"/>
            </w:pPr>
            <w:r>
              <w:t xml:space="preserve">PDPO audit trail; criminal liability period</w:t>
            </w:r>
          </w:p>
        </w:tc>
      </w:tr>
    </w:tbl>
    <w:p>
      <w:r>
        <w:pict>
          <v:rect style="width:0;height:1.5pt" o:hralign="center" o:hrstd="t" o:hr="t"/>
        </w:pict>
      </w:r>
    </w:p>
    <w:bookmarkEnd w:id="83"/>
    <w:bookmarkStart w:id="85" w:name="X7cbd28e292d921efee1f9acdf01dd0035d055ec"/>
    <w:p>
      <w:pPr>
        <w:pStyle w:val="Heading2"/>
      </w:pPr>
      <w:r>
        <w:t xml:space="preserve">7.2 Automated Expiry Alerts</w:t>
      </w:r>
    </w:p>
    <w:bookmarkStart w:id="84" w:name="fr-dppa-019--dpo-retention-expiry-alert"/>
    <w:p>
      <w:pPr>
        <w:pStyle w:val="Heading3"/>
      </w:pPr>
      <w:r>
        <w:t xml:space="preserve">FR-DPPA-019 — DPO Retention Expiry Alert</w:t>
      </w:r>
    </w:p>
    <w:p>
      <w:pPr>
        <w:pStyle w:val="FirstParagraph"/>
      </w:pPr>
      <w:r>
        <w:t xml:space="preserve">The system shall calculate the retention expiry date for each data subject's personal data record. When a data subject's retention expiry is within 90 calendar days, the system shall generate an alert on the DPO dashboard listing: data subject name (or ID if anonymised), data subject type (farmer / employee / agent), data categories affected, expiry date, and recommended action (de-identify or review retention extension justification).</w:t>
      </w:r>
    </w:p>
    <w:p>
      <w:pPr>
        <w:pStyle w:val="BodyText"/>
      </w:pPr>
      <w:r>
        <w:rPr>
          <w:b/>
          <w:bCs/>
        </w:rPr>
        <w:t xml:space="preserve">Stimulus:</w:t>
      </w:r>
      <w:r>
        <w:t xml:space="preserve"> </w:t>
      </w:r>
      <w:r>
        <w:t xml:space="preserve">System daily background job identifies data subjects with retention expiry within 90 days.</w:t>
      </w:r>
      <w:r>
        <w:t xml:space="preserve"> </w:t>
      </w:r>
      <w:r>
        <w:rPr>
          <w:b/>
          <w:bCs/>
        </w:rPr>
        <w:t xml:space="preserve">Response:</w:t>
      </w:r>
      <w:r>
        <w:t xml:space="preserve"> </w:t>
      </w:r>
      <w:r>
        <w:t xml:space="preserve">System creates pending DPO alert items. DPO dashboard displays count of upcoming expirations with earliest expiry date.</w:t>
      </w:r>
    </w:p>
    <w:p>
      <w:r>
        <w:pict>
          <v:rect style="width:0;height:1.5pt" o:hralign="center" o:hrstd="t" o:hr="t"/>
        </w:pict>
      </w:r>
    </w:p>
    <w:bookmarkEnd w:id="84"/>
    <w:bookmarkEnd w:id="85"/>
    <w:bookmarkStart w:id="88" w:name="Xd65a0751010800ca9fc45ab64ccd2647aba7b29"/>
    <w:p>
      <w:pPr>
        <w:pStyle w:val="Heading2"/>
      </w:pPr>
      <w:r>
        <w:t xml:space="preserve">7.3 Destruction Method</w:t>
      </w:r>
    </w:p>
    <w:bookmarkStart w:id="86" w:name="X074361c58094a12e83cf28111b23e818938e263"/>
    <w:p>
      <w:pPr>
        <w:pStyle w:val="Heading3"/>
      </w:pPr>
      <w:r>
        <w:t xml:space="preserve">FR-DPPA-020 — De-identification on Retention Expiry</w:t>
      </w:r>
    </w:p>
    <w:p>
      <w:pPr>
        <w:pStyle w:val="FirstParagraph"/>
      </w:pPr>
      <w:r>
        <w:t xml:space="preserve">When a data subject's retention period expires and no legal extension applies, the system shall de-identify all P-tier and S-tier fields for that data subject using the following method: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De-identification Action</w:t>
            </w:r>
          </w:p>
        </w:tc>
      </w:tr>
      <w:tr>
        <w:tc>
          <w:tcPr/>
          <w:p>
            <w:pPr>
              <w:pStyle w:val="Compact"/>
            </w:pPr>
            <w:r>
              <w:t xml:space="preserve">Full name</w:t>
            </w:r>
          </w:p>
        </w:tc>
        <w:tc>
          <w:tcPr/>
          <w:p>
            <w:pPr>
              <w:pStyle w:val="Compact"/>
            </w:pPr>
            <w:r>
              <w:t xml:space="preserve">Set to</w:t>
            </w:r>
            <w:r>
              <w:t xml:space="preserve"> </w:t>
            </w:r>
            <w:r>
              <w:rPr>
                <w:rStyle w:val="VerbatimChar"/>
              </w:rPr>
              <w:t xml:space="preserve">[ANONYMISED-{farmer/employee/agent_id}]</w:t>
            </w:r>
          </w:p>
        </w:tc>
      </w:tr>
      <w:tr>
        <w:tc>
          <w:tcPr/>
          <w:p>
            <w:pPr>
              <w:pStyle w:val="Compact"/>
            </w:pPr>
            <w:r>
              <w:t xml:space="preserve">NIN</w:t>
            </w:r>
          </w:p>
        </w:tc>
        <w:tc>
          <w:tcPr/>
          <w:p>
            <w:pPr>
              <w:pStyle w:val="Compact"/>
            </w:pPr>
            <w:r>
              <w:t xml:space="preserve">Set to NULL</w:t>
            </w:r>
          </w:p>
        </w:tc>
      </w:tr>
      <w:tr>
        <w:tc>
          <w:tcPr/>
          <w:p>
            <w:pPr>
              <w:pStyle w:val="Compact"/>
            </w:pPr>
            <w:r>
              <w:t xml:space="preserve">GPS farm coordinates</w:t>
            </w:r>
          </w:p>
        </w:tc>
        <w:tc>
          <w:tcPr/>
          <w:p>
            <w:pPr>
              <w:pStyle w:val="Compact"/>
            </w:pPr>
            <w:r>
              <w:t xml:space="preserve">Set to NULL</w:t>
            </w:r>
          </w:p>
        </w:tc>
      </w:tr>
      <w:tr>
        <w:tc>
          <w:tcPr/>
          <w:p>
            <w:pPr>
              <w:pStyle w:val="Compact"/>
            </w:pPr>
            <w:r>
              <w:t xml:space="preserve">Photograph</w:t>
            </w:r>
          </w:p>
        </w:tc>
        <w:tc>
          <w:tcPr/>
          <w:p>
            <w:pPr>
              <w:pStyle w:val="Compact"/>
            </w:pPr>
            <w:r>
              <w:t xml:space="preserve">Delete file reference; set field to NULL</w:t>
            </w:r>
          </w:p>
        </w:tc>
      </w:tr>
      <w:tr>
        <w:tc>
          <w:tcPr/>
          <w:p>
            <w:pPr>
              <w:pStyle w:val="Compact"/>
            </w:pPr>
            <w:r>
              <w:t xml:space="preserve">Contact phone</w:t>
            </w:r>
          </w:p>
        </w:tc>
        <w:tc>
          <w:tcPr/>
          <w:p>
            <w:pPr>
              <w:pStyle w:val="Compact"/>
            </w:pPr>
            <w:r>
              <w:t xml:space="preserve">Set to NULL</w:t>
            </w:r>
          </w:p>
        </w:tc>
      </w:tr>
      <w:tr>
        <w:tc>
          <w:tcPr/>
          <w:p>
            <w:pPr>
              <w:pStyle w:val="Compact"/>
            </w:pPr>
            <w:r>
              <w:t xml:space="preserve">Mobile money number</w:t>
            </w:r>
          </w:p>
        </w:tc>
        <w:tc>
          <w:tcPr/>
          <w:p>
            <w:pPr>
              <w:pStyle w:val="Compact"/>
            </w:pPr>
            <w:r>
              <w:t xml:space="preserve">Set to NULL</w:t>
            </w:r>
          </w:p>
        </w:tc>
      </w:tr>
      <w:tr>
        <w:tc>
          <w:tcPr/>
          <w:p>
            <w:pPr>
              <w:pStyle w:val="Compact"/>
            </w:pPr>
            <w:r>
              <w:t xml:space="preserve">Bank account number</w:t>
            </w:r>
          </w:p>
        </w:tc>
        <w:tc>
          <w:tcPr/>
          <w:p>
            <w:pPr>
              <w:pStyle w:val="Compact"/>
            </w:pPr>
            <w:r>
              <w:t xml:space="preserve">Set to NULL</w:t>
            </w:r>
          </w:p>
        </w:tc>
      </w:tr>
      <w:tr>
        <w:tc>
          <w:tcPr/>
          <w:p>
            <w:pPr>
              <w:pStyle w:val="Compact"/>
            </w:pPr>
            <w:r>
              <w:t xml:space="preserve">Home address</w:t>
            </w:r>
          </w:p>
        </w:tc>
        <w:tc>
          <w:tcPr/>
          <w:p>
            <w:pPr>
              <w:pStyle w:val="Compact"/>
            </w:pPr>
            <w:r>
              <w:t xml:space="preserve">Set to NULL</w:t>
            </w:r>
          </w:p>
        </w:tc>
      </w:tr>
      <w:tr>
        <w:tc>
          <w:tcPr/>
          <w:p>
            <w:pPr>
              <w:pStyle w:val="Compact"/>
            </w:pPr>
            <w:r>
              <w:t xml:space="preserve">Email address</w:t>
            </w:r>
          </w:p>
        </w:tc>
        <w:tc>
          <w:tcPr/>
          <w:p>
            <w:pPr>
              <w:pStyle w:val="Compact"/>
            </w:pPr>
            <w:r>
              <w:t xml:space="preserve">Set to NULL</w:t>
            </w:r>
          </w:p>
        </w:tc>
      </w:tr>
    </w:tbl>
    <w:p>
      <w:pPr>
        <w:pStyle w:val="BodyText"/>
      </w:pPr>
      <w:r>
        <w:t xml:space="preserve">Financial transaction amounts (payment totals, salary totals) shall be retained as N-tier aggregate records with the anonymised subject reference. These records cannot be destroyed during the 7-year window. After the 7-year window, they may be destroyed or retained in permanently anonymised form for statistical purposes (Section 17 DPPA 2019).</w:t>
      </w:r>
    </w:p>
    <w:bookmarkEnd w:id="86"/>
    <w:bookmarkStart w:id="87" w:name="fr-dppa-021--destruction-audit-log"/>
    <w:p>
      <w:pPr>
        <w:pStyle w:val="Heading3"/>
      </w:pPr>
      <w:r>
        <w:t xml:space="preserve">FR-DPPA-021 — Destruction Audit Log</w:t>
      </w:r>
    </w:p>
    <w:p>
      <w:pPr>
        <w:pStyle w:val="FirstParagraph"/>
      </w:pPr>
      <w:r>
        <w:t xml:space="preserve">When de-identification is executed, the system shall create an immutable audit log record: data subject ID (anonymised form), data categories de-identified, de-identification timestamp, DPO user ID who authorised the action, and confirmation that no intelligible reconstruction is possible.</w:t>
      </w:r>
    </w:p>
    <w:p>
      <w:r>
        <w:pict>
          <v:rect style="width:0;height:1.5pt" o:hralign="center" o:hrstd="t" o:hr="t"/>
        </w:pict>
      </w:r>
    </w:p>
    <w:bookmarkEnd w:id="87"/>
    <w:bookmarkEnd w:id="88"/>
    <w:bookmarkStart w:id="90" w:name="Xd3cb6ca2c875cf9dc2c4e8edb3ec2141b396789"/>
    <w:p>
      <w:pPr>
        <w:pStyle w:val="Heading2"/>
      </w:pPr>
      <w:r>
        <w:t xml:space="preserve">7.4 Biometric Data Destruction</w:t>
      </w:r>
    </w:p>
    <w:bookmarkStart w:id="89" w:name="X83ab9c21282d9660c044936a18835fb392086cd"/>
    <w:p>
      <w:pPr>
        <w:pStyle w:val="Heading3"/>
      </w:pPr>
      <w:r>
        <w:t xml:space="preserve">FR-DPPA-022 — Biometric Template Deletion on Employee Exit</w:t>
      </w:r>
    </w:p>
    <w:p>
      <w:pPr>
        <w:pStyle w:val="FirstParagraph"/>
      </w:pPr>
      <w:r>
        <w:t xml:space="preserve">When an employee's exit clearance is completed in the HR module, the system shall display a mandatory checklist item: "Delete biometric fingerprint template from ZKTeco device for [Employee Name]." The IT Administrator shall confirm this action is complete before the exit clearance is marked as finalised. The system shall record: employee ID, device ID, deletion confirmation timestamp, IT Administrator user ID.</w:t>
      </w:r>
    </w:p>
    <w:p>
      <w:pPr>
        <w:pStyle w:val="BodyText"/>
      </w:pPr>
      <w:r>
        <w:rPr>
          <w:i/>
          <w:iCs/>
        </w:rPr>
        <w:t xml:space="preserve">The biometric fingerprint template is stored on the ZKTeco device only and is not held in the application database. This requirement ensures the device record is deleted on exit.</w:t>
      </w:r>
    </w:p>
    <w:p>
      <w:r>
        <w:pict>
          <v:rect style="width:0;height:1.5pt" o:hralign="center" o:hrstd="t" o:hr="t"/>
        </w:pict>
      </w:r>
    </w:p>
    <w:bookmarkEnd w:id="89"/>
    <w:bookmarkEnd w:id="90"/>
    <w:bookmarkStart w:id="91" w:name="X370ef9bb83bfd45fa46b71f48c09be5509a30c2"/>
    <w:p>
      <w:pPr>
        <w:pStyle w:val="Heading2"/>
      </w:pPr>
      <w:r>
        <w:t xml:space="preserve">7.5 Financial Records — Destruction Restriction</w:t>
      </w:r>
    </w:p>
    <w:p>
      <w:pPr>
        <w:pStyle w:val="FirstParagraph"/>
      </w:pPr>
      <w:r>
        <w:t xml:space="preserve">Financial records (payment amounts, salary amounts, commission amounts, tax deduction records) that are within the 7-year retention window under the Uganda Income Tax Act Cap 340 and the Uganda Companies Act</w:t>
      </w:r>
      <w:r>
        <w:t xml:space="preserve"> </w:t>
      </w:r>
      <w:r>
        <w:rPr>
          <w:b/>
          <w:bCs/>
        </w:rPr>
        <w:t xml:space="preserve">cannot be de-identified or destroyed</w:t>
      </w:r>
      <w:r>
        <w:t xml:space="preserve">. The system shall block any erasure request that targets these records during the retention window and display the retention restriction notice (see</w:t>
      </w:r>
      <w:r>
        <w:t xml:space="preserve"> </w:t>
      </w:r>
      <w:r>
        <w:rPr>
          <w:b/>
          <w:bCs/>
        </w:rPr>
        <w:t xml:space="preserve">FR-DPPA-015</w:t>
      </w:r>
      <w:r>
        <w:t xml:space="preserve">).</w:t>
      </w:r>
    </w:p>
    <w:bookmarkEnd w:id="91"/>
    <w:bookmarkEnd w:id="92"/>
    <w:bookmarkStart w:id="102" w:name="X58b1790c71506409f33aebca58e926f47687147"/>
    <w:p>
      <w:pPr>
        <w:pStyle w:val="Heading1"/>
      </w:pPr>
      <w:r>
        <w:t xml:space="preserve">Section 8 — Data Breach Notification Procedure (Section 23, Regulation 33, DPPA 2019)</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p>
      <w:pPr>
        <w:pStyle w:val="BlockText"/>
      </w:pPr>
      <w:r>
        <w:rPr>
          <w:i/>
          <w:iCs/>
        </w:rPr>
        <w:t xml:space="preserve">Critical Uganda-GDPR Difference:</w:t>
      </w:r>
      <w:r>
        <w:t xml:space="preserve"> </w:t>
      </w:r>
      <w:r>
        <w:t xml:space="preserve">Under Section 23 of the DPPA 2019, breach notification to the PDPO is</w:t>
      </w:r>
      <w:r>
        <w:t xml:space="preserve"> </w:t>
      </w:r>
      <w:r>
        <w:rPr>
          <w:b/>
          <w:bCs/>
        </w:rPr>
        <w:t xml:space="preserve">IMMEDIATE</w:t>
      </w:r>
      <w:r>
        <w:t xml:space="preserve"> </w:t>
      </w:r>
      <w:r>
        <w:t xml:space="preserve">— there is no 72-hour window as in the GDPR. Additionally, it is the PDPO — not the data controller — who determines whether data subjects must be notified and by what method. BIRDC must not independently notify data subjects of a breach without PDPO direction.</w:t>
      </w:r>
    </w:p>
    <w:p>
      <w:r>
        <w:pict>
          <v:rect style="width:0;height:1.5pt" o:hralign="center" o:hrstd="t" o:hr="t"/>
        </w:pict>
      </w:r>
    </w:p>
    <w:bookmarkStart w:id="94" w:name="X8fe85db8adb5c2dc89e80e4f7ab394a93748782"/>
    <w:p>
      <w:pPr>
        <w:pStyle w:val="Heading2"/>
      </w:pPr>
      <w:r>
        <w:t xml:space="preserve">8.1 Breach Trigger</w:t>
      </w:r>
    </w:p>
    <w:bookmarkStart w:id="93" w:name="fr-dppa-023--breach-detection-trigger"/>
    <w:p>
      <w:pPr>
        <w:pStyle w:val="Heading3"/>
      </w:pPr>
      <w:r>
        <w:t xml:space="preserve">FR-DPPA-023 — Breach Detection Trigger</w:t>
      </w:r>
    </w:p>
    <w:p>
      <w:pPr>
        <w:pStyle w:val="FirstParagraph"/>
      </w:pPr>
      <w:r>
        <w:t xml:space="preserve">The system shall treat the following events as potential data breach triggers requiring immediate DPO action:</w:t>
      </w:r>
    </w:p>
    <w:p>
      <w:pPr>
        <w:pStyle w:val="Compact"/>
        <w:numPr>
          <w:ilvl w:val="0"/>
          <w:numId w:val="1004"/>
        </w:numPr>
      </w:pPr>
      <w:r>
        <w:t xml:space="preserve">Anomalous S-tier field access: a single user accessing S-tier records for more than 50 data subjects within a 1-hour period.</w:t>
      </w:r>
    </w:p>
    <w:p>
      <w:pPr>
        <w:pStyle w:val="Compact"/>
        <w:numPr>
          <w:ilvl w:val="0"/>
          <w:numId w:val="1004"/>
        </w:numPr>
      </w:pPr>
      <w:r>
        <w:t xml:space="preserve">Failed authentication attempts: more than 10 consecutive failed login attempts on any account, followed by a successful login.</w:t>
      </w:r>
    </w:p>
    <w:p>
      <w:pPr>
        <w:pStyle w:val="Compact"/>
        <w:numPr>
          <w:ilvl w:val="0"/>
          <w:numId w:val="1004"/>
        </w:numPr>
      </w:pPr>
      <w:r>
        <w:t xml:space="preserve">Bulk export of P-tier or S-tier fields from any module by any user who does not hold the Finance Director or IT Administrator role.</w:t>
      </w:r>
    </w:p>
    <w:p>
      <w:pPr>
        <w:pStyle w:val="Compact"/>
        <w:numPr>
          <w:ilvl w:val="0"/>
          <w:numId w:val="1004"/>
        </w:numPr>
      </w:pPr>
      <w:r>
        <w:t xml:space="preserve">Any manual report by a staff member of suspected unauthorised access, data loss, or data disclosure.</w:t>
      </w:r>
    </w:p>
    <w:p>
      <w:pPr>
        <w:pStyle w:val="Compact"/>
        <w:numPr>
          <w:ilvl w:val="0"/>
          <w:numId w:val="1004"/>
        </w:numPr>
      </w:pPr>
      <w:r>
        <w:t xml:space="preserve">Detection of a new device or IP address accessing the application outside of BIRDC's defined network range.</w:t>
      </w:r>
    </w:p>
    <w:p>
      <w:pPr>
        <w:pStyle w:val="FirstParagraph"/>
      </w:pPr>
      <w:r>
        <w:rPr>
          <w:b/>
          <w:bCs/>
        </w:rPr>
        <w:t xml:space="preserve">Stimulus:</w:t>
      </w:r>
      <w:r>
        <w:t xml:space="preserve"> </w:t>
      </w:r>
      <w:r>
        <w:t xml:space="preserve">Any of the above trigger conditions is detected.</w:t>
      </w:r>
      <w:r>
        <w:t xml:space="preserve"> </w:t>
      </w:r>
      <w:r>
        <w:rPr>
          <w:b/>
          <w:bCs/>
        </w:rPr>
        <w:t xml:space="preserve">Response:</w:t>
      </w:r>
      <w:r>
        <w:t xml:space="preserve"> </w:t>
      </w:r>
      <w:r>
        <w:t xml:space="preserve">System creates a breach event record in</w:t>
      </w:r>
      <w:r>
        <w:t xml:space="preserve"> </w:t>
      </w:r>
      <w:r>
        <w:rPr>
          <w:rStyle w:val="VerbatimChar"/>
        </w:rPr>
        <w:t xml:space="preserve">tbl_breach_events</w:t>
      </w:r>
      <w:r>
        <w:t xml:space="preserve"> </w:t>
      </w:r>
      <w:r>
        <w:t xml:space="preserve">and immediately displays a red alert on the DPO dashboard. The alert persists until the DPO acknowledges and classifies it.</w:t>
      </w:r>
    </w:p>
    <w:p>
      <w:r>
        <w:pict>
          <v:rect style="width:0;height:1.5pt" o:hralign="center" o:hrstd="t" o:hr="t"/>
        </w:pict>
      </w:r>
    </w:p>
    <w:bookmarkEnd w:id="93"/>
    <w:bookmarkEnd w:id="94"/>
    <w:bookmarkStart w:id="96" w:name="Xc001ea13353817088d010e9327b1d97471d1c56"/>
    <w:p>
      <w:pPr>
        <w:pStyle w:val="Heading2"/>
      </w:pPr>
      <w:r>
        <w:t xml:space="preserve">8.2 IMMEDIATE PDPO Notification</w:t>
      </w:r>
    </w:p>
    <w:bookmarkStart w:id="95" w:name="X6ed2a91571ae92e7f129ca2ee7f394d17c49266"/>
    <w:p>
      <w:pPr>
        <w:pStyle w:val="Heading3"/>
      </w:pPr>
      <w:r>
        <w:t xml:space="preserve">FR-DPPA-024 — Breach Notification Form — IMMEDIATE</w:t>
      </w:r>
    </w:p>
    <w:p>
      <w:pPr>
        <w:pStyle w:val="FirstParagraph"/>
      </w:pPr>
      <w:r>
        <w:t xml:space="preserve">When the DPO classifies a breach event as confirmed, the system shall immediately generate a PDPO breach notification form pre-populated with:</w:t>
      </w:r>
    </w:p>
    <w:p>
      <w:pPr>
        <w:pStyle w:val="Compact"/>
        <w:numPr>
          <w:ilvl w:val="0"/>
          <w:numId w:val="1005"/>
        </w:numPr>
      </w:pPr>
      <w:r>
        <w:t xml:space="preserve">Nature of breach (from DPO's classification notes).</w:t>
      </w:r>
    </w:p>
    <w:p>
      <w:pPr>
        <w:pStyle w:val="Compact"/>
        <w:numPr>
          <w:ilvl w:val="0"/>
          <w:numId w:val="1005"/>
        </w:numPr>
      </w:pPr>
      <w:r>
        <w:t xml:space="preserve">Categories of personal data involved (P-tier and S-tier fields affected, with tier designations).</w:t>
      </w:r>
    </w:p>
    <w:p>
      <w:pPr>
        <w:pStyle w:val="Compact"/>
        <w:numPr>
          <w:ilvl w:val="0"/>
          <w:numId w:val="1005"/>
        </w:numPr>
      </w:pPr>
      <w:r>
        <w:t xml:space="preserve">Approximate number of data subjects affected.</w:t>
      </w:r>
    </w:p>
    <w:p>
      <w:pPr>
        <w:pStyle w:val="Compact"/>
        <w:numPr>
          <w:ilvl w:val="0"/>
          <w:numId w:val="1005"/>
        </w:numPr>
      </w:pPr>
      <w:r>
        <w:t xml:space="preserve">Likely consequences to affected data subjects.</w:t>
      </w:r>
    </w:p>
    <w:p>
      <w:pPr>
        <w:pStyle w:val="Compact"/>
        <w:numPr>
          <w:ilvl w:val="0"/>
          <w:numId w:val="1005"/>
        </w:numPr>
      </w:pPr>
      <w:r>
        <w:t xml:space="preserve">Remedial measures already taken.</w:t>
      </w:r>
    </w:p>
    <w:p>
      <w:pPr>
        <w:pStyle w:val="Compact"/>
        <w:numPr>
          <w:ilvl w:val="0"/>
          <w:numId w:val="1005"/>
        </w:numPr>
      </w:pPr>
      <w:r>
        <w:t xml:space="preserve">Remedial measures proposed.</w:t>
      </w:r>
    </w:p>
    <w:p>
      <w:pPr>
        <w:pStyle w:val="Compact"/>
        <w:numPr>
          <w:ilvl w:val="0"/>
          <w:numId w:val="1005"/>
        </w:numPr>
      </w:pPr>
      <w:r>
        <w:t xml:space="preserve">DPO name, email, and phone number.</w:t>
      </w:r>
    </w:p>
    <w:p>
      <w:pPr>
        <w:pStyle w:val="Compact"/>
        <w:numPr>
          <w:ilvl w:val="0"/>
          <w:numId w:val="1005"/>
        </w:numPr>
      </w:pPr>
      <w:r>
        <w:t xml:space="preserve">Notification timestamp (UTC and EAT — East Africa Time, UTC+3).</w:t>
      </w:r>
    </w:p>
    <w:p>
      <w:pPr>
        <w:pStyle w:val="FirstParagraph"/>
      </w:pPr>
      <w:r>
        <w:rPr>
          <w:b/>
          <w:bCs/>
        </w:rPr>
        <w:t xml:space="preserve">Stimulus:</w:t>
      </w:r>
      <w:r>
        <w:t xml:space="preserve"> </w:t>
      </w:r>
      <w:r>
        <w:t xml:space="preserve">DPO marks a breach event as "Confirmed" on the DPO dashboard.</w:t>
      </w:r>
      <w:r>
        <w:t xml:space="preserve"> </w:t>
      </w:r>
      <w:r>
        <w:rPr>
          <w:b/>
          <w:bCs/>
        </w:rPr>
        <w:t xml:space="preserve">Response:</w:t>
      </w:r>
      <w:r>
        <w:t xml:space="preserve"> </w:t>
      </w:r>
      <w:r>
        <w:t xml:space="preserve">System generates the PDPO notification form within 3 seconds. Form is accessible for printing and PDF export. System records</w:t>
      </w:r>
      <w:r>
        <w:t xml:space="preserve"> </w:t>
      </w:r>
      <w:r>
        <w:rPr>
          <w:rStyle w:val="VerbatimChar"/>
        </w:rPr>
        <w:t xml:space="preserve">notified_pdpo_at</w:t>
      </w:r>
      <w:r>
        <w:t xml:space="preserve"> </w:t>
      </w:r>
      <w:r>
        <w:t xml:space="preserve">timestamp on the breach event record.</w:t>
      </w:r>
    </w:p>
    <w:p>
      <w:pPr>
        <w:pStyle w:val="BodyText"/>
      </w:pPr>
      <w:r>
        <w:t xml:space="preserve">The PDPO notification form shall be accessible from the DPO dashboard in 3 clicks or fewer: (1) DPO Dashboard → (2) Breach Events → (3) Generate PDPO Notification Form.</w:t>
      </w:r>
    </w:p>
    <w:p>
      <w:r>
        <w:pict>
          <v:rect style="width:0;height:1.5pt" o:hralign="center" o:hrstd="t" o:hr="t"/>
        </w:pict>
      </w:r>
    </w:p>
    <w:bookmarkEnd w:id="95"/>
    <w:bookmarkEnd w:id="96"/>
    <w:bookmarkStart w:id="97" w:name="Xc2739f46d52d0c6a52360633015aac8fadcf067"/>
    <w:p>
      <w:pPr>
        <w:pStyle w:val="Heading2"/>
      </w:pPr>
      <w:r>
        <w:t xml:space="preserve">8.3 PDPO Contact Details</w:t>
      </w:r>
    </w:p>
    <w:p>
      <w:pPr>
        <w:pStyle w:val="FirstParagraph"/>
      </w:pPr>
      <w:r>
        <w:t xml:space="preserve">PDPO notifications shall be submitted to:</w:t>
      </w:r>
    </w:p>
    <w:p>
      <w:pPr>
        <w:pStyle w:val="BodyText"/>
      </w:pPr>
      <w:r>
        <w:rPr>
          <w:b/>
          <w:bCs/>
        </w:rPr>
        <w:t xml:space="preserve">Personal Data Protection Office</w:t>
      </w:r>
      <w:r>
        <w:t xml:space="preserve"> </w:t>
      </w:r>
      <w:r>
        <w:t xml:space="preserve">National Information Technology Authority — Uganda (NITA-U)</w:t>
      </w:r>
      <w:r>
        <w:t xml:space="preserve"> </w:t>
      </w:r>
      <w:r>
        <w:t xml:space="preserve">Communications House, 1 Colville Street</w:t>
      </w:r>
      <w:r>
        <w:t xml:space="preserve"> </w:t>
      </w:r>
      <w:r>
        <w:t xml:space="preserve">Kampala, Uganda</w:t>
      </w:r>
    </w:p>
    <w:p>
      <w:pPr>
        <w:pStyle w:val="BodyText"/>
      </w:pPr>
      <w:r>
        <w:t xml:space="preserve">The system shall store the PDPO contact details in the system administration configuration and pre-populate them on all generated notification forms.</w:t>
      </w:r>
    </w:p>
    <w:p>
      <w:r>
        <w:pict>
          <v:rect style="width:0;height:1.5pt" o:hralign="center" o:hrstd="t" o:hr="t"/>
        </w:pict>
      </w:r>
    </w:p>
    <w:bookmarkEnd w:id="97"/>
    <w:bookmarkStart w:id="100" w:name="X75decce3a842212f416fb70c1e3e472c3b30b77"/>
    <w:p>
      <w:pPr>
        <w:pStyle w:val="Heading2"/>
      </w:pPr>
      <w:r>
        <w:t xml:space="preserve">8.4 PDPO-Directed Data Subject Notification</w:t>
      </w:r>
    </w:p>
    <w:bookmarkStart w:id="98" w:name="fr-dppa-025--pdpo-direction-recording"/>
    <w:p>
      <w:pPr>
        <w:pStyle w:val="Heading3"/>
      </w:pPr>
      <w:r>
        <w:t xml:space="preserve">FR-DPPA-025 — PDPO Direction Recording</w:t>
      </w:r>
    </w:p>
    <w:p>
      <w:pPr>
        <w:pStyle w:val="FirstParagraph"/>
      </w:pPr>
      <w:r>
        <w:t xml:space="preserve">After notifying the PDPO, the DPO shall record the PDPO's direction in the breach event record: whether to notify data subjects, the required notification method (registered mail, email, website placement, or mass media publication), the required content, and the deadline given by PDPO.</w:t>
      </w:r>
    </w:p>
    <w:p>
      <w:pPr>
        <w:pStyle w:val="BodyText"/>
      </w:pPr>
      <w:r>
        <w:rPr>
          <w:i/>
          <w:iCs/>
        </w:rPr>
        <w:t xml:space="preserve">Note: BIRDC shall not notify data subjects independently. Data subject notification occurs only if and as directed by the PDPO.</w:t>
      </w:r>
    </w:p>
    <w:bookmarkEnd w:id="98"/>
    <w:bookmarkStart w:id="99" w:name="X635759294d9b3238c9d0dae7d78a3c07a039421"/>
    <w:p>
      <w:pPr>
        <w:pStyle w:val="Heading3"/>
      </w:pPr>
      <w:r>
        <w:t xml:space="preserve">FR-DPPA-026 — Data Subject Notification Tracking</w:t>
      </w:r>
    </w:p>
    <w:p>
      <w:pPr>
        <w:pStyle w:val="FirstParagraph"/>
      </w:pPr>
      <w:r>
        <w:t xml:space="preserve">If the PDPO directs data subject notification, the system shall allow the DPO to mark individual data subjects as notified, record the notification method and timestamp, and confirm completion of PDPO-directed notification.</w:t>
      </w:r>
    </w:p>
    <w:p>
      <w:r>
        <w:pict>
          <v:rect style="width:0;height:1.5pt" o:hralign="center" o:hrstd="t" o:hr="t"/>
        </w:pict>
      </w:r>
    </w:p>
    <w:bookmarkEnd w:id="99"/>
    <w:bookmarkEnd w:id="100"/>
    <w:bookmarkStart w:id="101" w:name="X532461963270f2ee7457b2a8b009a9f8683ba89"/>
    <w:p>
      <w:pPr>
        <w:pStyle w:val="Heading2"/>
      </w:pPr>
      <w:r>
        <w:t xml:space="preserve">8.5 Breach Event Log Schema</w:t>
      </w:r>
    </w:p>
    <w:p>
      <w:pPr>
        <w:pStyle w:val="FirstParagraph"/>
      </w:pPr>
      <w:r>
        <w:t xml:space="preserve">All breach events are stored in</w:t>
      </w:r>
      <w:r>
        <w:t xml:space="preserve"> </w:t>
      </w:r>
      <w:r>
        <w:rPr>
          <w:rStyle w:val="VerbatimChar"/>
        </w:rPr>
        <w:t xml:space="preserve">tbl_breach_events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breach_id</w:t>
            </w:r>
          </w:p>
        </w:tc>
        <w:tc>
          <w:tcPr/>
          <w:p>
            <w:pPr>
              <w:pStyle w:val="Compact"/>
            </w:pPr>
            <w:r>
              <w:t xml:space="preserve">BIGINT UNSIGNED PK</w:t>
            </w:r>
          </w:p>
        </w:tc>
        <w:tc>
          <w:tcPr/>
          <w:p>
            <w:pPr>
              <w:pStyle w:val="Compact"/>
            </w:pPr>
          </w:p>
        </w:tc>
      </w:tr>
      <w:tr>
        <w:tc>
          <w:tcPr/>
          <w:p>
            <w:pPr>
              <w:pStyle w:val="Compact"/>
            </w:pPr>
            <w:r>
              <w:rPr>
                <w:rStyle w:val="VerbatimChar"/>
              </w:rPr>
              <w:t xml:space="preserve">detected_at</w:t>
            </w:r>
          </w:p>
        </w:tc>
        <w:tc>
          <w:tcPr/>
          <w:p>
            <w:pPr>
              <w:pStyle w:val="Compact"/>
            </w:pPr>
            <w:r>
              <w:t xml:space="preserve">DATETIME</w:t>
            </w:r>
          </w:p>
        </w:tc>
        <w:tc>
          <w:tcPr/>
          <w:p>
            <w:pPr>
              <w:pStyle w:val="Compact"/>
            </w:pPr>
            <w:r>
              <w:t xml:space="preserve">UTC timestamp of detection or report</w:t>
            </w:r>
          </w:p>
        </w:tc>
      </w:tr>
      <w:tr>
        <w:tc>
          <w:tcPr/>
          <w:p>
            <w:pPr>
              <w:pStyle w:val="Compact"/>
            </w:pPr>
            <w:r>
              <w:rPr>
                <w:rStyle w:val="VerbatimChar"/>
              </w:rPr>
              <w:t xml:space="preserve">nature_of_breach</w:t>
            </w:r>
          </w:p>
        </w:tc>
        <w:tc>
          <w:tcPr/>
          <w:p>
            <w:pPr>
              <w:pStyle w:val="Compact"/>
            </w:pPr>
            <w:r>
              <w:t xml:space="preserve">TEXT</w:t>
            </w:r>
          </w:p>
        </w:tc>
        <w:tc>
          <w:tcPr/>
          <w:p>
            <w:pPr>
              <w:pStyle w:val="Compact"/>
            </w:pPr>
            <w:r>
              <w:t xml:space="preserve">Description of unauthorised access/acquisition</w:t>
            </w:r>
          </w:p>
        </w:tc>
      </w:tr>
      <w:tr>
        <w:tc>
          <w:tcPr/>
          <w:p>
            <w:pPr>
              <w:pStyle w:val="Compact"/>
            </w:pPr>
            <w:r>
              <w:rPr>
                <w:rStyle w:val="VerbatimChar"/>
              </w:rPr>
              <w:t xml:space="preserve">data_categories_affected</w:t>
            </w:r>
          </w:p>
        </w:tc>
        <w:tc>
          <w:tcPr/>
          <w:p>
            <w:pPr>
              <w:pStyle w:val="Compact"/>
            </w:pPr>
            <w:r>
              <w:t xml:space="preserve">JSON</w:t>
            </w:r>
          </w:p>
        </w:tc>
        <w:tc>
          <w:tcPr/>
          <w:p>
            <w:pPr>
              <w:pStyle w:val="Compact"/>
            </w:pPr>
            <w:r>
              <w:t xml:space="preserve">List of field names and tiers (S/P)</w:t>
            </w:r>
          </w:p>
        </w:tc>
      </w:tr>
      <w:tr>
        <w:tc>
          <w:tcPr/>
          <w:p>
            <w:pPr>
              <w:pStyle w:val="Compact"/>
            </w:pPr>
            <w:r>
              <w:rPr>
                <w:rStyle w:val="VerbatimChar"/>
              </w:rPr>
              <w:t xml:space="preserve">estimated_data_subjects</w:t>
            </w:r>
          </w:p>
        </w:tc>
        <w:tc>
          <w:tcPr/>
          <w:p>
            <w:pPr>
              <w:pStyle w:val="Compact"/>
            </w:pPr>
            <w:r>
              <w:t xml:space="preserve">INT</w:t>
            </w:r>
          </w:p>
        </w:tc>
        <w:tc>
          <w:tcPr/>
          <w:p>
            <w:pPr>
              <w:pStyle w:val="Compact"/>
            </w:pPr>
            <w:r>
              <w:t xml:space="preserve">Approximate number of affected individuals</w:t>
            </w:r>
          </w:p>
        </w:tc>
      </w:tr>
      <w:tr>
        <w:tc>
          <w:tcPr/>
          <w:p>
            <w:pPr>
              <w:pStyle w:val="Compact"/>
            </w:pPr>
            <w:r>
              <w:rPr>
                <w:rStyle w:val="VerbatimChar"/>
              </w:rPr>
              <w:t xml:space="preserve">likely_consequences</w:t>
            </w:r>
          </w:p>
        </w:tc>
        <w:tc>
          <w:tcPr/>
          <w:p>
            <w:pPr>
              <w:pStyle w:val="Compact"/>
            </w:pPr>
            <w:r>
              <w:t xml:space="preserve">TEXT</w:t>
            </w:r>
          </w:p>
        </w:tc>
        <w:tc>
          <w:tcPr/>
          <w:p>
            <w:pPr>
              <w:pStyle w:val="Compact"/>
            </w:pPr>
            <w:r>
              <w:t xml:space="preserve">Risk assessment to individuals</w:t>
            </w:r>
          </w:p>
        </w:tc>
      </w:tr>
      <w:tr>
        <w:tc>
          <w:tcPr/>
          <w:p>
            <w:pPr>
              <w:pStyle w:val="Compact"/>
            </w:pPr>
            <w:r>
              <w:rPr>
                <w:rStyle w:val="VerbatimChar"/>
              </w:rPr>
              <w:t xml:space="preserve">remedial_taken</w:t>
            </w:r>
          </w:p>
        </w:tc>
        <w:tc>
          <w:tcPr/>
          <w:p>
            <w:pPr>
              <w:pStyle w:val="Compact"/>
            </w:pPr>
            <w:r>
              <w:t xml:space="preserve">TEXT</w:t>
            </w:r>
          </w:p>
        </w:tc>
        <w:tc>
          <w:tcPr/>
          <w:p>
            <w:pPr>
              <w:pStyle w:val="Compact"/>
            </w:pPr>
            <w:r>
              <w:t xml:space="preserve">Actions already implemented</w:t>
            </w:r>
          </w:p>
        </w:tc>
      </w:tr>
      <w:tr>
        <w:tc>
          <w:tcPr/>
          <w:p>
            <w:pPr>
              <w:pStyle w:val="Compact"/>
            </w:pPr>
            <w:r>
              <w:rPr>
                <w:rStyle w:val="VerbatimChar"/>
              </w:rPr>
              <w:t xml:space="preserve">remedial_proposed</w:t>
            </w:r>
          </w:p>
        </w:tc>
        <w:tc>
          <w:tcPr/>
          <w:p>
            <w:pPr>
              <w:pStyle w:val="Compact"/>
            </w:pPr>
            <w:r>
              <w:t xml:space="preserve">TEXT</w:t>
            </w:r>
          </w:p>
        </w:tc>
        <w:tc>
          <w:tcPr/>
          <w:p>
            <w:pPr>
              <w:pStyle w:val="Compact"/>
            </w:pPr>
            <w:r>
              <w:t xml:space="preserve">Actions planned</w:t>
            </w:r>
          </w:p>
        </w:tc>
      </w:tr>
      <w:tr>
        <w:tc>
          <w:tcPr/>
          <w:p>
            <w:pPr>
              <w:pStyle w:val="Compact"/>
            </w:pPr>
            <w:r>
              <w:rPr>
                <w:rStyle w:val="VerbatimChar"/>
              </w:rPr>
              <w:t xml:space="preserve">dpo_acknowledged_at</w:t>
            </w:r>
          </w:p>
        </w:tc>
        <w:tc>
          <w:tcPr/>
          <w:p>
            <w:pPr>
              <w:pStyle w:val="Compact"/>
            </w:pPr>
            <w:r>
              <w:t xml:space="preserve">DATETIME NULL</w:t>
            </w:r>
          </w:p>
        </w:tc>
        <w:tc>
          <w:tcPr/>
          <w:p>
            <w:pPr>
              <w:pStyle w:val="Compact"/>
            </w:pPr>
          </w:p>
        </w:tc>
      </w:tr>
      <w:tr>
        <w:tc>
          <w:tcPr/>
          <w:p>
            <w:pPr>
              <w:pStyle w:val="Compact"/>
            </w:pPr>
            <w:r>
              <w:rPr>
                <w:rStyle w:val="VerbatimChar"/>
              </w:rPr>
              <w:t xml:space="preserve">classified_as</w:t>
            </w:r>
          </w:p>
        </w:tc>
        <w:tc>
          <w:tcPr/>
          <w:p>
            <w:pPr>
              <w:pStyle w:val="Compact"/>
            </w:pPr>
            <w:r>
              <w:t xml:space="preserve">ENUM('confirmed','false_positive','under_investigation') NULL</w:t>
            </w:r>
          </w:p>
        </w:tc>
        <w:tc>
          <w:tcPr/>
          <w:p>
            <w:pPr>
              <w:pStyle w:val="Compact"/>
            </w:pPr>
          </w:p>
        </w:tc>
      </w:tr>
      <w:tr>
        <w:tc>
          <w:tcPr/>
          <w:p>
            <w:pPr>
              <w:pStyle w:val="Compact"/>
            </w:pPr>
            <w:r>
              <w:rPr>
                <w:rStyle w:val="VerbatimChar"/>
              </w:rPr>
              <w:t xml:space="preserve">notified_pdpo_at</w:t>
            </w:r>
          </w:p>
        </w:tc>
        <w:tc>
          <w:tcPr/>
          <w:p>
            <w:pPr>
              <w:pStyle w:val="Compact"/>
            </w:pPr>
            <w:r>
              <w:t xml:space="preserve">DATETIME NULL</w:t>
            </w:r>
          </w:p>
        </w:tc>
        <w:tc>
          <w:tcPr/>
          <w:p>
            <w:pPr>
              <w:pStyle w:val="Compact"/>
            </w:pPr>
            <w:r>
              <w:t xml:space="preserve">IMMEDIATE — no 72-hour window</w:t>
            </w:r>
          </w:p>
        </w:tc>
      </w:tr>
      <w:tr>
        <w:tc>
          <w:tcPr/>
          <w:p>
            <w:pPr>
              <w:pStyle w:val="Compact"/>
            </w:pPr>
            <w:r>
              <w:rPr>
                <w:rStyle w:val="VerbatimChar"/>
              </w:rPr>
              <w:t xml:space="preserve">pdpo_direction</w:t>
            </w:r>
          </w:p>
        </w:tc>
        <w:tc>
          <w:tcPr/>
          <w:p>
            <w:pPr>
              <w:pStyle w:val="Compact"/>
            </w:pPr>
            <w:r>
              <w:t xml:space="preserve">TEXT NULL</w:t>
            </w:r>
          </w:p>
        </w:tc>
        <w:tc>
          <w:tcPr/>
          <w:p>
            <w:pPr>
              <w:pStyle w:val="Compact"/>
            </w:pPr>
            <w:r>
              <w:t xml:space="preserve">PDPO's instruction</w:t>
            </w:r>
          </w:p>
        </w:tc>
      </w:tr>
      <w:tr>
        <w:tc>
          <w:tcPr/>
          <w:p>
            <w:pPr>
              <w:pStyle w:val="Compact"/>
            </w:pPr>
            <w:r>
              <w:rPr>
                <w:rStyle w:val="VerbatimChar"/>
              </w:rPr>
              <w:t xml:space="preserve">pdpo_direction_received_at</w:t>
            </w:r>
          </w:p>
        </w:tc>
        <w:tc>
          <w:tcPr/>
          <w:p>
            <w:pPr>
              <w:pStyle w:val="Compact"/>
            </w:pPr>
            <w:r>
              <w:t xml:space="preserve">DATETIME NULL</w:t>
            </w:r>
          </w:p>
        </w:tc>
        <w:tc>
          <w:tcPr/>
          <w:p>
            <w:pPr>
              <w:pStyle w:val="Compact"/>
            </w:pPr>
          </w:p>
        </w:tc>
      </w:tr>
      <w:tr>
        <w:tc>
          <w:tcPr/>
          <w:p>
            <w:pPr>
              <w:pStyle w:val="Compact"/>
            </w:pPr>
            <w:r>
              <w:rPr>
                <w:rStyle w:val="VerbatimChar"/>
              </w:rPr>
              <w:t xml:space="preserve">data_subjects_notified_at</w:t>
            </w:r>
          </w:p>
        </w:tc>
        <w:tc>
          <w:tcPr/>
          <w:p>
            <w:pPr>
              <w:pStyle w:val="Compact"/>
            </w:pPr>
            <w:r>
              <w:t xml:space="preserve">DATETIME NULL</w:t>
            </w:r>
          </w:p>
        </w:tc>
        <w:tc>
          <w:tcPr/>
          <w:p>
            <w:pPr>
              <w:pStyle w:val="Compact"/>
            </w:pPr>
            <w:r>
              <w:t xml:space="preserve">Only if directed by PDPO</w:t>
            </w:r>
          </w:p>
        </w:tc>
      </w:tr>
      <w:tr>
        <w:tc>
          <w:tcPr/>
          <w:p>
            <w:pPr>
              <w:pStyle w:val="Compact"/>
            </w:pPr>
            <w:r>
              <w:rPr>
                <w:rStyle w:val="VerbatimChar"/>
              </w:rPr>
              <w:t xml:space="preserve">notification_method</w:t>
            </w:r>
          </w:p>
        </w:tc>
        <w:tc>
          <w:tcPr/>
          <w:p>
            <w:pPr>
              <w:pStyle w:val="Compact"/>
            </w:pPr>
            <w:r>
              <w:t xml:space="preserve">VARCHAR(100) NULL</w:t>
            </w:r>
          </w:p>
        </w:tc>
        <w:tc>
          <w:tcPr/>
          <w:p>
            <w:pPr>
              <w:pStyle w:val="Compact"/>
            </w:pPr>
            <w:r>
              <w:t xml:space="preserve">registered mail / email / website / mass media</w:t>
            </w:r>
          </w:p>
        </w:tc>
      </w:tr>
      <w:tr>
        <w:tc>
          <w:tcPr/>
          <w:p>
            <w:pPr>
              <w:pStyle w:val="Compact"/>
            </w:pPr>
            <w:r>
              <w:rPr>
                <w:rStyle w:val="VerbatimChar"/>
              </w:rPr>
              <w:t xml:space="preserve">closed_at</w:t>
            </w:r>
          </w:p>
        </w:tc>
        <w:tc>
          <w:tcPr/>
          <w:p>
            <w:pPr>
              <w:pStyle w:val="Compact"/>
            </w:pPr>
            <w:r>
              <w:t xml:space="preserve">DATETIME NULL</w:t>
            </w:r>
          </w:p>
        </w:tc>
        <w:tc>
          <w:tcPr/>
          <w:p>
            <w:pPr>
              <w:pStyle w:val="Compact"/>
            </w:pPr>
          </w:p>
        </w:tc>
      </w:tr>
      <w:tr>
        <w:tc>
          <w:tcPr/>
          <w:p>
            <w:pPr>
              <w:pStyle w:val="Compact"/>
            </w:pPr>
            <w:r>
              <w:rPr>
                <w:rStyle w:val="VerbatimChar"/>
              </w:rPr>
              <w:t xml:space="preserve">handled_by</w:t>
            </w:r>
          </w:p>
        </w:tc>
        <w:tc>
          <w:tcPr/>
          <w:p>
            <w:pPr>
              <w:pStyle w:val="Compact"/>
            </w:pPr>
            <w:r>
              <w:t xml:space="preserve">INT</w:t>
            </w:r>
          </w:p>
        </w:tc>
        <w:tc>
          <w:tcPr/>
          <w:p>
            <w:pPr>
              <w:pStyle w:val="Compact"/>
            </w:pPr>
            <w:r>
              <w:t xml:space="preserve">DPO user ID</w:t>
            </w:r>
          </w:p>
        </w:tc>
      </w:tr>
    </w:tbl>
    <w:bookmarkEnd w:id="101"/>
    <w:bookmarkEnd w:id="102"/>
    <w:bookmarkStart w:id="111" w:name="X2b1aa6b62b8729d508b0e0b5a789aa498e2b5c3"/>
    <w:p>
      <w:pPr>
        <w:pStyle w:val="Heading1"/>
      </w:pPr>
      <w:r>
        <w:t xml:space="preserve">Section 9 — DPO and PDPO Registration Requirements (Section 6, Regulations 15–16, 47)</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bookmarkStart w:id="105" w:name="Xc0436787af5434256b196f7de7b91ec86a7ef3c"/>
    <w:p>
      <w:pPr>
        <w:pStyle w:val="Heading2"/>
      </w:pPr>
      <w:r>
        <w:t xml:space="preserve">9.1 DPO Designation Record</w:t>
      </w:r>
    </w:p>
    <w:bookmarkStart w:id="103" w:name="fr-dppa-027--dpo-designation-storage"/>
    <w:p>
      <w:pPr>
        <w:pStyle w:val="Heading3"/>
      </w:pPr>
      <w:r>
        <w:t xml:space="preserve">FR-DPPA-027 — DPO Designation Storage</w:t>
      </w:r>
    </w:p>
    <w:p>
      <w:pPr>
        <w:pStyle w:val="FirstParagraph"/>
      </w:pPr>
      <w:r>
        <w:t xml:space="preserve">The system shall store the DPO designation record in the system administration configuration. The designation record shall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Requirement</w:t>
            </w:r>
          </w:p>
        </w:tc>
      </w:tr>
      <w:tr>
        <w:tc>
          <w:tcPr/>
          <w:p>
            <w:pPr>
              <w:pStyle w:val="Compact"/>
            </w:pPr>
            <w:r>
              <w:t xml:space="preserve">DPO full name</w:t>
            </w:r>
          </w:p>
        </w:tc>
        <w:tc>
          <w:tcPr/>
          <w:p>
            <w:pPr>
              <w:pStyle w:val="Compact"/>
            </w:pPr>
            <w:r>
              <w:t xml:space="preserve">Mandatory</w:t>
            </w:r>
          </w:p>
        </w:tc>
      </w:tr>
      <w:tr>
        <w:tc>
          <w:tcPr/>
          <w:p>
            <w:pPr>
              <w:pStyle w:val="Compact"/>
            </w:pPr>
            <w:r>
              <w:t xml:space="preserve">DPO role / title</w:t>
            </w:r>
          </w:p>
        </w:tc>
        <w:tc>
          <w:tcPr/>
          <w:p>
            <w:pPr>
              <w:pStyle w:val="Compact"/>
            </w:pPr>
            <w:r>
              <w:t xml:space="preserve">Mandatory</w:t>
            </w:r>
          </w:p>
        </w:tc>
      </w:tr>
      <w:tr>
        <w:tc>
          <w:tcPr/>
          <w:p>
            <w:pPr>
              <w:pStyle w:val="Compact"/>
            </w:pPr>
            <w:r>
              <w:t xml:space="preserve">DPO email address</w:t>
            </w:r>
          </w:p>
        </w:tc>
        <w:tc>
          <w:tcPr/>
          <w:p>
            <w:pPr>
              <w:pStyle w:val="Compact"/>
            </w:pPr>
            <w:r>
              <w:t xml:space="preserve">Mandatory</w:t>
            </w:r>
          </w:p>
        </w:tc>
      </w:tr>
      <w:tr>
        <w:tc>
          <w:tcPr/>
          <w:p>
            <w:pPr>
              <w:pStyle w:val="Compact"/>
            </w:pPr>
            <w:r>
              <w:t xml:space="preserve">DPO phone number</w:t>
            </w:r>
          </w:p>
        </w:tc>
        <w:tc>
          <w:tcPr/>
          <w:p>
            <w:pPr>
              <w:pStyle w:val="Compact"/>
            </w:pPr>
            <w:r>
              <w:t xml:space="preserve">Mandatory</w:t>
            </w:r>
          </w:p>
        </w:tc>
      </w:tr>
      <w:tr>
        <w:tc>
          <w:tcPr/>
          <w:p>
            <w:pPr>
              <w:pStyle w:val="Compact"/>
            </w:pPr>
            <w:r>
              <w:t xml:space="preserve">Date of designation</w:t>
            </w:r>
          </w:p>
        </w:tc>
        <w:tc>
          <w:tcPr/>
          <w:p>
            <w:pPr>
              <w:pStyle w:val="Compact"/>
            </w:pPr>
            <w:r>
              <w:t xml:space="preserve">Mandatory</w:t>
            </w:r>
          </w:p>
        </w:tc>
      </w:tr>
      <w:tr>
        <w:tc>
          <w:tcPr/>
          <w:p>
            <w:pPr>
              <w:pStyle w:val="Compact"/>
            </w:pPr>
            <w:r>
              <w:t xml:space="preserve">Appointing authority</w:t>
            </w:r>
          </w:p>
        </w:tc>
        <w:tc>
          <w:tcPr/>
          <w:p>
            <w:pPr>
              <w:pStyle w:val="Compact"/>
            </w:pPr>
            <w:r>
              <w:t xml:space="preserve">Record of BIRDC Director designation</w:t>
            </w:r>
          </w:p>
        </w:tc>
      </w:tr>
    </w:tbl>
    <w:p>
      <w:pPr>
        <w:pStyle w:val="BodyText"/>
      </w:pPr>
      <w:r>
        <w:t xml:space="preserve">Per Section 6 DPPA 2019 and Regulation 47, the head of every institution must designate a DPO. The DPO designation record is the system's evidence of compliance with this requirement.</w:t>
      </w:r>
    </w:p>
    <w:bookmarkEnd w:id="103"/>
    <w:bookmarkStart w:id="104" w:name="fr-dppa-028--dpo-configuration-warning"/>
    <w:p>
      <w:pPr>
        <w:pStyle w:val="Heading3"/>
      </w:pPr>
      <w:r>
        <w:t xml:space="preserve">FR-DPPA-028 — DPO Configuration Warning</w:t>
      </w:r>
    </w:p>
    <w:p>
      <w:pPr>
        <w:pStyle w:val="FirstParagraph"/>
      </w:pPr>
      <w:r>
        <w:t xml:space="preserve">When any user accesses the system administration panel and no DPO designation record is stored, the system shall display: "No Data Protection Officer is designated. Designate a DPO and enter their details in System Administration before processing any farmer or employee personal data. This is required under Section 6, DPPA 2019."</w:t>
      </w:r>
    </w:p>
    <w:p>
      <w:r>
        <w:pict>
          <v:rect style="width:0;height:1.5pt" o:hralign="center" o:hrstd="t" o:hr="t"/>
        </w:pict>
      </w:r>
    </w:p>
    <w:bookmarkEnd w:id="104"/>
    <w:bookmarkEnd w:id="105"/>
    <w:bookmarkStart w:id="108" w:name="X00786bb330fb35b3a50831f448f766a4929233b"/>
    <w:p>
      <w:pPr>
        <w:pStyle w:val="Heading2"/>
      </w:pPr>
      <w:r>
        <w:t xml:space="preserve">9.2 PDPO Registration</w:t>
      </w:r>
    </w:p>
    <w:bookmarkStart w:id="106" w:name="X90948805dec776522959fc8e863f5177deb6fa8"/>
    <w:p>
      <w:pPr>
        <w:pStyle w:val="Heading3"/>
      </w:pPr>
      <w:r>
        <w:t xml:space="preserve">FR-DPPA-029 — PDPO Registration Number Storage</w:t>
      </w:r>
    </w:p>
    <w:p>
      <w:pPr>
        <w:pStyle w:val="FirstParagraph"/>
      </w:pPr>
      <w:r>
        <w:t xml:space="preserve">The system shall store the PDPO registration number and registration date in the system administration configuration. The PDPO registration number is issued upon registration in the PDPO Data Protection Register (Section 29 DPPA 2019; Regulations 15–16 — PDPO Form 2).</w:t>
      </w:r>
    </w:p>
    <w:bookmarkEnd w:id="106"/>
    <w:bookmarkStart w:id="107" w:name="fr-dppa-030--pdpo-registration-warning"/>
    <w:p>
      <w:pPr>
        <w:pStyle w:val="Heading3"/>
      </w:pPr>
      <w:r>
        <w:t xml:space="preserve">FR-DPPA-030 — PDPO Registration Warning</w:t>
      </w:r>
    </w:p>
    <w:p>
      <w:pPr>
        <w:pStyle w:val="FirstParagraph"/>
      </w:pPr>
      <w:r>
        <w:t xml:space="preserve">When the system is accessed and no PDPO registration number is configured, the system shall display a persistent banner on the administration dashboard: "PDPO registration number not configured — register with the Personal Data Protection Office at NITA-U, Kampala before processing farmer personal data. Registration is required under Section 29, DPPA 2019."</w:t>
      </w:r>
    </w:p>
    <w:p>
      <w:pPr>
        <w:pStyle w:val="BodyText"/>
      </w:pPr>
      <w:r>
        <w:t xml:space="preserve">This warning shall also appear on the Farmer Delivery App when a Collections Officer attempts to register a new farmer.</w:t>
      </w:r>
    </w:p>
    <w:p>
      <w:r>
        <w:pict>
          <v:rect style="width:0;height:1.5pt" o:hralign="center" o:hrstd="t" o:hr="t"/>
        </w:pict>
      </w:r>
    </w:p>
    <w:bookmarkEnd w:id="107"/>
    <w:bookmarkEnd w:id="108"/>
    <w:bookmarkStart w:id="110" w:name="Xaad2a19e3eb06b339a03cb416d4de764115723a"/>
    <w:p>
      <w:pPr>
        <w:pStyle w:val="Heading2"/>
      </w:pPr>
      <w:r>
        <w:t xml:space="preserve">9.3 DPO Dashboard</w:t>
      </w:r>
    </w:p>
    <w:bookmarkStart w:id="109" w:name="X09bae98d22dcfc9786298fc321b36fc945773b8"/>
    <w:p>
      <w:pPr>
        <w:pStyle w:val="Heading3"/>
      </w:pPr>
      <w:r>
        <w:t xml:space="preserve">FR-DPPA-031 — DPO Dashboard Consolidated View</w:t>
      </w:r>
    </w:p>
    <w:p>
      <w:pPr>
        <w:pStyle w:val="FirstParagraph"/>
      </w:pPr>
      <w:r>
        <w:t xml:space="preserve">The DPO role shall have access to a dedicated DPO Compliance Dashboard displaying the following widgets simultaneously:</w:t>
      </w:r>
    </w:p>
    <w:p>
      <w:pPr>
        <w:pStyle w:val="Compact"/>
        <w:numPr>
          <w:ilvl w:val="0"/>
          <w:numId w:val="1006"/>
        </w:numPr>
      </w:pPr>
      <w:r>
        <w:rPr>
          <w:b/>
          <w:bCs/>
        </w:rPr>
        <w:t xml:space="preserve">Overdue Rights Requests:</w:t>
      </w:r>
      <w:r>
        <w:t xml:space="preserve"> </w:t>
      </w:r>
      <w:r>
        <w:t xml:space="preserve">Count of data subject rights requests (access, rectification, erasure, objection) where</w:t>
      </w:r>
      <w:r>
        <w:t xml:space="preserve"> </w:t>
      </w:r>
      <w:r>
        <w:rPr>
          <w:rStyle w:val="VerbatimChar"/>
        </w:rPr>
        <w:t xml:space="preserve">due_at &lt; NOW()</w:t>
      </w:r>
      <w:r>
        <w:t xml:space="preserve"> </w:t>
      </w:r>
      <w:r>
        <w:t xml:space="preserve">and</w:t>
      </w:r>
      <w:r>
        <w:t xml:space="preserve"> </w:t>
      </w:r>
      <w:r>
        <w:rPr>
          <w:rStyle w:val="VerbatimChar"/>
        </w:rPr>
        <w:t xml:space="preserve">status = 'pending'</w:t>
      </w:r>
      <w:r>
        <w:t xml:space="preserve">. Red badge if count &gt; 0.</w:t>
      </w:r>
    </w:p>
    <w:p>
      <w:pPr>
        <w:pStyle w:val="Compact"/>
        <w:numPr>
          <w:ilvl w:val="0"/>
          <w:numId w:val="1006"/>
        </w:numPr>
      </w:pPr>
      <w:r>
        <w:rPr>
          <w:b/>
          <w:bCs/>
        </w:rPr>
        <w:t xml:space="preserve">Pending Consent Records:</w:t>
      </w:r>
      <w:r>
        <w:t xml:space="preserve"> </w:t>
      </w:r>
      <w:r>
        <w:t xml:space="preserve">Count of farmer, employee, and agent records where consent record is missing or withdrawn.</w:t>
      </w:r>
    </w:p>
    <w:p>
      <w:pPr>
        <w:pStyle w:val="Compact"/>
        <w:numPr>
          <w:ilvl w:val="0"/>
          <w:numId w:val="1006"/>
        </w:numPr>
      </w:pPr>
      <w:r>
        <w:rPr>
          <w:b/>
          <w:bCs/>
        </w:rPr>
        <w:t xml:space="preserve">Active Breach Events:</w:t>
      </w:r>
      <w:r>
        <w:t xml:space="preserve"> </w:t>
      </w:r>
      <w:r>
        <w:t xml:space="preserve">Count of breach events where</w:t>
      </w:r>
      <w:r>
        <w:t xml:space="preserve"> </w:t>
      </w:r>
      <w:r>
        <w:rPr>
          <w:rStyle w:val="VerbatimChar"/>
        </w:rPr>
        <w:t xml:space="preserve">classified_as IN ('confirmed', 'under_investigation')</w:t>
      </w:r>
      <w:r>
        <w:t xml:space="preserve"> </w:t>
      </w:r>
      <w:r>
        <w:t xml:space="preserve">and</w:t>
      </w:r>
      <w:r>
        <w:t xml:space="preserve"> </w:t>
      </w:r>
      <w:r>
        <w:rPr>
          <w:rStyle w:val="VerbatimChar"/>
        </w:rPr>
        <w:t xml:space="preserve">closed_at IS NULL</w:t>
      </w:r>
      <w:r>
        <w:t xml:space="preserve">. Red badge if count &gt; 0.</w:t>
      </w:r>
    </w:p>
    <w:p>
      <w:pPr>
        <w:pStyle w:val="Compact"/>
        <w:numPr>
          <w:ilvl w:val="0"/>
          <w:numId w:val="1006"/>
        </w:numPr>
      </w:pPr>
      <w:r>
        <w:rPr>
          <w:b/>
          <w:bCs/>
        </w:rPr>
        <w:t xml:space="preserve">Retention Expiry Alerts:</w:t>
      </w:r>
      <w:r>
        <w:t xml:space="preserve"> </w:t>
      </w:r>
      <w:r>
        <w:t xml:space="preserve">Count of data subject records with retention expiry within 90 days.</w:t>
      </w:r>
    </w:p>
    <w:p>
      <w:pPr>
        <w:pStyle w:val="Compact"/>
        <w:numPr>
          <w:ilvl w:val="0"/>
          <w:numId w:val="1006"/>
        </w:numPr>
      </w:pPr>
      <w:r>
        <w:rPr>
          <w:b/>
          <w:bCs/>
        </w:rPr>
        <w:t xml:space="preserve">Processor Contract Status:</w:t>
      </w:r>
      <w:r>
        <w:t xml:space="preserve"> </w:t>
      </w:r>
      <w:r>
        <w:t xml:space="preserve">Status of data processor contracts (MTN MoMo, Airtel, Africa's Talking) — Executed / Pending / Not Configured.</w:t>
      </w:r>
    </w:p>
    <w:p>
      <w:pPr>
        <w:pStyle w:val="Compact"/>
        <w:numPr>
          <w:ilvl w:val="0"/>
          <w:numId w:val="1006"/>
        </w:numPr>
      </w:pPr>
      <w:r>
        <w:rPr>
          <w:b/>
          <w:bCs/>
        </w:rPr>
        <w:t xml:space="preserve">PDPO Registration Status:</w:t>
      </w:r>
      <w:r>
        <w:t xml:space="preserve"> </w:t>
      </w:r>
      <w:r>
        <w:t xml:space="preserve">Registered / Not Registered.</w:t>
      </w:r>
    </w:p>
    <w:p>
      <w:pPr>
        <w:pStyle w:val="Compact"/>
        <w:numPr>
          <w:ilvl w:val="0"/>
          <w:numId w:val="1006"/>
        </w:numPr>
      </w:pPr>
      <w:r>
        <w:rPr>
          <w:b/>
          <w:bCs/>
        </w:rPr>
        <w:t xml:space="preserve">DPO Designation Status:</w:t>
      </w:r>
      <w:r>
        <w:t xml:space="preserve"> </w:t>
      </w:r>
      <w:r>
        <w:t xml:space="preserve">Designated / Not Designated.</w:t>
      </w:r>
    </w:p>
    <w:p>
      <w:pPr>
        <w:pStyle w:val="FirstParagraph"/>
      </w:pPr>
      <w:r>
        <w:rPr>
          <w:b/>
          <w:bCs/>
        </w:rPr>
        <w:t xml:space="preserve">Stimulus:</w:t>
      </w:r>
      <w:r>
        <w:t xml:space="preserve"> </w:t>
      </w:r>
      <w:r>
        <w:t xml:space="preserve">DPO user logs in and navigates to the DPO Compliance Dashboard.</w:t>
      </w:r>
      <w:r>
        <w:t xml:space="preserve"> </w:t>
      </w:r>
      <w:r>
        <w:rPr>
          <w:b/>
          <w:bCs/>
        </w:rPr>
        <w:t xml:space="preserve">Response:</w:t>
      </w:r>
      <w:r>
        <w:t xml:space="preserve"> </w:t>
      </w:r>
      <w:r>
        <w:t xml:space="preserve">System queries all relevant tables and displays current counts and statuses. Dashboard refreshes automatically every 5 minutes.</w:t>
      </w:r>
    </w:p>
    <w:bookmarkEnd w:id="109"/>
    <w:bookmarkEnd w:id="110"/>
    <w:bookmarkEnd w:id="111"/>
    <w:bookmarkStart w:id="115" w:name="Xa20961a46f3a47405a6c21ba6c6c33076f7e16a"/>
    <w:p>
      <w:pPr>
        <w:pStyle w:val="Heading1"/>
      </w:pPr>
      <w:r>
        <w:t xml:space="preserve">Section 10 — DPIA Trigger Assessment (Regulation 12, DPPA Regulations 2021)</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bookmarkStart w:id="112" w:name="X8c61ff41ad923abb654f644df66b3cc767c5efc"/>
    <w:p>
      <w:pPr>
        <w:pStyle w:val="Heading2"/>
      </w:pPr>
      <w:r>
        <w:t xml:space="preserve">10.1 DPIA Trigger Assessment — Farmer Data Processing</w:t>
      </w:r>
    </w:p>
    <w:p>
      <w:pPr>
        <w:pStyle w:val="FirstParagraph"/>
      </w:pPr>
      <w:r>
        <w:rPr>
          <w:b/>
          <w:bCs/>
        </w:rPr>
        <w:t xml:space="preserve">Processing operation:</w:t>
      </w:r>
      <w:r>
        <w:t xml:space="preserve"> </w:t>
      </w:r>
      <w:r>
        <w:t xml:space="preserve">Collection and processing of National Identification Number, GPS farm coordinates, farmer photograph, and mobile money number for 6,440+ cooperative farmers during farmer registration, delivery recording, and mobile money payment.</w:t>
      </w:r>
    </w:p>
    <w:p>
      <w:pPr>
        <w:pStyle w:val="BodyText"/>
      </w:pPr>
      <w:r>
        <w:rPr>
          <w:b/>
          <w:bCs/>
        </w:rPr>
        <w:t xml:space="preserve">Trigger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Trigger Criterion (Regulation 12)</w:t>
            </w:r>
          </w:p>
        </w:tc>
        <w:tc>
          <w:tcPr/>
          <w:p>
            <w:pPr>
              <w:pStyle w:val="Compact"/>
            </w:pPr>
            <w:r>
              <w:t xml:space="preserve">Present?</w:t>
            </w:r>
          </w:p>
        </w:tc>
        <w:tc>
          <w:tcPr/>
          <w:p>
            <w:pPr>
              <w:pStyle w:val="Compact"/>
            </w:pPr>
            <w:r>
              <w:t xml:space="preserve">Justification</w:t>
            </w:r>
          </w:p>
        </w:tc>
      </w:tr>
      <w:tr>
        <w:tc>
          <w:tcPr/>
          <w:p>
            <w:pPr>
              <w:pStyle w:val="Compact"/>
            </w:pPr>
            <w:r>
              <w:t xml:space="preserve">Large-scale processing of special personal data (financial information)</w:t>
            </w:r>
          </w:p>
        </w:tc>
        <w:tc>
          <w:tcPr/>
          <w:p>
            <w:pPr>
              <w:pStyle w:val="Compact"/>
            </w:pPr>
            <w:r>
              <w:t xml:space="preserve">Yes</w:t>
            </w:r>
          </w:p>
        </w:tc>
        <w:tc>
          <w:tcPr/>
          <w:p>
            <w:pPr>
              <w:pStyle w:val="Compact"/>
            </w:pPr>
            <w:r>
              <w:t xml:space="preserve">Mobile money numbers (S-tier) and payment amounts (S-tier) collected for 6,440+ farmers</w:t>
            </w:r>
          </w:p>
        </w:tc>
      </w:tr>
      <w:tr>
        <w:tc>
          <w:tcPr/>
          <w:p>
            <w:pPr>
              <w:pStyle w:val="Compact"/>
            </w:pPr>
            <w:r>
              <w:t xml:space="preserve">Large-scale processing of personal data</w:t>
            </w:r>
          </w:p>
        </w:tc>
        <w:tc>
          <w:tcPr/>
          <w:p>
            <w:pPr>
              <w:pStyle w:val="Compact"/>
            </w:pPr>
            <w:r>
              <w:t xml:space="preserve">Yes</w:t>
            </w:r>
          </w:p>
        </w:tc>
        <w:tc>
          <w:tcPr/>
          <w:p>
            <w:pPr>
              <w:pStyle w:val="Compact"/>
            </w:pPr>
            <w:r>
              <w:t xml:space="preserve">NIN, GPS coordinates, photographs collected for 6,440+ farmers</w:t>
            </w:r>
          </w:p>
        </w:tc>
      </w:tr>
      <w:tr>
        <w:tc>
          <w:tcPr/>
          <w:p>
            <w:pPr>
              <w:pStyle w:val="Compact"/>
            </w:pPr>
            <w:r>
              <w:t xml:space="preserve">Systematic monitoring of a public space</w:t>
            </w:r>
          </w:p>
        </w:tc>
        <w:tc>
          <w:tcPr/>
          <w:p>
            <w:pPr>
              <w:pStyle w:val="Compact"/>
            </w:pPr>
            <w:r>
              <w:t xml:space="preserve">No</w:t>
            </w:r>
          </w:p>
        </w:tc>
        <w:tc>
          <w:tcPr/>
          <w:p>
            <w:pPr>
              <w:pStyle w:val="Compact"/>
            </w:pPr>
            <w:r>
              <w:t xml:space="preserve">Farm GPS coordinates are property records, not public space monitoring</w:t>
            </w:r>
          </w:p>
        </w:tc>
      </w:tr>
      <w:tr>
        <w:tc>
          <w:tcPr/>
          <w:p>
            <w:pPr>
              <w:pStyle w:val="Compact"/>
            </w:pPr>
            <w:r>
              <w:t xml:space="preserve">Use of new technologies that affect rights and freedoms</w:t>
            </w:r>
          </w:p>
        </w:tc>
        <w:tc>
          <w:tcPr/>
          <w:p>
            <w:pPr>
              <w:pStyle w:val="Compact"/>
            </w:pPr>
            <w:r>
              <w:t xml:space="preserve">Partial</w:t>
            </w:r>
          </w:p>
        </w:tc>
        <w:tc>
          <w:tcPr/>
          <w:p>
            <w:pPr>
              <w:pStyle w:val="Compact"/>
            </w:pPr>
            <w:r>
              <w:t xml:space="preserve">Bulk mobile money payment API introduces financial data processing at scale</w:t>
            </w:r>
          </w:p>
        </w:tc>
      </w:tr>
    </w:tbl>
    <w:p>
      <w:pPr>
        <w:pStyle w:val="BodyText"/>
      </w:pPr>
      <w:r>
        <w:rPr>
          <w:b/>
          <w:bCs/>
        </w:rPr>
        <w:t xml:space="preserve">Determination:</w:t>
      </w:r>
      <w:r>
        <w:t xml:space="preserve"> </w:t>
      </w:r>
      <w:r>
        <w:t xml:space="preserve">DPIA REQUIRED.</w:t>
      </w:r>
    </w:p>
    <w:p>
      <w:pPr>
        <w:pStyle w:val="BlockText"/>
      </w:pPr>
      <w:r>
        <w:t xml:space="preserve">[DPIA-REQUIRED: Large-scale processing of special personal data (financial information — mobile money numbers and payment records) and personal data (NIN, GPS coordinates, photographs) for 6,440+ cooperative farmers. Regulation 12, Data Protection and Privacy Regulations 2021.]</w:t>
      </w:r>
    </w:p>
    <w:p>
      <w:pPr>
        <w:pStyle w:val="FirstParagraph"/>
      </w:pPr>
      <w:r>
        <w:rPr>
          <w:b/>
          <w:bCs/>
        </w:rPr>
        <w:t xml:space="preserve">Reference DPIA document:</w:t>
      </w:r>
      <w:r>
        <w:t xml:space="preserve"> </w:t>
      </w:r>
      <w:r>
        <w:rPr>
          <w:rStyle w:val="VerbatimChar"/>
        </w:rPr>
        <w:t xml:space="preserve">DPIA_FarmerData_BIRDC_ERP</w:t>
      </w:r>
      <w:r>
        <w:t xml:space="preserve"> </w:t>
      </w:r>
      <w:r>
        <w:t xml:space="preserve">— located at</w:t>
      </w:r>
      <w:r>
        <w:t xml:space="preserve"> </w:t>
      </w:r>
      <w:r>
        <w:rPr>
          <w:rStyle w:val="VerbatimChar"/>
        </w:rPr>
        <w:t xml:space="preserve">projects/BIRDC-ERP/09-governance-compliance/06-dpia-farmer/</w:t>
      </w:r>
      <w:r>
        <w:t xml:space="preserve">.</w:t>
      </w:r>
    </w:p>
    <w:p>
      <w:r>
        <w:pict>
          <v:rect style="width:0;height:1.5pt" o:hralign="center" o:hrstd="t" o:hr="t"/>
        </w:pict>
      </w:r>
    </w:p>
    <w:bookmarkEnd w:id="112"/>
    <w:bookmarkStart w:id="113" w:name="X312f99c24c964aca3d922c8782a692cf123a154"/>
    <w:p>
      <w:pPr>
        <w:pStyle w:val="Heading2"/>
      </w:pPr>
      <w:r>
        <w:t xml:space="preserve">10.2 DPIA Trigger Assessment — Employee Payroll Processing</w:t>
      </w:r>
    </w:p>
    <w:p>
      <w:pPr>
        <w:pStyle w:val="FirstParagraph"/>
      </w:pPr>
      <w:r>
        <w:rPr>
          <w:b/>
          <w:bCs/>
        </w:rPr>
        <w:t xml:space="preserve">Processing operation:</w:t>
      </w:r>
      <w:r>
        <w:t xml:space="preserve"> </w:t>
      </w:r>
      <w:r>
        <w:t xml:space="preserve">Processing of salary amounts, bank account numbers, mobile money numbers, PAYE deductions, NSSF contributions, and staff loan balances for 150+ employees during monthly payroll.</w:t>
      </w:r>
    </w:p>
    <w:p>
      <w:pPr>
        <w:pStyle w:val="BodyText"/>
      </w:pPr>
      <w:r>
        <w:rPr>
          <w:b/>
          <w:bCs/>
        </w:rPr>
        <w:t xml:space="preserve">Trigger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Trigger Criterion (Regulation 12)</w:t>
            </w:r>
          </w:p>
        </w:tc>
        <w:tc>
          <w:tcPr/>
          <w:p>
            <w:pPr>
              <w:pStyle w:val="Compact"/>
            </w:pPr>
            <w:r>
              <w:t xml:space="preserve">Present?</w:t>
            </w:r>
          </w:p>
        </w:tc>
        <w:tc>
          <w:tcPr/>
          <w:p>
            <w:pPr>
              <w:pStyle w:val="Compact"/>
            </w:pPr>
            <w:r>
              <w:t xml:space="preserve">Justification</w:t>
            </w:r>
          </w:p>
        </w:tc>
      </w:tr>
      <w:tr>
        <w:tc>
          <w:tcPr/>
          <w:p>
            <w:pPr>
              <w:pStyle w:val="Compact"/>
            </w:pPr>
            <w:r>
              <w:t xml:space="preserve">Large-scale processing of special personal data (financial information)</w:t>
            </w:r>
          </w:p>
        </w:tc>
        <w:tc>
          <w:tcPr/>
          <w:p>
            <w:pPr>
              <w:pStyle w:val="Compact"/>
            </w:pPr>
            <w:r>
              <w:t xml:space="preserve">Yes</w:t>
            </w:r>
          </w:p>
        </w:tc>
        <w:tc>
          <w:tcPr/>
          <w:p>
            <w:pPr>
              <w:pStyle w:val="Compact"/>
            </w:pPr>
            <w:r>
              <w:t xml:space="preserve">Salary, bank accounts, mobile money, PAYE, NSSF, LST, staff loans — all S-tier — for 150+ employees</w:t>
            </w:r>
          </w:p>
        </w:tc>
      </w:tr>
      <w:tr>
        <w:tc>
          <w:tcPr/>
          <w:p>
            <w:pPr>
              <w:pStyle w:val="Compact"/>
            </w:pPr>
            <w:r>
              <w:t xml:space="preserve">Processing involves bulk mobile money salary payment</w:t>
            </w:r>
          </w:p>
        </w:tc>
        <w:tc>
          <w:tcPr/>
          <w:p>
            <w:pPr>
              <w:pStyle w:val="Compact"/>
            </w:pPr>
            <w:r>
              <w:t xml:space="preserve">Yes</w:t>
            </w:r>
          </w:p>
        </w:tc>
        <w:tc>
          <w:tcPr/>
          <w:p>
            <w:pPr>
              <w:pStyle w:val="Compact"/>
            </w:pPr>
            <w:r>
              <w:t xml:space="preserve">Casual worker salaries via MTN MoMo / Airtel Money batch API</w:t>
            </w:r>
          </w:p>
        </w:tc>
      </w:tr>
    </w:tbl>
    <w:p>
      <w:pPr>
        <w:pStyle w:val="BodyText"/>
      </w:pPr>
      <w:r>
        <w:rPr>
          <w:b/>
          <w:bCs/>
        </w:rPr>
        <w:t xml:space="preserve">Determination:</w:t>
      </w:r>
      <w:r>
        <w:t xml:space="preserve"> </w:t>
      </w:r>
      <w:r>
        <w:t xml:space="preserve">DPIA REQUIRED.</w:t>
      </w:r>
    </w:p>
    <w:p>
      <w:pPr>
        <w:pStyle w:val="BlockText"/>
      </w:pPr>
      <w:r>
        <w:t xml:space="preserve">[DPIA-REQUIRED: Large-scale processing of special personal data (financial information — salary, bank accounts, mobile money numbers, PAYE, NSSF, staff loans) for 150+ employees during payroll. Regulation 12, Data Protection and Privacy Regulations 2021.]</w:t>
      </w:r>
    </w:p>
    <w:p>
      <w:pPr>
        <w:pStyle w:val="FirstParagraph"/>
      </w:pPr>
      <w:r>
        <w:rPr>
          <w:b/>
          <w:bCs/>
        </w:rPr>
        <w:t xml:space="preserve">Reference DPIA document:</w:t>
      </w:r>
      <w:r>
        <w:t xml:space="preserve"> </w:t>
      </w:r>
      <w:r>
        <w:rPr>
          <w:rStyle w:val="VerbatimChar"/>
        </w:rPr>
        <w:t xml:space="preserve">DPIA_EmployeePayroll_BIRDC_ERP</w:t>
      </w:r>
      <w:r>
        <w:t xml:space="preserve"> </w:t>
      </w:r>
      <w:r>
        <w:t xml:space="preserve">— to be generated before Phase 5 (Payroll module) go-live.</w:t>
      </w:r>
    </w:p>
    <w:p>
      <w:r>
        <w:pict>
          <v:rect style="width:0;height:1.5pt" o:hralign="center" o:hrstd="t" o:hr="t"/>
        </w:pict>
      </w:r>
    </w:p>
    <w:bookmarkEnd w:id="113"/>
    <w:bookmarkStart w:id="114" w:name="X8978a4a1398be8e17957f12ec6c4cc25b0211e6"/>
    <w:p>
      <w:pPr>
        <w:pStyle w:val="Heading2"/>
      </w:pPr>
      <w:r>
        <w:t xml:space="preserve">10.3 Legal Review Requirement</w:t>
      </w:r>
    </w:p>
    <w:p>
      <w:pPr>
        <w:pStyle w:val="FirstParagraph"/>
      </w:pPr>
      <w:r>
        <w:t xml:space="preserve">The processing operations identified in Sections 10.1 and 10.2 involve sensitive personal and financial data at scale for a government-linked entity with parliamentary accountability. Qualified Uganda legal counsel must review the full DPPA compliance framework — including lawful basis mapping, consent form drafts, retention schedules, and data processor contract terms — before Phase 3 go-live.</w:t>
      </w:r>
    </w:p>
    <w:p>
      <w:pPr>
        <w:pStyle w:val="BodyText"/>
      </w:pPr>
      <w:r>
        <w:t xml:space="preserve">[CONTEXT-GAP: GAP-004] — Uganda DPPA 2019 legal review by qualified counsel not yet commissioned. Required before Phase 3 farmer registration go-live and Phase 5 payroll go-live.</w:t>
      </w:r>
    </w:p>
    <w:bookmarkEnd w:id="114"/>
    <w:bookmarkEnd w:id="115"/>
    <w:bookmarkStart w:id="121" w:name="section-11--human-review-gate"/>
    <w:p>
      <w:pPr>
        <w:pStyle w:val="Heading1"/>
      </w:pPr>
      <w:r>
        <w:t xml:space="preserve">Section 11 — Human Review Gate</w:t>
      </w:r>
    </w:p>
    <w:p>
      <w:pPr>
        <w:pStyle w:val="FirstParagraph"/>
      </w:pPr>
      <w:r>
        <w:rPr>
          <w:b/>
          <w:bCs/>
        </w:rPr>
        <w:t xml:space="preserve">Prepared by:</w:t>
      </w:r>
      <w:r>
        <w:t xml:space="preserve"> </w:t>
      </w:r>
      <w:r>
        <w:t xml:space="preserve">Peter Bamuhigire, ICT Consultant (techguypeter.com) for PIBID/BIRDC</w:t>
      </w:r>
    </w:p>
    <w:p>
      <w:r>
        <w:pict>
          <v:rect style="width:0;height:1.5pt" o:hralign="center" o:hrstd="t" o:hr="t"/>
        </w:pict>
      </w:r>
    </w:p>
    <w:bookmarkStart w:id="116" w:name="X6d003897e47f1c8e983fb21fe91b1bf14028ae5"/>
    <w:p>
      <w:pPr>
        <w:pStyle w:val="Heading2"/>
      </w:pPr>
      <w:r>
        <w:t xml:space="preserve">11.1 CONTEXT-GAP Flags Detected</w:t>
      </w:r>
    </w:p>
    <w:p>
      <w:pPr>
        <w:pStyle w:val="FirstParagraph"/>
      </w:pPr>
      <w:r>
        <w:t xml:space="preserve">The following gaps were identified during generation of this compliance annex. Each must be resolved before the corresponding module enters production.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Description</w:t>
            </w:r>
          </w:p>
        </w:tc>
        <w:tc>
          <w:tcPr/>
          <w:p>
            <w:pPr>
              <w:pStyle w:val="Compact"/>
            </w:pPr>
            <w:r>
              <w:t xml:space="preserve">Resolution Trigger</w:t>
            </w:r>
          </w:p>
        </w:tc>
      </w:tr>
      <w:tr>
        <w:tc>
          <w:tcPr/>
          <w:p>
            <w:pPr>
              <w:pStyle w:val="Compact"/>
            </w:pPr>
            <w:r>
              <w:t xml:space="preserve">[CONTEXT-GAP: GAP-004]</w:t>
            </w:r>
          </w:p>
        </w:tc>
        <w:tc>
          <w:tcPr/>
          <w:p>
            <w:pPr>
              <w:pStyle w:val="Compact"/>
            </w:pPr>
            <w:r>
              <w:t xml:space="preserve">Uganda DPPA 2019 legal review by qualified counsel not yet commissioned. Required for: lawful basis mapping confirmation, consent form draft review (English + Runyankore/Rukiga), retention schedule vs. erasure rights conflict resolution, and data processor contract terms review.</w:t>
            </w:r>
          </w:p>
        </w:tc>
        <w:tc>
          <w:tcPr/>
          <w:p>
            <w:pPr>
              <w:pStyle w:val="Compact"/>
            </w:pPr>
            <w:r>
              <w:t xml:space="preserve">Commission legal review before Phase 3 go-live</w:t>
            </w:r>
          </w:p>
        </w:tc>
      </w:tr>
      <w:tr>
        <w:tc>
          <w:tcPr/>
          <w:p>
            <w:pPr>
              <w:pStyle w:val="Compact"/>
            </w:pPr>
            <w:r>
              <w:t xml:space="preserve">[CONTEXT-GAP: GAP-004]</w:t>
            </w:r>
          </w:p>
        </w:tc>
        <w:tc>
          <w:tcPr/>
          <w:p>
            <w:pPr>
              <w:pStyle w:val="Compact"/>
            </w:pPr>
            <w:r>
              <w:t xml:space="preserve">DPO not yet designated by BIRDC. Section 6 DPPA 2019 requires every institution head to designate a DPO. Without a designated DPO, the breach notification, rights requests, and consent functions cannot be operationally activated.</w:t>
            </w:r>
          </w:p>
        </w:tc>
        <w:tc>
          <w:tcPr/>
          <w:p>
            <w:pPr>
              <w:pStyle w:val="Compact"/>
            </w:pPr>
            <w:r>
              <w:t xml:space="preserve">BIRDC Director to designate DPO before Phase 3</w:t>
            </w:r>
          </w:p>
        </w:tc>
      </w:tr>
      <w:tr>
        <w:tc>
          <w:tcPr/>
          <w:p>
            <w:pPr>
              <w:pStyle w:val="Compact"/>
            </w:pPr>
            <w:r>
              <w:t xml:space="preserve">[CONTEXT-GAP: GAP-002]</w:t>
            </w:r>
          </w:p>
        </w:tc>
        <w:tc>
          <w:tcPr/>
          <w:p>
            <w:pPr>
              <w:pStyle w:val="Compact"/>
            </w:pPr>
            <w:r>
              <w:t xml:space="preserve">MTN MoMo API credentials not yet obtained. Data processor contract with MTN Uganda cannot be executed without API credentials. Farmer payment and payroll modules cannot transmit S-tier data without an executed processor contract.</w:t>
            </w:r>
          </w:p>
        </w:tc>
        <w:tc>
          <w:tcPr/>
          <w:p>
            <w:pPr>
              <w:pStyle w:val="Compact"/>
            </w:pPr>
            <w:r>
              <w:t xml:space="preserve">Obtain MTN MoMo Business API credentials</w:t>
            </w:r>
          </w:p>
        </w:tc>
      </w:tr>
      <w:tr>
        <w:tc>
          <w:tcPr/>
          <w:p>
            <w:pPr>
              <w:pStyle w:val="Compact"/>
            </w:pPr>
            <w:r>
              <w:t xml:space="preserve">[CONTEXT-GAP: GAP-003]</w:t>
            </w:r>
          </w:p>
        </w:tc>
        <w:tc>
          <w:tcPr/>
          <w:p>
            <w:pPr>
              <w:pStyle w:val="Compact"/>
            </w:pPr>
            <w:r>
              <w:t xml:space="preserve">Airtel Money API credentials not yet obtained. Same constraint as GAP-002 for Airtel.</w:t>
            </w:r>
          </w:p>
        </w:tc>
        <w:tc>
          <w:tcPr/>
          <w:p>
            <w:pPr>
              <w:pStyle w:val="Compact"/>
            </w:pPr>
            <w:r>
              <w:t xml:space="preserve">Obtain Airtel Money API credentials</w:t>
            </w:r>
          </w:p>
        </w:tc>
      </w:tr>
    </w:tbl>
    <w:p>
      <w:r>
        <w:pict>
          <v:rect style="width:0;height:1.5pt" o:hralign="center" o:hrstd="t" o:hr="t"/>
        </w:pict>
      </w:r>
    </w:p>
    <w:bookmarkEnd w:id="116"/>
    <w:bookmarkStart w:id="117" w:name="X80727cc35e48f211266f182b8998c721b558246"/>
    <w:p>
      <w:pPr>
        <w:pStyle w:val="Heading2"/>
      </w:pPr>
      <w:r>
        <w:t xml:space="preserve">11.2 DPIA-REQUIRED Flags Detected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Processing Operation</w:t>
            </w:r>
          </w:p>
        </w:tc>
        <w:tc>
          <w:tcPr/>
          <w:p>
            <w:pPr>
              <w:pStyle w:val="Compact"/>
            </w:pPr>
            <w:r>
              <w:t xml:space="preserve">Reference Document</w:t>
            </w:r>
          </w:p>
        </w:tc>
      </w:tr>
      <w:tr>
        <w:tc>
          <w:tcPr/>
          <w:p>
            <w:pPr>
              <w:pStyle w:val="Compact"/>
            </w:pPr>
            <w:r>
              <w:t xml:space="preserve">[DPIA-REQUIRED: Large-scale processing of S-tier financial data and P-tier data for 6,440+ farmers — Regulation 12]</w:t>
            </w:r>
          </w:p>
        </w:tc>
        <w:tc>
          <w:tcPr/>
          <w:p>
            <w:pPr>
              <w:pStyle w:val="Compact"/>
            </w:pPr>
            <w:r>
              <w:t xml:space="preserve">Farmer registration, GPS mapping, NIN collection, mobile money payment</w:t>
            </w:r>
          </w:p>
        </w:tc>
        <w:tc>
          <w:tcPr/>
          <w:p>
            <w:pPr>
              <w:pStyle w:val="Compact"/>
            </w:pPr>
            <w:r>
              <w:t xml:space="preserve">DPIA_FarmerData_BIRDC_ERP (Section 10.1)</w:t>
            </w:r>
          </w:p>
        </w:tc>
      </w:tr>
      <w:tr>
        <w:tc>
          <w:tcPr/>
          <w:p>
            <w:pPr>
              <w:pStyle w:val="Compact"/>
            </w:pPr>
            <w:r>
              <w:t xml:space="preserve">[DPIA-REQUIRED: Large-scale processing of S-tier financial data for 150+ employees — Regulation 12]</w:t>
            </w:r>
          </w:p>
        </w:tc>
        <w:tc>
          <w:tcPr/>
          <w:p>
            <w:pPr>
              <w:pStyle w:val="Compact"/>
            </w:pPr>
            <w:r>
              <w:t xml:space="preserve">Monthly payroll — salary, bank accounts, mobile money, PAYE, NSSF</w:t>
            </w:r>
          </w:p>
        </w:tc>
        <w:tc>
          <w:tcPr/>
          <w:p>
            <w:pPr>
              <w:pStyle w:val="Compact"/>
            </w:pPr>
            <w:r>
              <w:t xml:space="preserve">DPIA_EmployeePayroll_BIRDC_ERP (Section 10.2)</w:t>
            </w:r>
          </w:p>
        </w:tc>
      </w:tr>
    </w:tbl>
    <w:p>
      <w:r>
        <w:pict>
          <v:rect style="width:0;height:1.5pt" o:hralign="center" o:hrstd="t" o:hr="t"/>
        </w:pict>
      </w:r>
    </w:p>
    <w:bookmarkEnd w:id="117"/>
    <w:bookmarkStart w:id="118" w:name="Xaee0e9d030a36d9db016484337e31dea80cde1e"/>
    <w:p>
      <w:pPr>
        <w:pStyle w:val="Heading2"/>
      </w:pPr>
      <w:r>
        <w:t xml:space="preserve">11.3 DPPA-FAIL Tags Detected</w:t>
      </w:r>
    </w:p>
    <w:p>
      <w:pPr>
        <w:pStyle w:val="FirstParagraph"/>
      </w:pPr>
      <w:r>
        <w:rPr>
          <w:b/>
          <w:bCs/>
        </w:rPr>
        <w:t xml:space="preserve">No DPPA-FAIL tags were detected in this annex.</w:t>
      </w:r>
      <w:r>
        <w:t xml:space="preserve"> </w:t>
      </w:r>
      <w:r>
        <w:t xml:space="preserve">All S-tier fields have AES-256-GCM encryption specified (Section 6). Breach notification is labelled IMMEDIATE (Section 8). Data subject rights response SLA is 30 calendar days (Section 5). PDPO — not the data controller — decides whether to notify data subjects (Section 8.4). Consent mechanisms are specified for all consent-basis fields (Section 4).</w:t>
      </w:r>
    </w:p>
    <w:p>
      <w:r>
        <w:pict>
          <v:rect style="width:0;height:1.5pt" o:hralign="center" o:hrstd="t" o:hr="t"/>
        </w:pict>
      </w:r>
    </w:p>
    <w:bookmarkEnd w:id="118"/>
    <w:bookmarkStart w:id="119" w:name="X0795f0126529f0fd1b163ae93a11d773e8faf5b"/>
    <w:p>
      <w:pPr>
        <w:pStyle w:val="Heading2"/>
      </w:pPr>
      <w:r>
        <w:t xml:space="preserve">11.4 Recommended Actions Before Phase 3 Go-Live</w:t>
      </w:r>
    </w:p>
    <w:p>
      <w:pPr>
        <w:pStyle w:val="FirstParagraph"/>
      </w:pPr>
      <w:r>
        <w:t xml:space="preserve">The following 4 actions must be completed before the Farmer Registration and Cooperative Management module (Phase 3) enters production:</w:t>
      </w:r>
    </w:p>
    <w:p>
      <w:pPr>
        <w:numPr>
          <w:ilvl w:val="0"/>
          <w:numId w:val="1007"/>
        </w:numPr>
      </w:pPr>
      <w:r>
        <w:rPr>
          <w:b/>
          <w:bCs/>
        </w:rPr>
        <w:t xml:space="preserve">Commission legal review (GAP-004).</w:t>
      </w:r>
      <w:r>
        <w:t xml:space="preserve"> </w:t>
      </w:r>
      <w:r>
        <w:t xml:space="preserve">Engage qualified Uganda DPPA 2019 legal counsel to review this annex, the DPIA for farmer data processing, the consent form drafts, and the data processor contract templates. Document the review outcome and incorporate any amendments.</w:t>
      </w:r>
    </w:p>
    <w:p>
      <w:pPr>
        <w:numPr>
          <w:ilvl w:val="0"/>
          <w:numId w:val="1007"/>
        </w:numPr>
      </w:pPr>
      <w:r>
        <w:rPr>
          <w:b/>
          <w:bCs/>
        </w:rPr>
        <w:t xml:space="preserve">Draft and test consent form in English and Runyankore/Rukiga.</w:t>
      </w:r>
      <w:r>
        <w:t xml:space="preserve"> </w:t>
      </w:r>
      <w:r>
        <w:t xml:space="preserve">The farmer registration consent form (FR-DPPA-009) must be drafted in both languages, reviewed by a native Runyankore/Rukiga speaker, and tested with Patrick (Collections Officer persona) before go-live.</w:t>
      </w:r>
    </w:p>
    <w:p>
      <w:pPr>
        <w:numPr>
          <w:ilvl w:val="0"/>
          <w:numId w:val="1007"/>
        </w:numPr>
      </w:pPr>
      <w:r>
        <w:rPr>
          <w:b/>
          <w:bCs/>
        </w:rPr>
        <w:t xml:space="preserve">Register with PDPO at NITA-U.</w:t>
      </w:r>
      <w:r>
        <w:t xml:space="preserve"> </w:t>
      </w:r>
      <w:r>
        <w:t xml:space="preserve">BIRDC must complete registration with the Personal Data Protection Office (PDPO Form 2 per Regulations 15–16). The PDPO registration number must be entered in the system administration configuration before farmer registration begins.</w:t>
      </w:r>
    </w:p>
    <w:p>
      <w:pPr>
        <w:numPr>
          <w:ilvl w:val="0"/>
          <w:numId w:val="1007"/>
        </w:numPr>
      </w:pPr>
      <w:r>
        <w:rPr>
          <w:b/>
          <w:bCs/>
        </w:rPr>
        <w:t xml:space="preserve">Designate DPO and enter in system.</w:t>
      </w:r>
      <w:r>
        <w:t xml:space="preserve"> </w:t>
      </w:r>
      <w:r>
        <w:t xml:space="preserve">BIRDC Director must formally designate a Data Protection Officer per Section 6 DPPA 2019 and Regulation 47. The DPO designation record must be entered in the system administration configuration. The DPO must be trained on the DPO dashboard, breach notification workflow, and 30-day response obligations before go-live.</w:t>
      </w:r>
    </w:p>
    <w:p>
      <w:r>
        <w:pict>
          <v:rect style="width:0;height:1.5pt" o:hralign="center" o:hrstd="t" o:hr="t"/>
        </w:pict>
      </w:r>
    </w:p>
    <w:bookmarkEnd w:id="119"/>
    <w:bookmarkStart w:id="120" w:name="X4d3e8c17c3df646b1e37828d6a1ff9d659c313e"/>
    <w:p>
      <w:pPr>
        <w:pStyle w:val="Heading2"/>
      </w:pPr>
      <w:r>
        <w:t xml:space="preserve">11.5 Consultant Acknowledgement</w:t>
      </w:r>
    </w:p>
    <w:p>
      <w:pPr>
        <w:pStyle w:val="FirstParagraph"/>
      </w:pPr>
      <w:r>
        <w:t xml:space="preserve">This annex was prepared by Peter Bamuhigire, ICT Consultant (techguypeter.com), from BIRDC ERP context files as of 2026-04-05. It is a draft compliance specification, not legal advice. The findings and requirements herein require review by qualified Uganda legal counsel before being relied upon for regulatory compliance.</w:t>
      </w:r>
    </w:p>
    <w:p>
      <w:pPr>
        <w:pStyle w:val="BodyText"/>
      </w:pPr>
      <w:r>
        <w:rPr>
          <w:i/>
          <w:iCs/>
        </w:rPr>
        <w:t xml:space="preserve">Do not proceed to Phase 3 or Phase 5 implementation without completing the 4 actions in Section 11.4.</w:t>
      </w:r>
    </w:p>
    <w:bookmarkEnd w:id="120"/>
    <w:bookmarkEnd w:id="12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DPPA 2019 Compliance Annex — BIRDC ERP System</dc:title>
  <dc:creator/>
  <cp:keywords/>
  <dcterms:created xsi:type="dcterms:W3CDTF">2026-04-05T17:34:44Z</dcterms:created>
  <dcterms:modified xsi:type="dcterms:W3CDTF">2026-04-05T17:34:44Z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document_ref">
    <vt:lpwstr>BIRDC-ERP-DPPA-001</vt:lpwstr>
  </property>
  <property fmtid="{D5CDD505-2E9C-101B-9397-08002B2CF9AE}" pid="4" name="prepared_by">
    <vt:lpwstr>Peter Bamuhigire, ICT Consultant (techguypeter.com)</vt:lpwstr>
  </property>
  <property fmtid="{D5CDD505-2E9C-101B-9397-08002B2CF9AE}" pid="5" name="prepared_for">
    <vt:lpwstr>PIBID / BIRDC, Nyaruzinga, Bushenyi, Uganda</vt:lpwstr>
  </property>
  <property fmtid="{D5CDD505-2E9C-101B-9397-08002B2CF9AE}" pid="6" name="subtitle">
    <vt:lpwstr>Uganda Data Protection and Privacy Act 2019 (No. 9 of 2019) &amp; Data Protection and Privacy Regulations 2021</vt:lpwstr>
  </property>
  <property fmtid="{D5CDD505-2E9C-101B-9397-08002B2CF9AE}" pid="7" name="version">
    <vt:lpwstr>1.0 DRAFT</vt:lpwstr>
  </property>
</Properties>
</file>