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Frequently Asked Questions</w:t>
      </w:r>
    </w:p>
    <w:p>
      <w:pPr>
        <w:pStyle w:val="Subtitle"/>
      </w:pPr>
      <w:r>
        <w:t xml:space="preserve">Common Questions and Answers for All Staff Roles</w:t>
      </w:r>
    </w:p>
    <w:p>
      <w:pPr>
        <w:pStyle w:val="Author"/>
      </w:pPr>
      <w:r>
        <w:t xml:space="preserve">Prepared by Peter Bamuhigire, ICT Consultant (techguypeter.com) for PIBID/BIRDC</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birdc-erp--frequently-asked-questions"/>
    <w:p>
      <w:pPr>
        <w:pStyle w:val="Heading1"/>
      </w:pPr>
      <w:r>
        <w:t xml:space="preserve">BIRDC ERP — Frequently Asked Questions</w:t>
      </w:r>
    </w:p>
    <w:p>
      <w:pPr>
        <w:pStyle w:val="FirstParagraph"/>
      </w:pPr>
      <w:r>
        <w:rPr>
          <w:b/>
          <w:bCs/>
        </w:rPr>
        <w:t xml:space="preserve">Prepared by:</w:t>
      </w:r>
      <w:r>
        <w:t xml:space="preserve"> </w:t>
      </w:r>
      <w:r>
        <w:t xml:space="preserve">Peter Bamuhigire, ICT Consultant (techguypeter.com)</w:t>
      </w:r>
      <w:r>
        <w:t xml:space="preserve"> </w:t>
      </w:r>
      <w:r>
        <w:rPr>
          <w:b/>
          <w:bCs/>
        </w:rPr>
        <w:t xml:space="preserve">Prepared for:</w:t>
      </w:r>
      <w:r>
        <w:t xml:space="preserve"> </w:t>
      </w:r>
      <w:r>
        <w:t xml:space="preserve">PIBID/BIRDC — Nyaruzinga Hill, Bushenyi District, Uganda</w:t>
      </w:r>
      <w:r>
        <w:t xml:space="preserve"> </w:t>
      </w:r>
      <w:r>
        <w:rPr>
          <w:b/>
          <w:bCs/>
        </w:rPr>
        <w:t xml:space="preserve">Document version:</w:t>
      </w:r>
      <w:r>
        <w:t xml:space="preserve"> </w:t>
      </w:r>
      <w:r>
        <w:t xml:space="preserve">1.0</w:t>
      </w:r>
      <w:r>
        <w:t xml:space="preserve"> </w:t>
      </w:r>
      <w:r>
        <w:rPr>
          <w:b/>
          <w:bCs/>
        </w:rPr>
        <w:t xml:space="preserve">Date:</w:t>
      </w:r>
      <w:r>
        <w:t xml:space="preserve"> </w:t>
      </w:r>
      <w:r>
        <w:t xml:space="preserve">April 2026</w:t>
      </w:r>
    </w:p>
    <w:p>
      <w:r>
        <w:pict>
          <v:rect style="width:0;height:1.5pt" o:hralign="center" o:hrstd="t" o:hr="t"/>
        </w:pict>
      </w:r>
    </w:p>
    <w:bookmarkStart w:id="19" w:name="how-to-use-this-faq"/>
    <w:p>
      <w:pPr>
        <w:pStyle w:val="Heading2"/>
      </w:pPr>
      <w:r>
        <w:t xml:space="preserve">How to Use This FAQ</w:t>
      </w:r>
    </w:p>
    <w:p>
      <w:pPr>
        <w:pStyle w:val="FirstParagraph"/>
      </w:pPr>
      <w:r>
        <w:t xml:space="preserve">Questions are grouped by topic. Find the topic closest to your question and read through the answers in that group. If your question is not answered here, contact the IT Administrator or the system support contact at techguypeter.com.</w:t>
      </w:r>
    </w:p>
    <w:p>
      <w:pPr>
        <w:pStyle w:val="BodyText"/>
      </w:pPr>
      <w:r>
        <w:rPr>
          <w:b/>
          <w:bCs/>
        </w:rPr>
        <w:t xml:space="preserve">Topic Groups:</w:t>
      </w:r>
    </w:p>
    <w:p>
      <w:pPr>
        <w:pStyle w:val="Compact"/>
        <w:numPr>
          <w:ilvl w:val="0"/>
          <w:numId w:val="1001"/>
        </w:numPr>
      </w:pPr>
      <w:r>
        <w:t xml:space="preserve">POS and Sales</w:t>
      </w:r>
    </w:p>
    <w:p>
      <w:pPr>
        <w:pStyle w:val="Compact"/>
        <w:numPr>
          <w:ilvl w:val="0"/>
          <w:numId w:val="1001"/>
        </w:numPr>
      </w:pPr>
      <w:r>
        <w:t xml:space="preserve">Agent and Remittance</w:t>
      </w:r>
    </w:p>
    <w:p>
      <w:pPr>
        <w:pStyle w:val="Compact"/>
        <w:numPr>
          <w:ilvl w:val="0"/>
          <w:numId w:val="1001"/>
        </w:numPr>
      </w:pPr>
      <w:r>
        <w:t xml:space="preserve">Finance and Accounting</w:t>
      </w:r>
    </w:p>
    <w:p>
      <w:pPr>
        <w:pStyle w:val="Compact"/>
        <w:numPr>
          <w:ilvl w:val="0"/>
          <w:numId w:val="1001"/>
        </w:numPr>
      </w:pPr>
      <w:r>
        <w:t xml:space="preserve">Payroll</w:t>
      </w:r>
    </w:p>
    <w:p>
      <w:pPr>
        <w:pStyle w:val="Compact"/>
        <w:numPr>
          <w:ilvl w:val="0"/>
          <w:numId w:val="1001"/>
        </w:numPr>
      </w:pPr>
      <w:r>
        <w:t xml:space="preserve">Farmers and Procurement</w:t>
      </w:r>
    </w:p>
    <w:p>
      <w:pPr>
        <w:pStyle w:val="Compact"/>
        <w:numPr>
          <w:ilvl w:val="0"/>
          <w:numId w:val="1001"/>
        </w:numPr>
      </w:pPr>
      <w:r>
        <w:t xml:space="preserve">Manufacturing and Quality</w:t>
      </w:r>
    </w:p>
    <w:p>
      <w:pPr>
        <w:pStyle w:val="Compact"/>
        <w:numPr>
          <w:ilvl w:val="0"/>
          <w:numId w:val="1001"/>
        </w:numPr>
      </w:pPr>
      <w:r>
        <w:t xml:space="preserve">System and Technical</w:t>
      </w:r>
    </w:p>
    <w:bookmarkEnd w:id="19"/>
    <w:bookmarkEnd w:id="20"/>
    <w:bookmarkStart w:id="21" w:name="topic-1-pos-and-sales"/>
    <w:p>
      <w:pPr>
        <w:pStyle w:val="Heading1"/>
      </w:pPr>
      <w:r>
        <w:t xml:space="preserve">Topic 1: POS and Sales</w:t>
      </w:r>
    </w:p>
    <w:p>
      <w:r>
        <w:pict>
          <v:rect style="width:0;height:1.5pt" o:hralign="center" o:hrstd="t" o:hr="t"/>
        </w:pict>
      </w:r>
    </w:p>
    <w:p>
      <w:pPr>
        <w:pStyle w:val="FirstParagraph"/>
      </w:pPr>
      <w:r>
        <w:rPr>
          <w:b/>
          <w:bCs/>
        </w:rPr>
        <w:t xml:space="preserve">Q1. Can I process a sale when the internet is down?</w:t>
      </w:r>
    </w:p>
    <w:p>
      <w:pPr>
        <w:pStyle w:val="BodyText"/>
      </w:pPr>
      <w:r>
        <w:t xml:space="preserve">Yes. The factory gate POS and the Sales Agent App are both designed to work without an internet connection. When the internet is unavailable, sales are saved on the device. When connectivity returns, the app automatically submits all queued sales to the server and to URA EFRIS. No action is required from you — but you should check the sync indicator turns green after reconnecting to confirm all sales have uploaded.</w:t>
      </w:r>
    </w:p>
    <w:p>
      <w:r>
        <w:pict>
          <v:rect style="width:0;height:1.5pt" o:hralign="center" o:hrstd="t" o:hr="t"/>
        </w:pict>
      </w:r>
    </w:p>
    <w:p>
      <w:pPr>
        <w:pStyle w:val="FirstParagraph"/>
      </w:pPr>
      <w:r>
        <w:rPr>
          <w:b/>
          <w:bCs/>
        </w:rPr>
        <w:t xml:space="preserve">Q2. What happens if I forget to open a session float before making my first sale?</w:t>
      </w:r>
    </w:p>
    <w:p>
      <w:pPr>
        <w:pStyle w:val="BodyText"/>
      </w:pPr>
      <w:r>
        <w:t xml:space="preserve">The system will not allow a sale until a POS session is opened with an opening float. If you attempt to make a sale without opening a session, the system shows the message "No active session. Please open a session first." Open the session, enter your float amount (even if it is zero), and then proceed with the sale. Your end-of-shift report will show a variance if your closing cash count does not match expectations, so always count and enter the float accurately at the start.</w:t>
      </w:r>
    </w:p>
    <w:p>
      <w:r>
        <w:pict>
          <v:rect style="width:0;height:1.5pt" o:hralign="center" o:hrstd="t" o:hr="t"/>
        </w:pict>
      </w:r>
    </w:p>
    <w:p>
      <w:pPr>
        <w:pStyle w:val="FirstParagraph"/>
      </w:pPr>
      <w:r>
        <w:rPr>
          <w:b/>
          <w:bCs/>
        </w:rPr>
        <w:t xml:space="preserve">Q3. How do I send a receipt to a customer via WhatsApp?</w:t>
      </w:r>
    </w:p>
    <w:p>
      <w:pPr>
        <w:pStyle w:val="BodyText"/>
      </w:pPr>
      <w:r>
        <w:t xml:space="preserve">After completing a sale, tap or click</w:t>
      </w:r>
      <w:r>
        <w:t xml:space="preserve"> </w:t>
      </w:r>
      <w:r>
        <w:rPr>
          <w:b/>
          <w:bCs/>
        </w:rPr>
        <w:t xml:space="preserve">Resend Receipt</w:t>
      </w:r>
      <w:r>
        <w:t xml:space="preserve">, then select</w:t>
      </w:r>
      <w:r>
        <w:t xml:space="preserve"> </w:t>
      </w:r>
      <w:r>
        <w:rPr>
          <w:b/>
          <w:bCs/>
        </w:rPr>
        <w:t xml:space="preserve">WhatsApp</w:t>
      </w:r>
      <w:r>
        <w:t xml:space="preserve">. Enter the customer's phone number (including the country code, for example +256 for Uganda). Tap</w:t>
      </w:r>
      <w:r>
        <w:t xml:space="preserve"> </w:t>
      </w:r>
      <w:r>
        <w:rPr>
          <w:b/>
          <w:bCs/>
        </w:rPr>
        <w:t xml:space="preserve">Send</w:t>
      </w:r>
      <w:r>
        <w:t xml:space="preserve">. The customer receives a digital receipt via WhatsApp. This works whether you are online or offline — if offline, the WhatsApp message is queued and sent when connectivity returns.</w:t>
      </w:r>
    </w:p>
    <w:p>
      <w:r>
        <w:pict>
          <v:rect style="width:0;height:1.5pt" o:hralign="center" o:hrstd="t" o:hr="t"/>
        </w:pict>
      </w:r>
    </w:p>
    <w:p>
      <w:pPr>
        <w:pStyle w:val="FirstParagraph"/>
      </w:pPr>
      <w:r>
        <w:rPr>
          <w:b/>
          <w:bCs/>
        </w:rPr>
        <w:t xml:space="preserve">Q4. Can a sales agent sell products directly from the main warehouse, bypassing the agent stock system?</w:t>
      </w:r>
    </w:p>
    <w:p>
      <w:pPr>
        <w:pStyle w:val="BodyText"/>
      </w:pPr>
      <w:r>
        <w:t xml:space="preserve">No. Agent sales always come from the agent's own virtual stock (the agent stock ledger), not from the warehouse stock. When the agent sells a product, the quantity is deducted from their personal stock balance, not from the warehouse. This separation is a core system rule (BR-001) and cannot be bypassed. If an agent needs more stock, the Store Manager must issue it from the warehouse to the agent's stock account first.</w:t>
      </w:r>
    </w:p>
    <w:p>
      <w:r>
        <w:pict>
          <v:rect style="width:0;height:1.5pt" o:hralign="center" o:hrstd="t" o:hr="t"/>
        </w:pict>
      </w:r>
    </w:p>
    <w:p>
      <w:pPr>
        <w:pStyle w:val="FirstParagraph"/>
      </w:pPr>
      <w:r>
        <w:rPr>
          <w:b/>
          <w:bCs/>
        </w:rPr>
        <w:t xml:space="preserve">Q5. What if I void a sale by mistake?</w:t>
      </w:r>
    </w:p>
    <w:p>
      <w:pPr>
        <w:pStyle w:val="BodyText"/>
      </w:pPr>
      <w:r>
        <w:t xml:space="preserve">A void cannot be undone once confirmed. The voided receipt retains its receipt number and is marked VOID in the system — receipt numbers are never reused. The stock is returned to inventory automatically. If the customer still wants the products, open a new sale. If the void was in error and has already been confirmed, contact the Finance Manager. They can review the voided transaction in the audit log and, if appropriate, process a correction. Voiding a sale creates a full audit record showing who voided it and when.</w:t>
      </w:r>
    </w:p>
    <w:p>
      <w:r>
        <w:pict>
          <v:rect style="width:0;height:1.5pt" o:hralign="center" o:hrstd="t" o:hr="t"/>
        </w:pict>
      </w:r>
    </w:p>
    <w:p>
      <w:pPr>
        <w:pStyle w:val="FirstParagraph"/>
      </w:pPr>
      <w:r>
        <w:rPr>
          <w:b/>
          <w:bCs/>
        </w:rPr>
        <w:t xml:space="preserve">Q6. What is the Fiscal Document Number (FDN) on a receipt, and why does it matter?</w:t>
      </w:r>
    </w:p>
    <w:p>
      <w:pPr>
        <w:pStyle w:val="BodyText"/>
      </w:pPr>
      <w:r>
        <w:t xml:space="preserve">The Fiscal Document Number is the unique reference number that Uganda Revenue Authority's EFRIS system assigns to every sale. It confirms that the sale has been officially recorded with URA for tax purposes. Every receipt or invoice printed by the BIRDC ERP includes an FDN and a QR code. If URA or an auditor queries a transaction, the FDN is used to look it up. If a receipt shows "FDN: Pending", it means the internet was down when the sale was made. The FDN will appear on the receipt once the sale syncs with EFRIS.</w:t>
      </w:r>
    </w:p>
    <w:p>
      <w:r>
        <w:pict>
          <v:rect style="width:0;height:1.5pt" o:hralign="center" o:hrstd="t" o:hr="t"/>
        </w:pict>
      </w:r>
    </w:p>
    <w:p>
      <w:pPr>
        <w:pStyle w:val="FirstParagraph"/>
      </w:pPr>
      <w:r>
        <w:rPr>
          <w:b/>
          <w:bCs/>
        </w:rPr>
        <w:t xml:space="preserve">Q7. Can I process a split payment — part cash and part mobile money?</w:t>
      </w:r>
    </w:p>
    <w:p>
      <w:pPr>
        <w:pStyle w:val="BodyText"/>
      </w:pPr>
      <w:r>
        <w:t xml:space="preserve">Yes. At the payment screen, select the first payment method (for example, Cash) and enter the amount the customer is paying in cash. Then tap</w:t>
      </w:r>
      <w:r>
        <w:t xml:space="preserve"> </w:t>
      </w:r>
      <w:r>
        <w:rPr>
          <w:b/>
          <w:bCs/>
        </w:rPr>
        <w:t xml:space="preserve">Add Payment Method</w:t>
      </w:r>
      <w:r>
        <w:t xml:space="preserve">, select</w:t>
      </w:r>
      <w:r>
        <w:t xml:space="preserve"> </w:t>
      </w:r>
      <w:r>
        <w:rPr>
          <w:b/>
          <w:bCs/>
        </w:rPr>
        <w:t xml:space="preserve">MTN MoMo</w:t>
      </w:r>
      <w:r>
        <w:t xml:space="preserve"> </w:t>
      </w:r>
      <w:r>
        <w:t xml:space="preserve">or</w:t>
      </w:r>
      <w:r>
        <w:t xml:space="preserve"> </w:t>
      </w:r>
      <w:r>
        <w:rPr>
          <w:b/>
          <w:bCs/>
        </w:rPr>
        <w:t xml:space="preserve">Airtel Money</w:t>
      </w:r>
      <w:r>
        <w:t xml:space="preserve">, and enter the remaining amount. The system accepts multiple payment methods on a single sale. The receipt shows each payment method and amount separately.</w:t>
      </w:r>
    </w:p>
    <w:bookmarkEnd w:id="21"/>
    <w:bookmarkStart w:id="22" w:name="topic-2-agent-and-remittance"/>
    <w:p>
      <w:pPr>
        <w:pStyle w:val="Heading1"/>
      </w:pPr>
      <w:r>
        <w:t xml:space="preserve">Topic 2: Agent and Remittance</w:t>
      </w:r>
    </w:p>
    <w:p>
      <w:r>
        <w:pict>
          <v:rect style="width:0;height:1.5pt" o:hralign="center" o:hrstd="t" o:hr="t"/>
        </w:pict>
      </w:r>
    </w:p>
    <w:p>
      <w:pPr>
        <w:pStyle w:val="FirstParagraph"/>
      </w:pPr>
      <w:r>
        <w:rPr>
          <w:b/>
          <w:bCs/>
        </w:rPr>
        <w:t xml:space="preserve">Q8. Why is my agent cash balance different from what I calculated manually?</w:t>
      </w:r>
    </w:p>
    <w:p>
      <w:pPr>
        <w:pStyle w:val="BodyText"/>
      </w:pPr>
      <w:r>
        <w:t xml:space="preserve">The most common reason is that one or more of your remittances are submitted but not yet verified by a supervisor. A remittance you submitted only reduces your cash balance after a supervisor confirms it. Check the</w:t>
      </w:r>
      <w:r>
        <w:t xml:space="preserve"> </w:t>
      </w:r>
      <w:r>
        <w:rPr>
          <w:b/>
          <w:bCs/>
        </w:rPr>
        <w:t xml:space="preserve">Remittance History</w:t>
      </w:r>
      <w:r>
        <w:t xml:space="preserve"> </w:t>
      </w:r>
      <w:r>
        <w:t xml:space="preserve">screen in the Sales Agent App — look for remittances with a status of "Pending Verification." Once a supervisor verifies them, your balance will update. If the discrepancy remains after all your remittances are verified, contact the Finance Manager with a screenshot of your balance screen and your manual calculation for reconciliation.</w:t>
      </w:r>
    </w:p>
    <w:p>
      <w:r>
        <w:pict>
          <v:rect style="width:0;height:1.5pt" o:hralign="center" o:hrstd="t" o:hr="t"/>
        </w:pict>
      </w:r>
    </w:p>
    <w:p>
      <w:pPr>
        <w:pStyle w:val="FirstParagraph"/>
      </w:pPr>
      <w:r>
        <w:rPr>
          <w:b/>
          <w:bCs/>
        </w:rPr>
        <w:t xml:space="preserve">Q9. Why was my remittance allocated to an old invoice I thought was already cleared?</w:t>
      </w:r>
    </w:p>
    <w:p>
      <w:pPr>
        <w:pStyle w:val="BodyText"/>
      </w:pPr>
      <w:r>
        <w:t xml:space="preserve">The system allocates remittances using a strict rule called FIFO — First In, First Out. This means your remittance is always applied to the oldest outstanding invoice first, regardless of which invoice you think it should clear. If you believed an invoice was cleared but still see a balance, it is likely that an earlier invoice had a remaining unpaid amount that was cleared first. Open the</w:t>
      </w:r>
      <w:r>
        <w:t xml:space="preserve"> </w:t>
      </w:r>
      <w:r>
        <w:rPr>
          <w:b/>
          <w:bCs/>
        </w:rPr>
        <w:t xml:space="preserve">Remittance History</w:t>
      </w:r>
      <w:r>
        <w:t xml:space="preserve"> </w:t>
      </w:r>
      <w:r>
        <w:t xml:space="preserve">screen and tap on the remittance to see the exact allocation breakdown. If you believe there is an error, contact the Finance Manager with the remittance reference number.</w:t>
      </w:r>
    </w:p>
    <w:p>
      <w:r>
        <w:pict>
          <v:rect style="width:0;height:1.5pt" o:hralign="center" o:hrstd="t" o:hr="t"/>
        </w:pict>
      </w:r>
    </w:p>
    <w:p>
      <w:pPr>
        <w:pStyle w:val="FirstParagraph"/>
      </w:pPr>
      <w:r>
        <w:rPr>
          <w:b/>
          <w:bCs/>
        </w:rPr>
        <w:t xml:space="preserve">Q10. How do I increase an agent's stock float limit?</w:t>
      </w:r>
    </w:p>
    <w:p>
      <w:pPr>
        <w:pStyle w:val="BodyText"/>
      </w:pPr>
      <w:r>
        <w:t xml:space="preserve">Only the Sales Manager can change an agent's float limit. The Sales Manager should:</w:t>
      </w:r>
    </w:p>
    <w:p>
      <w:pPr>
        <w:pStyle w:val="Compact"/>
        <w:numPr>
          <w:ilvl w:val="0"/>
          <w:numId w:val="1002"/>
        </w:numPr>
      </w:pPr>
      <w:r>
        <w:t xml:space="preserve">Log in to the web application.</w:t>
      </w:r>
    </w:p>
    <w:p>
      <w:pPr>
        <w:pStyle w:val="Compact"/>
        <w:numPr>
          <w:ilvl w:val="0"/>
          <w:numId w:val="1002"/>
        </w:numPr>
      </w:pPr>
      <w:r>
        <w:t xml:space="preserve">Click</w:t>
      </w:r>
      <w:r>
        <w:t xml:space="preserve"> </w:t>
      </w:r>
      <w:r>
        <w:rPr>
          <w:b/>
          <w:bCs/>
        </w:rPr>
        <w:t xml:space="preserve">Sales</w:t>
      </w:r>
      <w:r>
        <w:t xml:space="preserve"> </w:t>
      </w:r>
      <w:r>
        <w:t xml:space="preserve">then</w:t>
      </w:r>
      <w:r>
        <w:t xml:space="preserve"> </w:t>
      </w:r>
      <w:r>
        <w:rPr>
          <w:b/>
          <w:bCs/>
        </w:rPr>
        <w:t xml:space="preserve">Agent Management</w:t>
      </w:r>
      <w:r>
        <w:t xml:space="preserve">.</w:t>
      </w:r>
    </w:p>
    <w:p>
      <w:pPr>
        <w:pStyle w:val="Compact"/>
        <w:numPr>
          <w:ilvl w:val="0"/>
          <w:numId w:val="1002"/>
        </w:numPr>
      </w:pPr>
      <w:r>
        <w:t xml:space="preserve">Search for and open the agent's record.</w:t>
      </w:r>
    </w:p>
    <w:p>
      <w:pPr>
        <w:pStyle w:val="Compact"/>
        <w:numPr>
          <w:ilvl w:val="0"/>
          <w:numId w:val="1002"/>
        </w:numPr>
      </w:pPr>
      <w:r>
        <w:t xml:space="preserve">Click</w:t>
      </w:r>
      <w:r>
        <w:t xml:space="preserve"> </w:t>
      </w:r>
      <w:r>
        <w:rPr>
          <w:b/>
          <w:bCs/>
        </w:rPr>
        <w:t xml:space="preserve">Edit</w:t>
      </w:r>
      <w:r>
        <w:t xml:space="preserve"> </w:t>
      </w:r>
      <w:r>
        <w:t xml:space="preserve">and update the</w:t>
      </w:r>
      <w:r>
        <w:t xml:space="preserve"> </w:t>
      </w:r>
      <w:r>
        <w:rPr>
          <w:b/>
          <w:bCs/>
        </w:rPr>
        <w:t xml:space="preserve">Stock Float Limit</w:t>
      </w:r>
      <w:r>
        <w:t xml:space="preserve"> </w:t>
      </w:r>
      <w:r>
        <w:t xml:space="preserve">field.</w:t>
      </w:r>
    </w:p>
    <w:p>
      <w:pPr>
        <w:pStyle w:val="Compact"/>
        <w:numPr>
          <w:ilvl w:val="0"/>
          <w:numId w:val="1002"/>
        </w:numPr>
      </w:pPr>
      <w:r>
        <w:t xml:space="preserve">Click</w:t>
      </w:r>
      <w:r>
        <w:t xml:space="preserve"> </w:t>
      </w:r>
      <w:r>
        <w:rPr>
          <w:b/>
          <w:bCs/>
        </w:rPr>
        <w:t xml:space="preserve">Save</w:t>
      </w:r>
      <w:r>
        <w:t xml:space="preserve">.</w:t>
      </w:r>
    </w:p>
    <w:p>
      <w:pPr>
        <w:pStyle w:val="FirstParagraph"/>
      </w:pPr>
      <w:r>
        <w:t xml:space="preserve">The new limit takes effect immediately. Stock issuance that was previously blocked will be allowed once the limit is increased.</w:t>
      </w:r>
    </w:p>
    <w:p>
      <w:r>
        <w:pict>
          <v:rect style="width:0;height:1.5pt" o:hralign="center" o:hrstd="t" o:hr="t"/>
        </w:pict>
      </w:r>
    </w:p>
    <w:p>
      <w:pPr>
        <w:pStyle w:val="FirstParagraph"/>
      </w:pPr>
      <w:r>
        <w:rPr>
          <w:b/>
          <w:bCs/>
        </w:rPr>
        <w:t xml:space="preserve">Q11. What happens when an agent is suspended?</w:t>
      </w:r>
    </w:p>
    <w:p>
      <w:pPr>
        <w:pStyle w:val="BodyText"/>
      </w:pPr>
      <w:r>
        <w:t xml:space="preserve">When the Sales Manager suspends an agent's account:</w:t>
      </w:r>
    </w:p>
    <w:p>
      <w:pPr>
        <w:pStyle w:val="Compact"/>
        <w:numPr>
          <w:ilvl w:val="0"/>
          <w:numId w:val="1003"/>
        </w:numPr>
      </w:pPr>
      <w:r>
        <w:t xml:space="preserve">The agent cannot log in to the Sales Agent App.</w:t>
      </w:r>
    </w:p>
    <w:p>
      <w:pPr>
        <w:pStyle w:val="Compact"/>
        <w:numPr>
          <w:ilvl w:val="0"/>
          <w:numId w:val="1003"/>
        </w:numPr>
      </w:pPr>
      <w:r>
        <w:t xml:space="preserve">No new stock can be issued to the agent.</w:t>
      </w:r>
    </w:p>
    <w:p>
      <w:pPr>
        <w:pStyle w:val="Compact"/>
        <w:numPr>
          <w:ilvl w:val="0"/>
          <w:numId w:val="1003"/>
        </w:numPr>
      </w:pPr>
      <w:r>
        <w:t xml:space="preserve">Existing sales already recorded on the agent's phone will still sync when connectivity is available.</w:t>
      </w:r>
    </w:p>
    <w:p>
      <w:pPr>
        <w:pStyle w:val="Compact"/>
        <w:numPr>
          <w:ilvl w:val="0"/>
          <w:numId w:val="1003"/>
        </w:numPr>
      </w:pPr>
      <w:r>
        <w:t xml:space="preserve">The agent's outstanding cash balance remains on record and must be settled before the account can be reactivated.</w:t>
      </w:r>
    </w:p>
    <w:p>
      <w:pPr>
        <w:pStyle w:val="FirstParagraph"/>
      </w:pPr>
      <w:r>
        <w:t xml:space="preserve">To reactivate a suspended agent, the Sales Manager opens the agent's record and changes the status from</w:t>
      </w:r>
      <w:r>
        <w:t xml:space="preserve"> </w:t>
      </w:r>
      <w:r>
        <w:rPr>
          <w:b/>
          <w:bCs/>
        </w:rPr>
        <w:t xml:space="preserve">Suspended</w:t>
      </w:r>
      <w:r>
        <w:t xml:space="preserve"> </w:t>
      </w:r>
      <w:r>
        <w:t xml:space="preserve">to</w:t>
      </w:r>
      <w:r>
        <w:t xml:space="preserve"> </w:t>
      </w:r>
      <w:r>
        <w:rPr>
          <w:b/>
          <w:bCs/>
        </w:rPr>
        <w:t xml:space="preserve">Active</w:t>
      </w:r>
      <w:r>
        <w:t xml:space="preserve">. This requires Finance Manager co-approval if the agent's outstanding balance exceeds their configured credit threshold.</w:t>
      </w:r>
    </w:p>
    <w:p>
      <w:r>
        <w:pict>
          <v:rect style="width:0;height:1.5pt" o:hralign="center" o:hrstd="t" o:hr="t"/>
        </w:pict>
      </w:r>
    </w:p>
    <w:p>
      <w:pPr>
        <w:pStyle w:val="FirstParagraph"/>
      </w:pPr>
      <w:r>
        <w:rPr>
          <w:b/>
          <w:bCs/>
        </w:rPr>
        <w:t xml:space="preserve">Q12. Why does my commission statement show zero for some months?</w:t>
      </w:r>
    </w:p>
    <w:p>
      <w:pPr>
        <w:pStyle w:val="BodyText"/>
      </w:pPr>
      <w:r>
        <w:t xml:space="preserve">Commission only accrues on verified sales. If your remittances for that month were submitted but not verified by a supervisor, no commission is generated. Check the remittance status for that month in the</w:t>
      </w:r>
      <w:r>
        <w:t xml:space="preserve"> </w:t>
      </w:r>
      <w:r>
        <w:rPr>
          <w:b/>
          <w:bCs/>
        </w:rPr>
        <w:t xml:space="preserve">Remittance History</w:t>
      </w:r>
      <w:r>
        <w:t xml:space="preserve"> </w:t>
      </w:r>
      <w:r>
        <w:t xml:space="preserve">screen. Remittances marked "Pending Verification" have not generated commission. Once a supervisor verifies them, the commission will appear on your next statement. Commission is never backdated manually — it is calculated automatically when verification happens, regardless of when that verification takes place.</w:t>
      </w:r>
    </w:p>
    <w:p>
      <w:r>
        <w:pict>
          <v:rect style="width:0;height:1.5pt" o:hralign="center" o:hrstd="t" o:hr="t"/>
        </w:pict>
      </w:r>
    </w:p>
    <w:p>
      <w:pPr>
        <w:pStyle w:val="FirstParagraph"/>
      </w:pPr>
      <w:r>
        <w:rPr>
          <w:b/>
          <w:bCs/>
        </w:rPr>
        <w:t xml:space="preserve">Q13. Can an agent see another agent's cash balance?</w:t>
      </w:r>
    </w:p>
    <w:p>
      <w:pPr>
        <w:pStyle w:val="BodyText"/>
      </w:pPr>
      <w:r>
        <w:t xml:space="preserve">No. Each agent can only see their own cash balance, stock balance, and commission statement. The Sales Manager and Finance Manager can see all agents' balances across the full network.</w:t>
      </w:r>
    </w:p>
    <w:bookmarkEnd w:id="22"/>
    <w:bookmarkStart w:id="23" w:name="topic-3-finance-and-accounting"/>
    <w:p>
      <w:pPr>
        <w:pStyle w:val="Heading1"/>
      </w:pPr>
      <w:r>
        <w:t xml:space="preserve">Topic 3: Finance and Accounting</w:t>
      </w:r>
    </w:p>
    <w:p>
      <w:r>
        <w:pict>
          <v:rect style="width:0;height:1.5pt" o:hralign="center" o:hrstd="t" o:hr="t"/>
        </w:pict>
      </w:r>
    </w:p>
    <w:p>
      <w:pPr>
        <w:pStyle w:val="FirstParagraph"/>
      </w:pPr>
      <w:r>
        <w:rPr>
          <w:b/>
          <w:bCs/>
        </w:rPr>
        <w:t xml:space="preserve">Q14. Can I edit a journal entry after it has been posted?</w:t>
      </w:r>
    </w:p>
    <w:p>
      <w:pPr>
        <w:pStyle w:val="BodyText"/>
      </w:pPr>
      <w:r>
        <w:t xml:space="preserve">No. A posted journal entry cannot be edited or deleted. This is a fundamental control required by Uganda Companies Act and the BIRDC design covenant (DC-003). The General Ledger uses a cryptographic hash chain — any modification to a posted entry would break the chain and be immediately detectable by the system and by auditors. If a posted journal entry contains an error, the correct approach is to create a reversing entry (a new journal entry that cancels the original) and then post the correct entry. The Finance Director approves both entries. The original entry and the correction remain permanently visible in the audit trail.</w:t>
      </w:r>
    </w:p>
    <w:p>
      <w:r>
        <w:pict>
          <v:rect style="width:0;height:1.5pt" o:hralign="center" o:hrstd="t" o:hr="t"/>
        </w:pict>
      </w:r>
    </w:p>
    <w:p>
      <w:pPr>
        <w:pStyle w:val="FirstParagraph"/>
      </w:pPr>
      <w:r>
        <w:rPr>
          <w:b/>
          <w:bCs/>
        </w:rPr>
        <w:t xml:space="preserve">Q15. How do I view PIBID parliamentary accounts separately from BIRDC commercial accounts?</w:t>
      </w:r>
    </w:p>
    <w:p>
      <w:pPr>
        <w:pStyle w:val="BodyText"/>
      </w:pPr>
      <w:r>
        <w:t xml:space="preserve">The system supports three viewing modes for all financial reports:</w:t>
      </w:r>
    </w:p>
    <w:p>
      <w:pPr>
        <w:pStyle w:val="Compact"/>
        <w:numPr>
          <w:ilvl w:val="0"/>
          <w:numId w:val="1004"/>
        </w:numPr>
      </w:pPr>
      <w:r>
        <w:rPr>
          <w:b/>
          <w:bCs/>
        </w:rPr>
        <w:t xml:space="preserve">PIBID Parliamentary:</w:t>
      </w:r>
      <w:r>
        <w:t xml:space="preserve"> </w:t>
      </w:r>
      <w:r>
        <w:t xml:space="preserve">shows only PIBID government accounts, budget votes, and parliamentary expenditure.</w:t>
      </w:r>
    </w:p>
    <w:p>
      <w:pPr>
        <w:pStyle w:val="Compact"/>
        <w:numPr>
          <w:ilvl w:val="0"/>
          <w:numId w:val="1004"/>
        </w:numPr>
      </w:pPr>
      <w:r>
        <w:rPr>
          <w:b/>
          <w:bCs/>
        </w:rPr>
        <w:t xml:space="preserve">BIRDC Commercial:</w:t>
      </w:r>
      <w:r>
        <w:t xml:space="preserve"> </w:t>
      </w:r>
      <w:r>
        <w:t xml:space="preserve">shows only BIRDC IFRS commercial accounts.</w:t>
      </w:r>
    </w:p>
    <w:p>
      <w:pPr>
        <w:pStyle w:val="Compact"/>
        <w:numPr>
          <w:ilvl w:val="0"/>
          <w:numId w:val="1004"/>
        </w:numPr>
      </w:pPr>
      <w:r>
        <w:rPr>
          <w:b/>
          <w:bCs/>
        </w:rPr>
        <w:t xml:space="preserve">Consolidated:</w:t>
      </w:r>
      <w:r>
        <w:t xml:space="preserve"> </w:t>
      </w:r>
      <w:r>
        <w:t xml:space="preserve">shows both side by side, clearly labelled.</w:t>
      </w:r>
    </w:p>
    <w:p>
      <w:pPr>
        <w:pStyle w:val="FirstParagraph"/>
      </w:pPr>
      <w:r>
        <w:t xml:space="preserve">To switch modes, go to any financial report (Trial Balance, P&amp;L, Balance Sheet) and use the</w:t>
      </w:r>
      <w:r>
        <w:t xml:space="preserve"> </w:t>
      </w:r>
      <w:r>
        <w:rPr>
          <w:b/>
          <w:bCs/>
        </w:rPr>
        <w:t xml:space="preserve">Accounting Mode</w:t>
      </w:r>
      <w:r>
        <w:t xml:space="preserve"> </w:t>
      </w:r>
      <w:r>
        <w:t xml:space="preserve">selector at the top of the report screen. The Finance Director can run both modes simultaneously in two browser tabs.</w:t>
      </w:r>
    </w:p>
    <w:p>
      <w:r>
        <w:pict>
          <v:rect style="width:0;height:1.5pt" o:hralign="center" o:hrstd="t" o:hr="t"/>
        </w:pict>
      </w:r>
    </w:p>
    <w:p>
      <w:pPr>
        <w:pStyle w:val="FirstParagraph"/>
      </w:pPr>
      <w:r>
        <w:rPr>
          <w:b/>
          <w:bCs/>
        </w:rPr>
        <w:t xml:space="preserve">Q16. What does the hash chain integrity check do?</w:t>
      </w:r>
    </w:p>
    <w:p>
      <w:pPr>
        <w:pStyle w:val="BodyText"/>
      </w:pPr>
      <w:r>
        <w:t xml:space="preserve">The hash chain integrity check verifies that no General Ledger entry has been tampered with since it was posted. Every GL entry references a cryptographic fingerprint (hash) of the previous entry. If any historical record is changed — even by a direct database edit — the chain breaks at that point. To run the check:</w:t>
      </w:r>
    </w:p>
    <w:p>
      <w:pPr>
        <w:pStyle w:val="Compact"/>
        <w:numPr>
          <w:ilvl w:val="0"/>
          <w:numId w:val="1005"/>
        </w:numPr>
      </w:pPr>
      <w:r>
        <w:t xml:space="preserve">Click</w:t>
      </w:r>
      <w:r>
        <w:t xml:space="preserve"> </w:t>
      </w:r>
      <w:r>
        <w:rPr>
          <w:b/>
          <w:bCs/>
        </w:rPr>
        <w:t xml:space="preserve">Finance</w:t>
      </w:r>
      <w:r>
        <w:t xml:space="preserve"> </w:t>
      </w:r>
      <w:r>
        <w:t xml:space="preserve">then</w:t>
      </w:r>
      <w:r>
        <w:t xml:space="preserve"> </w:t>
      </w:r>
      <w:r>
        <w:rPr>
          <w:b/>
          <w:bCs/>
        </w:rPr>
        <w:t xml:space="preserve">Audit</w:t>
      </w:r>
      <w:r>
        <w:t xml:space="preserve"> </w:t>
      </w:r>
      <w:r>
        <w:t xml:space="preserve">then</w:t>
      </w:r>
      <w:r>
        <w:t xml:space="preserve"> </w:t>
      </w:r>
      <w:r>
        <w:rPr>
          <w:b/>
          <w:bCs/>
        </w:rPr>
        <w:t xml:space="preserve">Hash Chain Integrity Check</w:t>
      </w:r>
      <w:r>
        <w:t xml:space="preserve">.</w:t>
      </w:r>
    </w:p>
    <w:p>
      <w:pPr>
        <w:pStyle w:val="Compact"/>
        <w:numPr>
          <w:ilvl w:val="0"/>
          <w:numId w:val="1005"/>
        </w:numPr>
      </w:pPr>
      <w:r>
        <w:t xml:space="preserve">Click</w:t>
      </w:r>
      <w:r>
        <w:t xml:space="preserve"> </w:t>
      </w:r>
      <w:r>
        <w:rPr>
          <w:b/>
          <w:bCs/>
        </w:rPr>
        <w:t xml:space="preserve">Run Check</w:t>
      </w:r>
      <w:r>
        <w:t xml:space="preserve">.</w:t>
      </w:r>
    </w:p>
    <w:p>
      <w:pPr>
        <w:pStyle w:val="Compact"/>
        <w:numPr>
          <w:ilvl w:val="0"/>
          <w:numId w:val="1005"/>
        </w:numPr>
      </w:pPr>
      <w:r>
        <w:t xml:space="preserve">The system scans all GL entries and reports either "Chain Intact — all records verified" or lists the specific entries where the chain is broken.</w:t>
      </w:r>
    </w:p>
    <w:p>
      <w:pPr>
        <w:pStyle w:val="FirstParagraph"/>
      </w:pPr>
      <w:r>
        <w:t xml:space="preserve">The Finance Director or external auditor (OAG Uganda) can run this check at any time without notice. A broken chain is a serious audit finding and must be investigated immediately.</w:t>
      </w:r>
    </w:p>
    <w:p>
      <w:r>
        <w:pict>
          <v:rect style="width:0;height:1.5pt" o:hralign="center" o:hrstd="t" o:hr="t"/>
        </w:pict>
      </w:r>
    </w:p>
    <w:p>
      <w:pPr>
        <w:pStyle w:val="FirstParagraph"/>
      </w:pPr>
      <w:r>
        <w:rPr>
          <w:b/>
          <w:bCs/>
        </w:rPr>
        <w:t xml:space="preserve">Q17. Can I post to a closed accounting period?</w:t>
      </w:r>
    </w:p>
    <w:p>
      <w:pPr>
        <w:pStyle w:val="BodyText"/>
      </w:pPr>
      <w:r>
        <w:t xml:space="preserve">No. Once an accounting period is closed, no journal entries can be posted to it. This protects the integrity of approved financial statements. If you need to correct an entry in a closed period, the Finance Director must approve a manual adjustment in the current open period with a clear description referencing the original transaction date. The adjustment is visible in both the current period and in the audit trail cross-referencing the original period.</w:t>
      </w:r>
    </w:p>
    <w:p>
      <w:r>
        <w:pict>
          <v:rect style="width:0;height:1.5pt" o:hralign="center" o:hrstd="t" o:hr="t"/>
        </w:pict>
      </w:r>
    </w:p>
    <w:p>
      <w:pPr>
        <w:pStyle w:val="FirstParagraph"/>
      </w:pPr>
      <w:r>
        <w:rPr>
          <w:b/>
          <w:bCs/>
        </w:rPr>
        <w:t xml:space="preserve">Q18. Why does the system show two different profit figures — one parliamentary and one commercial?</w:t>
      </w:r>
    </w:p>
    <w:p>
      <w:pPr>
        <w:pStyle w:val="BodyText"/>
      </w:pPr>
      <w:r>
        <w:t xml:space="preserve">PIBID parliamentary accounts follow government accounting rules (budget vs. expenditure reporting to Parliament). BIRDC commercial accounts follow International Financial Reporting Standards (IFRS) for the commercial operation. The two sets of accounts have different chart structures, different period ends, and different reporting purposes. Both are maintained in the same system simultaneously. The "profit" shown in parliamentary mode is a budget surplus or deficit against the parliamentary vote. The "profit" in commercial mode is the commercial net income per IFRS. Neither figure is wrong — they measure different things.</w:t>
      </w:r>
    </w:p>
    <w:p>
      <w:r>
        <w:pict>
          <v:rect style="width:0;height:1.5pt" o:hralign="center" o:hrstd="t" o:hr="t"/>
        </w:pict>
      </w:r>
    </w:p>
    <w:p>
      <w:pPr>
        <w:pStyle w:val="FirstParagraph"/>
      </w:pPr>
      <w:r>
        <w:rPr>
          <w:b/>
          <w:bCs/>
        </w:rPr>
        <w:t xml:space="preserve">Q19. How do I run the GL hash chain check to satisfy an OAG audit request?</w:t>
      </w:r>
    </w:p>
    <w:p>
      <w:pPr>
        <w:pStyle w:val="BodyText"/>
      </w:pPr>
      <w:r>
        <w:t xml:space="preserve">See Q16 above. The Finance Director or IT Administrator runs the check from</w:t>
      </w:r>
      <w:r>
        <w:t xml:space="preserve"> </w:t>
      </w:r>
      <w:r>
        <w:rPr>
          <w:b/>
          <w:bCs/>
        </w:rPr>
        <w:t xml:space="preserve">Finance → Audit → Hash Chain Integrity Check</w:t>
      </w:r>
      <w:r>
        <w:t xml:space="preserve">. The result can be exported to PDF for inclusion in the audit file. The PDF includes the timestamp, the user who ran the check, the number of entries scanned, and the result (intact or broken, with details).</w:t>
      </w:r>
    </w:p>
    <w:bookmarkEnd w:id="23"/>
    <w:bookmarkStart w:id="24" w:name="topic-4-payroll"/>
    <w:p>
      <w:pPr>
        <w:pStyle w:val="Heading1"/>
      </w:pPr>
      <w:r>
        <w:t xml:space="preserve">Topic 4: Payroll</w:t>
      </w:r>
    </w:p>
    <w:p>
      <w:r>
        <w:pict>
          <v:rect style="width:0;height:1.5pt" o:hralign="center" o:hrstd="t" o:hr="t"/>
        </w:pict>
      </w:r>
    </w:p>
    <w:p>
      <w:pPr>
        <w:pStyle w:val="FirstParagraph"/>
      </w:pPr>
      <w:r>
        <w:rPr>
          <w:b/>
          <w:bCs/>
        </w:rPr>
        <w:t xml:space="preserve">Q20. Why can't I edit the approved payroll run?</w:t>
      </w:r>
    </w:p>
    <w:p>
      <w:pPr>
        <w:pStyle w:val="BodyText"/>
      </w:pPr>
      <w:r>
        <w:t xml:space="preserve">Once the Finance Manager approves and locks a payroll run, it is permanently immutable. This is a legal and audit control (BR-010). The approved payroll run is the authoritative record of what each employee was paid that month — it cannot be changed because it feeds directly into PAYE remittance to URA, NSSF returns, and the General Ledger. The lock record shows the approver's name and the exact time of approval. Any attempt to unlock or edit a locked payroll is blocked at the system level and flagged in the audit trail.</w:t>
      </w:r>
    </w:p>
    <w:p>
      <w:r>
        <w:pict>
          <v:rect style="width:0;height:1.5pt" o:hralign="center" o:hrstd="t" o:hr="t"/>
        </w:pict>
      </w:r>
    </w:p>
    <w:p>
      <w:pPr>
        <w:pStyle w:val="FirstParagraph"/>
      </w:pPr>
      <w:r>
        <w:rPr>
          <w:b/>
          <w:bCs/>
        </w:rPr>
        <w:t xml:space="preserve">Q21. How do I correct a payroll error from a previous month?</w:t>
      </w:r>
    </w:p>
    <w:p>
      <w:pPr>
        <w:pStyle w:val="BodyText"/>
      </w:pPr>
      <w:r>
        <w:t xml:space="preserve">You cannot modify the original payroll run. Process a correction run in the current payroll period:</w:t>
      </w:r>
    </w:p>
    <w:p>
      <w:pPr>
        <w:pStyle w:val="Compact"/>
        <w:numPr>
          <w:ilvl w:val="0"/>
          <w:numId w:val="1006"/>
        </w:numPr>
      </w:pPr>
      <w:r>
        <w:t xml:space="preserve">Click</w:t>
      </w:r>
      <w:r>
        <w:t xml:space="preserve"> </w:t>
      </w:r>
      <w:r>
        <w:rPr>
          <w:b/>
          <w:bCs/>
        </w:rPr>
        <w:t xml:space="preserve">Payroll</w:t>
      </w:r>
      <w:r>
        <w:t xml:space="preserve"> </w:t>
      </w:r>
      <w:r>
        <w:t xml:space="preserve">then</w:t>
      </w:r>
      <w:r>
        <w:t xml:space="preserve"> </w:t>
      </w:r>
      <w:r>
        <w:rPr>
          <w:b/>
          <w:bCs/>
        </w:rPr>
        <w:t xml:space="preserve">Correction Run</w:t>
      </w:r>
      <w:r>
        <w:t xml:space="preserve">.</w:t>
      </w:r>
    </w:p>
    <w:p>
      <w:pPr>
        <w:pStyle w:val="Compact"/>
        <w:numPr>
          <w:ilvl w:val="0"/>
          <w:numId w:val="1006"/>
        </w:numPr>
      </w:pPr>
      <w:r>
        <w:t xml:space="preserve">Select the employee whose pay needs correcting.</w:t>
      </w:r>
    </w:p>
    <w:p>
      <w:pPr>
        <w:pStyle w:val="Compact"/>
        <w:numPr>
          <w:ilvl w:val="0"/>
          <w:numId w:val="1006"/>
        </w:numPr>
      </w:pPr>
      <w:r>
        <w:t xml:space="preserve">Enter the difference: if the employee was underpaid by UGX 50,000, enter +50,000. If overpaid, enter -50,000.</w:t>
      </w:r>
    </w:p>
    <w:p>
      <w:pPr>
        <w:pStyle w:val="Compact"/>
        <w:numPr>
          <w:ilvl w:val="0"/>
          <w:numId w:val="1006"/>
        </w:numPr>
      </w:pPr>
      <w:r>
        <w:t xml:space="preserve">Enter the reason for the correction.</w:t>
      </w:r>
    </w:p>
    <w:p>
      <w:pPr>
        <w:pStyle w:val="Compact"/>
        <w:numPr>
          <w:ilvl w:val="0"/>
          <w:numId w:val="1006"/>
        </w:numPr>
      </w:pPr>
      <w:r>
        <w:t xml:space="preserve">The correction run goes through the same approval process as a regular payroll run.</w:t>
      </w:r>
    </w:p>
    <w:p>
      <w:pPr>
        <w:pStyle w:val="Compact"/>
        <w:numPr>
          <w:ilvl w:val="0"/>
          <w:numId w:val="1006"/>
        </w:numPr>
      </w:pPr>
      <w:r>
        <w:t xml:space="preserve">Once approved, the correction amount is included in the employee's next payslip as a separate line item labelled "Payroll Correction — [Month]."</w:t>
      </w:r>
    </w:p>
    <w:p>
      <w:pPr>
        <w:pStyle w:val="FirstParagraph"/>
      </w:pPr>
      <w:r>
        <w:rPr>
          <w:i/>
          <w:iCs/>
        </w:rPr>
        <w:t xml:space="preserve">PAYE and NSSF on the correction are calculated in the current period, not retroactively. For large corrections that significantly affect tax liability, seek advice from the Finance Director.</w:t>
      </w:r>
    </w:p>
    <w:p>
      <w:r>
        <w:pict>
          <v:rect style="width:0;height:1.5pt" o:hralign="center" o:hrstd="t" o:hr="t"/>
        </w:pict>
      </w:r>
    </w:p>
    <w:p>
      <w:pPr>
        <w:pStyle w:val="FirstParagraph"/>
      </w:pPr>
      <w:r>
        <w:rPr>
          <w:b/>
          <w:bCs/>
        </w:rPr>
        <w:t xml:space="preserve">Q22. How do I update the PAYE tax bands when URA publishes new rates?</w:t>
      </w:r>
    </w:p>
    <w:p>
      <w:pPr>
        <w:pStyle w:val="BodyText"/>
      </w:pPr>
      <w:r>
        <w:t xml:space="preserve">The Finance Director updates PAYE tax bands directly in the system — no developer involvement is needed:</w:t>
      </w:r>
    </w:p>
    <w:p>
      <w:pPr>
        <w:pStyle w:val="Compact"/>
        <w:numPr>
          <w:ilvl w:val="0"/>
          <w:numId w:val="1007"/>
        </w:numPr>
      </w:pPr>
      <w:r>
        <w:t xml:space="preserve">Click</w:t>
      </w:r>
      <w:r>
        <w:t xml:space="preserve"> </w:t>
      </w:r>
      <w:r>
        <w:rPr>
          <w:b/>
          <w:bCs/>
        </w:rPr>
        <w:t xml:space="preserve">Payroll</w:t>
      </w:r>
      <w:r>
        <w:t xml:space="preserve"> </w:t>
      </w:r>
      <w:r>
        <w:t xml:space="preserve">then</w:t>
      </w:r>
      <w:r>
        <w:t xml:space="preserve"> </w:t>
      </w:r>
      <w:r>
        <w:rPr>
          <w:b/>
          <w:bCs/>
        </w:rPr>
        <w:t xml:space="preserve">PAYE Tax Bands</w:t>
      </w:r>
      <w:r>
        <w:t xml:space="preserve">.</w:t>
      </w:r>
    </w:p>
    <w:p>
      <w:pPr>
        <w:pStyle w:val="Compact"/>
        <w:numPr>
          <w:ilvl w:val="0"/>
          <w:numId w:val="1007"/>
        </w:numPr>
      </w:pPr>
      <w:r>
        <w:t xml:space="preserve">Click</w:t>
      </w:r>
      <w:r>
        <w:t xml:space="preserve"> </w:t>
      </w:r>
      <w:r>
        <w:rPr>
          <w:b/>
          <w:bCs/>
        </w:rPr>
        <w:t xml:space="preserve">Edit Bands</w:t>
      </w:r>
      <w:r>
        <w:t xml:space="preserve">.</w:t>
      </w:r>
    </w:p>
    <w:p>
      <w:pPr>
        <w:pStyle w:val="Compact"/>
        <w:numPr>
          <w:ilvl w:val="0"/>
          <w:numId w:val="1007"/>
        </w:numPr>
      </w:pPr>
      <w:r>
        <w:t xml:space="preserve">Update the income brackets and corresponding tax rates to match the URA published schedule.</w:t>
      </w:r>
    </w:p>
    <w:p>
      <w:pPr>
        <w:pStyle w:val="Compact"/>
        <w:numPr>
          <w:ilvl w:val="0"/>
          <w:numId w:val="1007"/>
        </w:numPr>
      </w:pPr>
      <w:r>
        <w:t xml:space="preserve">Set the</w:t>
      </w:r>
      <w:r>
        <w:t xml:space="preserve"> </w:t>
      </w:r>
      <w:r>
        <w:rPr>
          <w:b/>
          <w:bCs/>
        </w:rPr>
        <w:t xml:space="preserve">Effective From</w:t>
      </w:r>
      <w:r>
        <w:t xml:space="preserve"> </w:t>
      </w:r>
      <w:r>
        <w:t xml:space="preserve">date to the first day of the applicable period.</w:t>
      </w:r>
    </w:p>
    <w:p>
      <w:pPr>
        <w:pStyle w:val="Compact"/>
        <w:numPr>
          <w:ilvl w:val="0"/>
          <w:numId w:val="1007"/>
        </w:numPr>
      </w:pPr>
      <w:r>
        <w:t xml:space="preserve">Click</w:t>
      </w:r>
      <w:r>
        <w:t xml:space="preserve"> </w:t>
      </w:r>
      <w:r>
        <w:rPr>
          <w:b/>
          <w:bCs/>
        </w:rPr>
        <w:t xml:space="preserve">Save</w:t>
      </w:r>
      <w:r>
        <w:t xml:space="preserve">.</w:t>
      </w:r>
    </w:p>
    <w:p>
      <w:pPr>
        <w:pStyle w:val="FirstParagraph"/>
      </w:pPr>
      <w:r>
        <w:t xml:space="preserve">The updated bands apply automatically to all payroll runs processed on or after the effective date. Historical payroll runs are not affected.</w:t>
      </w:r>
    </w:p>
    <w:p>
      <w:r>
        <w:pict>
          <v:rect style="width:0;height:1.5pt" o:hralign="center" o:hrstd="t" o:hr="t"/>
        </w:pict>
      </w:r>
    </w:p>
    <w:p>
      <w:pPr>
        <w:pStyle w:val="FirstParagraph"/>
      </w:pPr>
      <w:r>
        <w:rPr>
          <w:b/>
          <w:bCs/>
        </w:rPr>
        <w:t xml:space="preserve">Q23. How do I add a new payroll element (for example, a new allowance)?</w:t>
      </w:r>
    </w:p>
    <w:p>
      <w:pPr>
        <w:pStyle w:val="BodyText"/>
      </w:pPr>
      <w:r>
        <w:t xml:space="preserve">The Finance Director or IT Administrator can add a new payroll element:</w:t>
      </w:r>
    </w:p>
    <w:p>
      <w:pPr>
        <w:pStyle w:val="Compact"/>
        <w:numPr>
          <w:ilvl w:val="0"/>
          <w:numId w:val="1008"/>
        </w:numPr>
      </w:pPr>
      <w:r>
        <w:t xml:space="preserve">Click</w:t>
      </w:r>
      <w:r>
        <w:t xml:space="preserve"> </w:t>
      </w:r>
      <w:r>
        <w:rPr>
          <w:b/>
          <w:bCs/>
        </w:rPr>
        <w:t xml:space="preserve">Payroll</w:t>
      </w:r>
      <w:r>
        <w:t xml:space="preserve"> </w:t>
      </w:r>
      <w:r>
        <w:t xml:space="preserve">then</w:t>
      </w:r>
      <w:r>
        <w:t xml:space="preserve"> </w:t>
      </w:r>
      <w:r>
        <w:rPr>
          <w:b/>
          <w:bCs/>
        </w:rPr>
        <w:t xml:space="preserve">Payroll Elements</w:t>
      </w:r>
      <w:r>
        <w:t xml:space="preserve">.</w:t>
      </w:r>
    </w:p>
    <w:p>
      <w:pPr>
        <w:pStyle w:val="Compact"/>
        <w:numPr>
          <w:ilvl w:val="0"/>
          <w:numId w:val="1008"/>
        </w:numPr>
      </w:pPr>
      <w:r>
        <w:t xml:space="preserve">Click</w:t>
      </w:r>
      <w:r>
        <w:t xml:space="preserve"> </w:t>
      </w:r>
      <w:r>
        <w:rPr>
          <w:b/>
          <w:bCs/>
        </w:rPr>
        <w:t xml:space="preserve">New Element</w:t>
      </w:r>
      <w:r>
        <w:t xml:space="preserve">.</w:t>
      </w:r>
    </w:p>
    <w:p>
      <w:pPr>
        <w:pStyle w:val="Compact"/>
        <w:numPr>
          <w:ilvl w:val="0"/>
          <w:numId w:val="1008"/>
        </w:numPr>
      </w:pPr>
      <w:r>
        <w:t xml:space="preserve">Enter the element name (for example, "Field Allowance").</w:t>
      </w:r>
    </w:p>
    <w:p>
      <w:pPr>
        <w:pStyle w:val="Compact"/>
        <w:numPr>
          <w:ilvl w:val="0"/>
          <w:numId w:val="1008"/>
        </w:numPr>
      </w:pPr>
      <w:r>
        <w:t xml:space="preserve">Select the type:</w:t>
      </w:r>
      <w:r>
        <w:t xml:space="preserve"> </w:t>
      </w:r>
      <w:r>
        <w:rPr>
          <w:b/>
          <w:bCs/>
        </w:rPr>
        <w:t xml:space="preserve">Earning</w:t>
      </w:r>
      <w:r>
        <w:t xml:space="preserve"> </w:t>
      </w:r>
      <w:r>
        <w:t xml:space="preserve">(adds to gross pay) or</w:t>
      </w:r>
      <w:r>
        <w:t xml:space="preserve"> </w:t>
      </w:r>
      <w:r>
        <w:rPr>
          <w:b/>
          <w:bCs/>
        </w:rPr>
        <w:t xml:space="preserve">Deduction</w:t>
      </w:r>
      <w:r>
        <w:t xml:space="preserve"> </w:t>
      </w:r>
      <w:r>
        <w:t xml:space="preserve">(reduces net pay).</w:t>
      </w:r>
    </w:p>
    <w:p>
      <w:pPr>
        <w:pStyle w:val="Compact"/>
        <w:numPr>
          <w:ilvl w:val="0"/>
          <w:numId w:val="1008"/>
        </w:numPr>
      </w:pPr>
      <w:r>
        <w:t xml:space="preserve">Set the calculation method: fixed amount, percentage of basic salary, or formula.</w:t>
      </w:r>
    </w:p>
    <w:p>
      <w:pPr>
        <w:pStyle w:val="Compact"/>
        <w:numPr>
          <w:ilvl w:val="0"/>
          <w:numId w:val="1008"/>
        </w:numPr>
      </w:pPr>
      <w:r>
        <w:t xml:space="preserve">Select the General Ledger account this element should post to (confirm the correct account with the Finance Director).</w:t>
      </w:r>
    </w:p>
    <w:p>
      <w:pPr>
        <w:pStyle w:val="Compact"/>
        <w:numPr>
          <w:ilvl w:val="0"/>
          <w:numId w:val="1008"/>
        </w:numPr>
      </w:pPr>
      <w:r>
        <w:t xml:space="preserve">Click</w:t>
      </w:r>
      <w:r>
        <w:t xml:space="preserve"> </w:t>
      </w:r>
      <w:r>
        <w:rPr>
          <w:b/>
          <w:bCs/>
        </w:rPr>
        <w:t xml:space="preserve">Save</w:t>
      </w:r>
      <w:r>
        <w:t xml:space="preserve">.</w:t>
      </w:r>
    </w:p>
    <w:p>
      <w:pPr>
        <w:pStyle w:val="Compact"/>
        <w:numPr>
          <w:ilvl w:val="0"/>
          <w:numId w:val="1008"/>
        </w:numPr>
      </w:pPr>
      <w:r>
        <w:t xml:space="preserve">On the next payroll run, assign the new element to the relevant employees from their individual employee records.</w:t>
      </w:r>
    </w:p>
    <w:p>
      <w:r>
        <w:pict>
          <v:rect style="width:0;height:1.5pt" o:hralign="center" o:hrstd="t" o:hr="t"/>
        </w:pict>
      </w:r>
    </w:p>
    <w:p>
      <w:pPr>
        <w:pStyle w:val="FirstParagraph"/>
      </w:pPr>
      <w:r>
        <w:rPr>
          <w:b/>
          <w:bCs/>
        </w:rPr>
        <w:t xml:space="preserve">Q24. What is LST and how is it configured?</w:t>
      </w:r>
    </w:p>
    <w:p>
      <w:pPr>
        <w:pStyle w:val="BodyText"/>
      </w:pPr>
      <w:r>
        <w:t xml:space="preserve">Local Service Tax (LST) is a small annual tax levied by local governments on employees. The rate varies by local government. BIRDC staff based in Bushenyi pay at the Bushenyi rate. Staff working in Kampala pay at the Kampala rate. To update an LST rate when a local government publishes a new ordinance:</w:t>
      </w:r>
    </w:p>
    <w:p>
      <w:pPr>
        <w:pStyle w:val="Compact"/>
        <w:numPr>
          <w:ilvl w:val="0"/>
          <w:numId w:val="1009"/>
        </w:numPr>
      </w:pPr>
      <w:r>
        <w:t xml:space="preserve">Click</w:t>
      </w:r>
      <w:r>
        <w:t xml:space="preserve"> </w:t>
      </w:r>
      <w:r>
        <w:rPr>
          <w:b/>
          <w:bCs/>
        </w:rPr>
        <w:t xml:space="preserve">Payroll</w:t>
      </w:r>
      <w:r>
        <w:t xml:space="preserve"> </w:t>
      </w:r>
      <w:r>
        <w:t xml:space="preserve">then</w:t>
      </w:r>
      <w:r>
        <w:t xml:space="preserve"> </w:t>
      </w:r>
      <w:r>
        <w:rPr>
          <w:b/>
          <w:bCs/>
        </w:rPr>
        <w:t xml:space="preserve">LST Rates</w:t>
      </w:r>
      <w:r>
        <w:t xml:space="preserve">.</w:t>
      </w:r>
    </w:p>
    <w:p>
      <w:pPr>
        <w:pStyle w:val="Compact"/>
        <w:numPr>
          <w:ilvl w:val="0"/>
          <w:numId w:val="1009"/>
        </w:numPr>
      </w:pPr>
      <w:r>
        <w:t xml:space="preserve">Find the local government in the list (Bushenyi or Kampala).</w:t>
      </w:r>
    </w:p>
    <w:p>
      <w:pPr>
        <w:pStyle w:val="Compact"/>
        <w:numPr>
          <w:ilvl w:val="0"/>
          <w:numId w:val="1009"/>
        </w:numPr>
      </w:pPr>
      <w:r>
        <w:t xml:space="preserve">Click</w:t>
      </w:r>
      <w:r>
        <w:t xml:space="preserve"> </w:t>
      </w:r>
      <w:r>
        <w:rPr>
          <w:b/>
          <w:bCs/>
        </w:rPr>
        <w:t xml:space="preserve">Edit</w:t>
      </w:r>
      <w:r>
        <w:t xml:space="preserve"> </w:t>
      </w:r>
      <w:r>
        <w:t xml:space="preserve">and update the annual LST amount.</w:t>
      </w:r>
    </w:p>
    <w:p>
      <w:pPr>
        <w:pStyle w:val="Compact"/>
        <w:numPr>
          <w:ilvl w:val="0"/>
          <w:numId w:val="1009"/>
        </w:numPr>
      </w:pPr>
      <w:r>
        <w:t xml:space="preserve">Set the</w:t>
      </w:r>
      <w:r>
        <w:t xml:space="preserve"> </w:t>
      </w:r>
      <w:r>
        <w:rPr>
          <w:b/>
          <w:bCs/>
        </w:rPr>
        <w:t xml:space="preserve">Effective From</w:t>
      </w:r>
      <w:r>
        <w:t xml:space="preserve"> </w:t>
      </w:r>
      <w:r>
        <w:t xml:space="preserve">date.</w:t>
      </w:r>
    </w:p>
    <w:p>
      <w:pPr>
        <w:pStyle w:val="Compact"/>
        <w:numPr>
          <w:ilvl w:val="0"/>
          <w:numId w:val="1009"/>
        </w:numPr>
      </w:pPr>
      <w:r>
        <w:t xml:space="preserve">Click</w:t>
      </w:r>
      <w:r>
        <w:t xml:space="preserve"> </w:t>
      </w:r>
      <w:r>
        <w:rPr>
          <w:b/>
          <w:bCs/>
        </w:rPr>
        <w:t xml:space="preserve">Save</w:t>
      </w:r>
      <w:r>
        <w:t xml:space="preserve">. The new rate applies on the next payroll run.</w:t>
      </w:r>
    </w:p>
    <w:bookmarkEnd w:id="24"/>
    <w:bookmarkStart w:id="25" w:name="topic-5-farmers-and-procurement"/>
    <w:p>
      <w:pPr>
        <w:pStyle w:val="Heading1"/>
      </w:pPr>
      <w:r>
        <w:t xml:space="preserve">Topic 5: Farmers and Procurement</w:t>
      </w:r>
    </w:p>
    <w:p>
      <w:r>
        <w:pict>
          <v:rect style="width:0;height:1.5pt" o:hralign="center" o:hrstd="t" o:hr="t"/>
        </w:pict>
      </w:r>
    </w:p>
    <w:p>
      <w:pPr>
        <w:pStyle w:val="FirstParagraph"/>
      </w:pPr>
      <w:r>
        <w:rPr>
          <w:b/>
          <w:bCs/>
        </w:rPr>
        <w:t xml:space="preserve">Q25. What happens if a farmer is not registered when their matooke arrives at the factory gate?</w:t>
      </w:r>
    </w:p>
    <w:p>
      <w:pPr>
        <w:pStyle w:val="BodyText"/>
      </w:pPr>
      <w:r>
        <w:t xml:space="preserve">The Collections Officer must register the farmer on the spot using the Farmer Delivery App before recording their delivery. The app supports offline farmer registration — no internet is needed (see the User Manual, Section 8.1). A delivery cannot be assigned to an unregistered farmer. This rule (BR-011) exists because every kilogramme of matooke in a batch must be traceable to a specific registered farmer before the batch can advance to stock receipt. If the farmer refuses to provide their National Identification Number (NIN), the Collections Officer should escalate to their supervisor — NIN is mandatory for farmer registration.</w:t>
      </w:r>
    </w:p>
    <w:p>
      <w:r>
        <w:pict>
          <v:rect style="width:0;height:1.5pt" o:hralign="center" o:hrstd="t" o:hr="t"/>
        </w:pict>
      </w:r>
    </w:p>
    <w:p>
      <w:pPr>
        <w:pStyle w:val="FirstParagraph"/>
      </w:pPr>
      <w:r>
        <w:rPr>
          <w:b/>
          <w:bCs/>
        </w:rPr>
        <w:t xml:space="preserve">Q26. Can one farmer belong to more than one cooperative?</w:t>
      </w:r>
    </w:p>
    <w:p>
      <w:pPr>
        <w:pStyle w:val="BodyText"/>
      </w:pPr>
      <w:r>
        <w:t xml:space="preserve">No. A farmer's record is linked to exactly one cooperative at a time. BIRDC's procurement structure organises farmers into cooperatives, and cooperative batch records track which cooperative delivered which batch. If a farmer moves from one cooperative to another, the Procurement Manager updates the farmer's cooperative assignment in the system. Historical delivery records remain linked to the cooperative the farmer was registered with at the time of each delivery.</w:t>
      </w:r>
    </w:p>
    <w:p>
      <w:r>
        <w:pict>
          <v:rect style="width:0;height:1.5pt" o:hralign="center" o:hrstd="t" o:hr="t"/>
        </w:pict>
      </w:r>
    </w:p>
    <w:p>
      <w:pPr>
        <w:pStyle w:val="FirstParagraph"/>
      </w:pPr>
      <w:r>
        <w:rPr>
          <w:b/>
          <w:bCs/>
        </w:rPr>
        <w:t xml:space="preserve">Q27. How are farmer deductions (input loans) applied to payments?</w:t>
      </w:r>
    </w:p>
    <w:p>
      <w:pPr>
        <w:pStyle w:val="BodyText"/>
      </w:pPr>
      <w:r>
        <w:t xml:space="preserve">When a farmer has an outstanding input loan or cooperative levy, the system deducts the scheduled repayment amount from the net payable for each batch delivery. The deduction is calculated automatically when the farmer payment schedule is generated (step 4 in the 5-stage cooperative procurement workflow). The farmer's payment record shows gross payable, each deduction with its description, and net payable. The farmer receives an SMS notification when their payment is processed, including the net amount paid and the deductions applied.</w:t>
      </w:r>
    </w:p>
    <w:p>
      <w:r>
        <w:pict>
          <v:rect style="width:0;height:1.5pt" o:hralign="center" o:hrstd="t" o:hr="t"/>
        </w:pict>
      </w:r>
    </w:p>
    <w:p>
      <w:pPr>
        <w:pStyle w:val="FirstParagraph"/>
      </w:pPr>
      <w:r>
        <w:rPr>
          <w:b/>
          <w:bCs/>
        </w:rPr>
        <w:t xml:space="preserve">Q28. What PPDA documents are required for a small procurement?</w:t>
      </w:r>
    </w:p>
    <w:p>
      <w:pPr>
        <w:pStyle w:val="BodyText"/>
      </w:pPr>
      <w:r>
        <w:t xml:space="preserve">For a small procurement (value above the micro threshold but at or below the small procurement ceiling), the following documents are required:</w:t>
      </w:r>
    </w:p>
    <w:p>
      <w:pPr>
        <w:pStyle w:val="Compact"/>
        <w:numPr>
          <w:ilvl w:val="0"/>
          <w:numId w:val="1010"/>
        </w:numPr>
      </w:pPr>
      <w:r>
        <w:t xml:space="preserve">Approved Purchase Request.</w:t>
      </w:r>
    </w:p>
    <w:p>
      <w:pPr>
        <w:pStyle w:val="Compact"/>
        <w:numPr>
          <w:ilvl w:val="0"/>
          <w:numId w:val="1010"/>
        </w:numPr>
      </w:pPr>
      <w:r>
        <w:t xml:space="preserve">Request for Quotations (RFQ) sent to at least 3 suppliers.</w:t>
      </w:r>
    </w:p>
    <w:p>
      <w:pPr>
        <w:pStyle w:val="Compact"/>
        <w:numPr>
          <w:ilvl w:val="0"/>
          <w:numId w:val="1010"/>
        </w:numPr>
      </w:pPr>
      <w:r>
        <w:t xml:space="preserve">Quotation Evaluation Report comparing the responses.</w:t>
      </w:r>
    </w:p>
    <w:p>
      <w:pPr>
        <w:pStyle w:val="Compact"/>
        <w:numPr>
          <w:ilvl w:val="0"/>
          <w:numId w:val="1010"/>
        </w:numPr>
      </w:pPr>
      <w:r>
        <w:t xml:space="preserve">Local Purchase Order (LPO) issued to the selected supplier.</w:t>
      </w:r>
    </w:p>
    <w:p>
      <w:pPr>
        <w:pStyle w:val="Compact"/>
        <w:numPr>
          <w:ilvl w:val="0"/>
          <w:numId w:val="1010"/>
        </w:numPr>
      </w:pPr>
      <w:r>
        <w:t xml:space="preserve">Goods Receipt Note (GRN) confirming the goods were received.</w:t>
      </w:r>
    </w:p>
    <w:p>
      <w:pPr>
        <w:pStyle w:val="Compact"/>
        <w:numPr>
          <w:ilvl w:val="0"/>
          <w:numId w:val="1010"/>
        </w:numPr>
      </w:pPr>
      <w:r>
        <w:t xml:space="preserve">Supplier Invoice.</w:t>
      </w:r>
    </w:p>
    <w:p>
      <w:pPr>
        <w:pStyle w:val="Compact"/>
        <w:numPr>
          <w:ilvl w:val="0"/>
          <w:numId w:val="1010"/>
        </w:numPr>
      </w:pPr>
      <w:r>
        <w:t xml:space="preserve">Finance Manager approval record and Procurement Officer sign-off.</w:t>
      </w:r>
    </w:p>
    <w:p>
      <w:pPr>
        <w:pStyle w:val="FirstParagraph"/>
      </w:pPr>
      <w:r>
        <w:t xml:space="preserve">The BIRDC ERP tracks all these documents within the procurement record. A payment cannot be processed if any required document is missing — the payment screen will show a warning listing the missing items.</w:t>
      </w:r>
    </w:p>
    <w:p>
      <w:r>
        <w:pict>
          <v:rect style="width:0;height:1.5pt" o:hralign="center" o:hrstd="t" o:hr="t"/>
        </w:pict>
      </w:r>
    </w:p>
    <w:p>
      <w:pPr>
        <w:pStyle w:val="FirstParagraph"/>
      </w:pPr>
      <w:r>
        <w:rPr>
          <w:b/>
          <w:bCs/>
        </w:rPr>
        <w:t xml:space="preserve">Q29. How do I find the current PPDA procurement thresholds?</w:t>
      </w:r>
    </w:p>
    <w:p>
      <w:pPr>
        <w:pStyle w:val="BodyText"/>
      </w:pPr>
      <w:r>
        <w:t xml:space="preserve">The current thresholds are configured in the system by the IT Administrator. To view them:</w:t>
      </w:r>
    </w:p>
    <w:p>
      <w:pPr>
        <w:pStyle w:val="Compact"/>
        <w:numPr>
          <w:ilvl w:val="0"/>
          <w:numId w:val="1011"/>
        </w:numPr>
      </w:pPr>
      <w:r>
        <w:t xml:space="preserve">Click</w:t>
      </w:r>
      <w:r>
        <w:t xml:space="preserve"> </w:t>
      </w:r>
      <w:r>
        <w:rPr>
          <w:b/>
          <w:bCs/>
        </w:rPr>
        <w:t xml:space="preserve">Procurement</w:t>
      </w:r>
      <w:r>
        <w:t xml:space="preserve"> </w:t>
      </w:r>
      <w:r>
        <w:t xml:space="preserve">then</w:t>
      </w:r>
      <w:r>
        <w:t xml:space="preserve"> </w:t>
      </w:r>
      <w:r>
        <w:rPr>
          <w:b/>
          <w:bCs/>
        </w:rPr>
        <w:t xml:space="preserve">PPDA Settings</w:t>
      </w:r>
      <w:r>
        <w:t xml:space="preserve">.</w:t>
      </w:r>
    </w:p>
    <w:p>
      <w:pPr>
        <w:pStyle w:val="Compact"/>
        <w:numPr>
          <w:ilvl w:val="0"/>
          <w:numId w:val="1011"/>
        </w:numPr>
      </w:pPr>
      <w:r>
        <w:t xml:space="preserve">The thresholds for micro, small, large, and restricted procurement are shown.</w:t>
      </w:r>
    </w:p>
    <w:p>
      <w:pPr>
        <w:pStyle w:val="FirstParagraph"/>
      </w:pPr>
      <w:r>
        <w:t xml:space="preserve">If you believe a threshold needs to be updated (for example, following a PPDA regulation change), ask the IT Administrator to update it. The IT Administrator requires written instruction from the Procurement Manager or Finance Director to change a PPDA threshold.</w:t>
      </w:r>
    </w:p>
    <w:bookmarkEnd w:id="25"/>
    <w:bookmarkStart w:id="26" w:name="topic-6-manufacturing-and-quality"/>
    <w:p>
      <w:pPr>
        <w:pStyle w:val="Heading1"/>
      </w:pPr>
      <w:r>
        <w:t xml:space="preserve">Topic 6: Manufacturing and Quality</w:t>
      </w:r>
    </w:p>
    <w:p>
      <w:r>
        <w:pict>
          <v:rect style="width:0;height:1.5pt" o:hralign="center" o:hrstd="t" o:hr="t"/>
        </w:pict>
      </w:r>
    </w:p>
    <w:p>
      <w:pPr>
        <w:pStyle w:val="FirstParagraph"/>
      </w:pPr>
      <w:r>
        <w:rPr>
          <w:b/>
          <w:bCs/>
        </w:rPr>
        <w:t xml:space="preserve">Q30. Why can't I transfer finished products to the saleable store?</w:t>
      </w:r>
    </w:p>
    <w:p>
      <w:pPr>
        <w:pStyle w:val="BodyText"/>
      </w:pPr>
      <w:r>
        <w:t xml:space="preserve">Finished goods from a production order are locked until the Quality Control module approves the batch. This is a system rule (BR-004) that cannot be bypassed. The</w:t>
      </w:r>
      <w:r>
        <w:t xml:space="preserve"> </w:t>
      </w:r>
      <w:r>
        <w:rPr>
          <w:b/>
          <w:bCs/>
        </w:rPr>
        <w:t xml:space="preserve">Transfer to Saleable Inventory</w:t>
      </w:r>
      <w:r>
        <w:t xml:space="preserve"> </w:t>
      </w:r>
      <w:r>
        <w:t xml:space="preserve">button on a production order remains inactive until:</w:t>
      </w:r>
    </w:p>
    <w:p>
      <w:pPr>
        <w:pStyle w:val="Compact"/>
        <w:numPr>
          <w:ilvl w:val="0"/>
          <w:numId w:val="1012"/>
        </w:numPr>
      </w:pPr>
      <w:r>
        <w:t xml:space="preserve">The QC Manager or lab technician has completed all inspection steps for the batch, and</w:t>
      </w:r>
    </w:p>
    <w:p>
      <w:pPr>
        <w:pStyle w:val="Compact"/>
        <w:numPr>
          <w:ilvl w:val="0"/>
          <w:numId w:val="1012"/>
        </w:numPr>
      </w:pPr>
      <w:r>
        <w:t xml:space="preserve">The inspection result is set to</w:t>
      </w:r>
      <w:r>
        <w:t xml:space="preserve"> </w:t>
      </w:r>
      <w:r>
        <w:rPr>
          <w:b/>
          <w:bCs/>
        </w:rPr>
        <w:t xml:space="preserve">Approved</w:t>
      </w:r>
      <w:r>
        <w:t xml:space="preserve">, and</w:t>
      </w:r>
    </w:p>
    <w:p>
      <w:pPr>
        <w:pStyle w:val="Compact"/>
        <w:numPr>
          <w:ilvl w:val="0"/>
          <w:numId w:val="1012"/>
        </w:numPr>
      </w:pPr>
      <w:r>
        <w:t xml:space="preserve">A Certificate of Analysis has been issued.</w:t>
      </w:r>
    </w:p>
    <w:p>
      <w:pPr>
        <w:pStyle w:val="FirstParagraph"/>
      </w:pPr>
      <w:r>
        <w:t xml:space="preserve">Once these three conditions are met, the transfer button becomes active automatically. If you believe the QC inspection is complete but the button is still inactive, ask the QC Manager to confirm the inspection status and whether the Certificate of Analysis has been issued.</w:t>
      </w:r>
    </w:p>
    <w:p>
      <w:r>
        <w:pict>
          <v:rect style="width:0;height:1.5pt" o:hralign="center" o:hrstd="t" o:hr="t"/>
        </w:pict>
      </w:r>
    </w:p>
    <w:p>
      <w:pPr>
        <w:pStyle w:val="FirstParagraph"/>
      </w:pPr>
      <w:r>
        <w:rPr>
          <w:b/>
          <w:bCs/>
        </w:rPr>
        <w:t xml:space="preserve">Q31. What is the mass balance and what happens if it fails?</w:t>
      </w:r>
    </w:p>
    <w:p>
      <w:pPr>
        <w:pStyle w:val="BodyText"/>
      </w:pPr>
      <w:r>
        <w:t xml:space="preserve">The mass balance is a check that accounts for every kilogramme of raw matooke that enters the factory. The rule is:</w:t>
      </w:r>
    </w:p>
    <w:p>
      <w:pPr>
        <w:pStyle w:val="BlockText"/>
      </w:pPr>
      <w:r>
        <w:t xml:space="preserve">Total Input (kg) = Primary Product Output (kg) + By-product Output (kg) + Scrap/Waste (kg)</w:t>
      </w:r>
    </w:p>
    <w:p>
      <w:pPr>
        <w:pStyle w:val="FirstParagraph"/>
      </w:pPr>
      <w:r>
        <w:t xml:space="preserve">By-products include banana peels sent to the biogas digester and waste water processed into bio-slurry fertiliser. When Moses records production completion, the system calculates this equation automatically. If the result does not balance within the allowed tolerance of ±2%, the production order cannot be closed. The Production Supervisor reviews the entered quantities for data entry errors and corrects them. If the figures are accurate but the balance still fails, the Production Supervisor flags the order for management review. A mass balance variance report is generated automatically and sent to the Production Manager.</w:t>
      </w:r>
    </w:p>
    <w:p>
      <w:r>
        <w:pict>
          <v:rect style="width:0;height:1.5pt" o:hralign="center" o:hrstd="t" o:hr="t"/>
        </w:pict>
      </w:r>
    </w:p>
    <w:p>
      <w:pPr>
        <w:pStyle w:val="FirstParagraph"/>
      </w:pPr>
      <w:r>
        <w:rPr>
          <w:b/>
          <w:bCs/>
        </w:rPr>
        <w:t xml:space="preserve">Q32. Can I approve my own inspection results?</w:t>
      </w:r>
    </w:p>
    <w:p>
      <w:pPr>
        <w:pStyle w:val="BodyText"/>
      </w:pPr>
      <w:r>
        <w:t xml:space="preserve">No. The system enforces segregation of duties (BR-003) across all approval workflows, including QC. The person who records the inspection results cannot be the same person who approves the batch. In practice, a lab technician records the results and the QC Manager approves. If the QC Manager is also the one recording results (for example, in a small team), a second QC-authorised user must do the final approval. The system checks the user identity at the API level — you cannot bypass this by constructing a manual request.</w:t>
      </w:r>
    </w:p>
    <w:p>
      <w:r>
        <w:pict>
          <v:rect style="width:0;height:1.5pt" o:hralign="center" o:hrstd="t" o:hr="t"/>
        </w:pict>
      </w:r>
    </w:p>
    <w:p>
      <w:pPr>
        <w:pStyle w:val="FirstParagraph"/>
      </w:pPr>
      <w:r>
        <w:rPr>
          <w:b/>
          <w:bCs/>
        </w:rPr>
        <w:t xml:space="preserve">Q33. How do I generate a Certificate of Analysis for an export order?</w:t>
      </w:r>
    </w:p>
    <w:p>
      <w:pPr>
        <w:pStyle w:val="BodyText"/>
      </w:pPr>
      <w:r>
        <w:t xml:space="preserve">Export CoAs require market-specific parameters. See Section 6.3 of the User Manual for the full step-by-step procedure. In summary:</w:t>
      </w:r>
    </w:p>
    <w:p>
      <w:pPr>
        <w:pStyle w:val="Compact"/>
        <w:numPr>
          <w:ilvl w:val="0"/>
          <w:numId w:val="1013"/>
        </w:numPr>
      </w:pPr>
      <w:r>
        <w:t xml:space="preserve">Complete the inspection and set the batch to</w:t>
      </w:r>
      <w:r>
        <w:t xml:space="preserve"> </w:t>
      </w:r>
      <w:r>
        <w:rPr>
          <w:b/>
          <w:bCs/>
        </w:rPr>
        <w:t xml:space="preserve">Approved</w:t>
      </w:r>
      <w:r>
        <w:t xml:space="preserve">.</w:t>
      </w:r>
    </w:p>
    <w:p>
      <w:pPr>
        <w:pStyle w:val="Compact"/>
        <w:numPr>
          <w:ilvl w:val="0"/>
          <w:numId w:val="1013"/>
        </w:numPr>
      </w:pPr>
      <w:r>
        <w:t xml:space="preserve">Open the batch record and click</w:t>
      </w:r>
      <w:r>
        <w:t xml:space="preserve"> </w:t>
      </w:r>
      <w:r>
        <w:rPr>
          <w:b/>
          <w:bCs/>
        </w:rPr>
        <w:t xml:space="preserve">Issue Certificate of Analysis</w:t>
      </w:r>
      <w:r>
        <w:t xml:space="preserve">.</w:t>
      </w:r>
    </w:p>
    <w:p>
      <w:pPr>
        <w:pStyle w:val="Compact"/>
        <w:numPr>
          <w:ilvl w:val="0"/>
          <w:numId w:val="1013"/>
        </w:numPr>
      </w:pPr>
      <w:r>
        <w:t xml:space="preserve">Select</w:t>
      </w:r>
      <w:r>
        <w:t xml:space="preserve"> </w:t>
      </w:r>
      <w:r>
        <w:rPr>
          <w:b/>
          <w:bCs/>
        </w:rPr>
        <w:t xml:space="preserve">Export</w:t>
      </w:r>
      <w:r>
        <w:t xml:space="preserve"> </w:t>
      </w:r>
      <w:r>
        <w:t xml:space="preserve">as the type.</w:t>
      </w:r>
    </w:p>
    <w:p>
      <w:pPr>
        <w:pStyle w:val="Compact"/>
        <w:numPr>
          <w:ilvl w:val="0"/>
          <w:numId w:val="1013"/>
        </w:numPr>
      </w:pPr>
      <w:r>
        <w:t xml:space="preserve">Select the destination market (South Korea, Saudi Arabia, Qatar, Italy, or United States).</w:t>
      </w:r>
    </w:p>
    <w:p>
      <w:pPr>
        <w:pStyle w:val="Compact"/>
        <w:numPr>
          <w:ilvl w:val="0"/>
          <w:numId w:val="1013"/>
        </w:numPr>
      </w:pPr>
      <w:r>
        <w:t xml:space="preserve">The system loads the template for that market, which includes all parameters required by that country's food import authority.</w:t>
      </w:r>
    </w:p>
    <w:p>
      <w:pPr>
        <w:pStyle w:val="Compact"/>
        <w:numPr>
          <w:ilvl w:val="0"/>
          <w:numId w:val="1013"/>
        </w:numPr>
      </w:pPr>
      <w:r>
        <w:t xml:space="preserve">Confirm all parameters show passing results.</w:t>
      </w:r>
    </w:p>
    <w:p>
      <w:pPr>
        <w:pStyle w:val="Compact"/>
        <w:numPr>
          <w:ilvl w:val="0"/>
          <w:numId w:val="1013"/>
        </w:numPr>
      </w:pPr>
      <w:r>
        <w:t xml:space="preserve">Issue and sign the certificate.</w:t>
      </w:r>
    </w:p>
    <w:p>
      <w:pPr>
        <w:pStyle w:val="FirstParagraph"/>
      </w:pPr>
      <w:r>
        <w:rPr>
          <w:i/>
          <w:iCs/>
        </w:rPr>
        <w:t xml:space="preserve">A batch approved only for domestic use cannot be sent on an export order. The export CoA must be generated before the dispatch is processed.</w:t>
      </w:r>
    </w:p>
    <w:bookmarkEnd w:id="26"/>
    <w:bookmarkStart w:id="27" w:name="topic-7-system-and-technical"/>
    <w:p>
      <w:pPr>
        <w:pStyle w:val="Heading1"/>
      </w:pPr>
      <w:r>
        <w:t xml:space="preserve">Topic 7: System and Technical</w:t>
      </w:r>
    </w:p>
    <w:p>
      <w:r>
        <w:pict>
          <v:rect style="width:0;height:1.5pt" o:hralign="center" o:hrstd="t" o:hr="t"/>
        </w:pict>
      </w:r>
    </w:p>
    <w:p>
      <w:pPr>
        <w:pStyle w:val="FirstParagraph"/>
      </w:pPr>
      <w:r>
        <w:rPr>
          <w:b/>
          <w:bCs/>
        </w:rPr>
        <w:t xml:space="preserve">Q34. How do I reset a user's password?</w:t>
      </w:r>
    </w:p>
    <w:p>
      <w:pPr>
        <w:pStyle w:val="BodyText"/>
      </w:pPr>
      <w:r>
        <w:t xml:space="preserve">Only the IT Administrator can reset another user's password. To do so:</w:t>
      </w:r>
    </w:p>
    <w:p>
      <w:pPr>
        <w:pStyle w:val="Compact"/>
        <w:numPr>
          <w:ilvl w:val="0"/>
          <w:numId w:val="1014"/>
        </w:numPr>
      </w:pPr>
      <w:r>
        <w:t xml:space="preserve">Log in as IT Administrator.</w:t>
      </w:r>
    </w:p>
    <w:p>
      <w:pPr>
        <w:pStyle w:val="Compact"/>
        <w:numPr>
          <w:ilvl w:val="0"/>
          <w:numId w:val="1014"/>
        </w:numPr>
      </w:pPr>
      <w:r>
        <w:t xml:space="preserve">Click</w:t>
      </w:r>
      <w:r>
        <w:t xml:space="preserve"> </w:t>
      </w:r>
      <w:r>
        <w:rPr>
          <w:b/>
          <w:bCs/>
        </w:rPr>
        <w:t xml:space="preserve">System Administration</w:t>
      </w:r>
      <w:r>
        <w:t xml:space="preserve"> </w:t>
      </w:r>
      <w:r>
        <w:t xml:space="preserve">then</w:t>
      </w:r>
      <w:r>
        <w:t xml:space="preserve"> </w:t>
      </w:r>
      <w:r>
        <w:rPr>
          <w:b/>
          <w:bCs/>
        </w:rPr>
        <w:t xml:space="preserve">Users</w:t>
      </w:r>
      <w:r>
        <w:t xml:space="preserve">.</w:t>
      </w:r>
    </w:p>
    <w:p>
      <w:pPr>
        <w:pStyle w:val="Compact"/>
        <w:numPr>
          <w:ilvl w:val="0"/>
          <w:numId w:val="1014"/>
        </w:numPr>
      </w:pPr>
      <w:r>
        <w:t xml:space="preserve">Search for the user by name or username.</w:t>
      </w:r>
    </w:p>
    <w:p>
      <w:pPr>
        <w:pStyle w:val="Compact"/>
        <w:numPr>
          <w:ilvl w:val="0"/>
          <w:numId w:val="1014"/>
        </w:numPr>
      </w:pPr>
      <w:r>
        <w:t xml:space="preserve">Click on the user's record.</w:t>
      </w:r>
    </w:p>
    <w:p>
      <w:pPr>
        <w:pStyle w:val="Compact"/>
        <w:numPr>
          <w:ilvl w:val="0"/>
          <w:numId w:val="1014"/>
        </w:numPr>
      </w:pPr>
      <w:r>
        <w:t xml:space="preserve">Click</w:t>
      </w:r>
      <w:r>
        <w:t xml:space="preserve"> </w:t>
      </w:r>
      <w:r>
        <w:rPr>
          <w:b/>
          <w:bCs/>
        </w:rPr>
        <w:t xml:space="preserve">Reset Password</w:t>
      </w:r>
      <w:r>
        <w:t xml:space="preserve">.</w:t>
      </w:r>
    </w:p>
    <w:p>
      <w:pPr>
        <w:pStyle w:val="Compact"/>
        <w:numPr>
          <w:ilvl w:val="0"/>
          <w:numId w:val="1014"/>
        </w:numPr>
      </w:pPr>
      <w:r>
        <w:t xml:space="preserve">The system sends the user a temporary password to their registered email address.</w:t>
      </w:r>
    </w:p>
    <w:p>
      <w:pPr>
        <w:pStyle w:val="Compact"/>
        <w:numPr>
          <w:ilvl w:val="0"/>
          <w:numId w:val="1014"/>
        </w:numPr>
      </w:pPr>
      <w:r>
        <w:t xml:space="preserve">The user logs in with the temporary password and is prompted to set a new one immediately.</w:t>
      </w:r>
    </w:p>
    <w:p>
      <w:pPr>
        <w:pStyle w:val="FirstParagraph"/>
      </w:pPr>
      <w:r>
        <w:t xml:space="preserve">Users in the Director, Finance Director, and Finance Manager roles also have two-factor authentication (2FA). If they cannot access their 2FA codes (for example, lost phone), the IT Administrator must also reset their 2FA from the same user record. The IT Administrator should verify the identity of the user requesting the reset before proceeding.</w:t>
      </w:r>
    </w:p>
    <w:p>
      <w:r>
        <w:pict>
          <v:rect style="width:0;height:1.5pt" o:hralign="center" o:hrstd="t" o:hr="t"/>
        </w:pict>
      </w:r>
    </w:p>
    <w:p>
      <w:pPr>
        <w:pStyle w:val="FirstParagraph"/>
      </w:pPr>
      <w:r>
        <w:rPr>
          <w:b/>
          <w:bCs/>
        </w:rPr>
        <w:t xml:space="preserve">Q35. What do I do if EFRIS submission keeps failing?</w:t>
      </w:r>
    </w:p>
    <w:p>
      <w:pPr>
        <w:pStyle w:val="BodyText"/>
      </w:pPr>
      <w:r>
        <w:t xml:space="preserve">EFRIS submissions fail when the ERP cannot reach the URA EFRIS server, or when the submitted document contains a data error that URA rejects.</w:t>
      </w:r>
    </w:p>
    <w:p>
      <w:pPr>
        <w:pStyle w:val="Compact"/>
        <w:numPr>
          <w:ilvl w:val="0"/>
          <w:numId w:val="1015"/>
        </w:numPr>
      </w:pPr>
      <w:r>
        <w:t xml:space="preserve">Click</w:t>
      </w:r>
      <w:r>
        <w:t xml:space="preserve"> </w:t>
      </w:r>
      <w:r>
        <w:rPr>
          <w:b/>
          <w:bCs/>
        </w:rPr>
        <w:t xml:space="preserve">Finance</w:t>
      </w:r>
      <w:r>
        <w:t xml:space="preserve"> </w:t>
      </w:r>
      <w:r>
        <w:t xml:space="preserve">then</w:t>
      </w:r>
      <w:r>
        <w:t xml:space="preserve"> </w:t>
      </w:r>
      <w:r>
        <w:rPr>
          <w:b/>
          <w:bCs/>
        </w:rPr>
        <w:t xml:space="preserve">EFRIS</w:t>
      </w:r>
      <w:r>
        <w:t xml:space="preserve"> </w:t>
      </w:r>
      <w:r>
        <w:t xml:space="preserve">then</w:t>
      </w:r>
      <w:r>
        <w:t xml:space="preserve"> </w:t>
      </w:r>
      <w:r>
        <w:rPr>
          <w:b/>
          <w:bCs/>
        </w:rPr>
        <w:t xml:space="preserve">Submission Queue</w:t>
      </w:r>
      <w:r>
        <w:t xml:space="preserve">.</w:t>
      </w:r>
    </w:p>
    <w:p>
      <w:pPr>
        <w:pStyle w:val="Compact"/>
        <w:numPr>
          <w:ilvl w:val="0"/>
          <w:numId w:val="1015"/>
        </w:numPr>
      </w:pPr>
      <w:r>
        <w:t xml:space="preserve">Find the failed submission and click on it.</w:t>
      </w:r>
    </w:p>
    <w:p>
      <w:pPr>
        <w:pStyle w:val="Compact"/>
        <w:numPr>
          <w:ilvl w:val="0"/>
          <w:numId w:val="1015"/>
        </w:numPr>
      </w:pPr>
      <w:r>
        <w:t xml:space="preserve">Read the error code and message from URA. Common errors:</w:t>
      </w:r>
    </w:p>
    <w:p>
      <w:pPr>
        <w:pStyle w:val="Compact"/>
        <w:numPr>
          <w:ilvl w:val="1"/>
          <w:numId w:val="1016"/>
        </w:numPr>
      </w:pPr>
      <w:r>
        <w:t xml:space="preserve">"TIN not found" — the customer's TIN entered on the invoice is incorrect.</w:t>
      </w:r>
    </w:p>
    <w:p>
      <w:pPr>
        <w:pStyle w:val="Compact"/>
        <w:numPr>
          <w:ilvl w:val="1"/>
          <w:numId w:val="1016"/>
        </w:numPr>
      </w:pPr>
      <w:r>
        <w:t xml:space="preserve">"Duplicate FDN" — the same document has already been submitted. Check if it was submitted manually outside the system.</w:t>
      </w:r>
    </w:p>
    <w:p>
      <w:pPr>
        <w:pStyle w:val="Compact"/>
        <w:numPr>
          <w:ilvl w:val="1"/>
          <w:numId w:val="1016"/>
        </w:numPr>
      </w:pPr>
      <w:r>
        <w:t xml:space="preserve">"Network timeout" — the internet connection was interrupted. Click</w:t>
      </w:r>
      <w:r>
        <w:t xml:space="preserve"> </w:t>
      </w:r>
      <w:r>
        <w:rPr>
          <w:b/>
          <w:bCs/>
        </w:rPr>
        <w:t xml:space="preserve">Retry</w:t>
      </w:r>
      <w:r>
        <w:t xml:space="preserve"> </w:t>
      </w:r>
      <w:r>
        <w:t xml:space="preserve">— the system will resubmit.</w:t>
      </w:r>
    </w:p>
    <w:p>
      <w:pPr>
        <w:pStyle w:val="Compact"/>
        <w:numPr>
          <w:ilvl w:val="0"/>
          <w:numId w:val="1015"/>
        </w:numPr>
      </w:pPr>
      <w:r>
        <w:t xml:space="preserve">For data errors, correct the underlying invoice and resubmit.</w:t>
      </w:r>
    </w:p>
    <w:p>
      <w:pPr>
        <w:pStyle w:val="Compact"/>
        <w:numPr>
          <w:ilvl w:val="0"/>
          <w:numId w:val="1015"/>
        </w:numPr>
      </w:pPr>
      <w:r>
        <w:t xml:space="preserve">If the error message is unclear or the problem persists after retrying, contact the system support contact at techguypeter.com with a screenshot of the error code.</w:t>
      </w:r>
    </w:p>
    <w:p>
      <w:pPr>
        <w:pStyle w:val="FirstParagraph"/>
      </w:pPr>
      <w:r>
        <w:rPr>
          <w:i/>
          <w:iCs/>
        </w:rPr>
        <w:t xml:space="preserve">EFRIS submissions for offline POS transactions are queued automatically and submitted when internet is restored. These do not require manual intervention unless the queue shows an error.</w:t>
      </w:r>
    </w:p>
    <w:p>
      <w:r>
        <w:pict>
          <v:rect style="width:0;height:1.5pt" o:hralign="center" o:hrstd="t" o:hr="t"/>
        </w:pict>
      </w:r>
    </w:p>
    <w:p>
      <w:pPr>
        <w:pStyle w:val="FirstParagraph"/>
      </w:pPr>
      <w:r>
        <w:rPr>
          <w:b/>
          <w:bCs/>
        </w:rPr>
        <w:t xml:space="preserve">Q36. How do I check when the last backup was taken?</w:t>
      </w:r>
    </w:p>
    <w:p>
      <w:pPr>
        <w:pStyle w:val="Compact"/>
        <w:numPr>
          <w:ilvl w:val="0"/>
          <w:numId w:val="1017"/>
        </w:numPr>
      </w:pPr>
      <w:r>
        <w:t xml:space="preserve">Log in as IT Administrator.</w:t>
      </w:r>
    </w:p>
    <w:p>
      <w:pPr>
        <w:pStyle w:val="Compact"/>
        <w:numPr>
          <w:ilvl w:val="0"/>
          <w:numId w:val="1017"/>
        </w:numPr>
      </w:pPr>
      <w:r>
        <w:t xml:space="preserve">Click</w:t>
      </w:r>
      <w:r>
        <w:t xml:space="preserve"> </w:t>
      </w:r>
      <w:r>
        <w:rPr>
          <w:b/>
          <w:bCs/>
        </w:rPr>
        <w:t xml:space="preserve">System Administration</w:t>
      </w:r>
      <w:r>
        <w:t xml:space="preserve"> </w:t>
      </w:r>
      <w:r>
        <w:t xml:space="preserve">then</w:t>
      </w:r>
      <w:r>
        <w:t xml:space="preserve"> </w:t>
      </w:r>
      <w:r>
        <w:rPr>
          <w:b/>
          <w:bCs/>
        </w:rPr>
        <w:t xml:space="preserve">Backup Management</w:t>
      </w:r>
      <w:r>
        <w:t xml:space="preserve">.</w:t>
      </w:r>
    </w:p>
    <w:p>
      <w:pPr>
        <w:pStyle w:val="Compact"/>
        <w:numPr>
          <w:ilvl w:val="0"/>
          <w:numId w:val="1017"/>
        </w:numPr>
      </w:pPr>
      <w:r>
        <w:t xml:space="preserve">The</w:t>
      </w:r>
      <w:r>
        <w:t xml:space="preserve"> </w:t>
      </w:r>
      <w:r>
        <w:rPr>
          <w:b/>
          <w:bCs/>
        </w:rPr>
        <w:t xml:space="preserve">Last Backup</w:t>
      </w:r>
      <w:r>
        <w:t xml:space="preserve"> </w:t>
      </w:r>
      <w:r>
        <w:t xml:space="preserve">field shows the date and time of the most recent successful backup.</w:t>
      </w:r>
    </w:p>
    <w:p>
      <w:pPr>
        <w:pStyle w:val="Compact"/>
        <w:numPr>
          <w:ilvl w:val="0"/>
          <w:numId w:val="1017"/>
        </w:numPr>
      </w:pPr>
      <w:r>
        <w:t xml:space="preserve">The backup history shows a log of all backups: date, time, size, and status (Success or Failed).</w:t>
      </w:r>
    </w:p>
    <w:p>
      <w:pPr>
        <w:pStyle w:val="FirstParagraph"/>
      </w:pPr>
      <w:r>
        <w:t xml:space="preserve">Backups are scheduled to run automatically every night. If the last backup shows a</w:t>
      </w:r>
      <w:r>
        <w:t xml:space="preserve"> </w:t>
      </w:r>
      <w:r>
        <w:rPr>
          <w:b/>
          <w:bCs/>
        </w:rPr>
        <w:t xml:space="preserve">Failed</w:t>
      </w:r>
      <w:r>
        <w:t xml:space="preserve"> </w:t>
      </w:r>
      <w:r>
        <w:t xml:space="preserve">status or is more than 24 hours old, investigate immediately. Contact the system support contact at techguypeter.com if you cannot identify the cause of the backup failure.</w:t>
      </w:r>
    </w:p>
    <w:p>
      <w:r>
        <w:pict>
          <v:rect style="width:0;height:1.5pt" o:hralign="center" o:hrstd="t" o:hr="t"/>
        </w:pict>
      </w:r>
    </w:p>
    <w:p>
      <w:pPr>
        <w:pStyle w:val="FirstParagraph"/>
      </w:pPr>
      <w:r>
        <w:rPr>
          <w:b/>
          <w:bCs/>
        </w:rPr>
        <w:t xml:space="preserve">Q37. The Android app is showing "sync pending" — what does that mean?</w:t>
      </w:r>
    </w:p>
    <w:p>
      <w:pPr>
        <w:pStyle w:val="BodyText"/>
      </w:pPr>
      <w:r>
        <w:t xml:space="preserve">"Sync pending" means the app has transactions or records stored on your phone that have not yet been uploaded to the main server. This is normal when you have been working offline. The sync happens automatically when you connect to the internet. To check status and manually trigger a sync:</w:t>
      </w:r>
    </w:p>
    <w:p>
      <w:pPr>
        <w:pStyle w:val="Compact"/>
        <w:numPr>
          <w:ilvl w:val="0"/>
          <w:numId w:val="1018"/>
        </w:numPr>
      </w:pPr>
      <w:r>
        <w:t xml:space="preserve">Open the app.</w:t>
      </w:r>
    </w:p>
    <w:p>
      <w:pPr>
        <w:pStyle w:val="Compact"/>
        <w:numPr>
          <w:ilvl w:val="0"/>
          <w:numId w:val="1018"/>
        </w:numPr>
      </w:pPr>
      <w:r>
        <w:t xml:space="preserve">Tap the menu icon (three lines, top left).</w:t>
      </w:r>
    </w:p>
    <w:p>
      <w:pPr>
        <w:pStyle w:val="Compact"/>
        <w:numPr>
          <w:ilvl w:val="0"/>
          <w:numId w:val="1018"/>
        </w:numPr>
      </w:pPr>
      <w:r>
        <w:t xml:space="preserve">Tap</w:t>
      </w:r>
      <w:r>
        <w:t xml:space="preserve"> </w:t>
      </w:r>
      <w:r>
        <w:rPr>
          <w:b/>
          <w:bCs/>
        </w:rPr>
        <w:t xml:space="preserve">Sync Status</w:t>
      </w:r>
      <w:r>
        <w:t xml:space="preserve">. You can see how many records are waiting to sync and when the last successful sync happened.</w:t>
      </w:r>
    </w:p>
    <w:p>
      <w:pPr>
        <w:pStyle w:val="Compact"/>
        <w:numPr>
          <w:ilvl w:val="0"/>
          <w:numId w:val="1018"/>
        </w:numPr>
      </w:pPr>
      <w:r>
        <w:t xml:space="preserve">Tap</w:t>
      </w:r>
      <w:r>
        <w:t xml:space="preserve"> </w:t>
      </w:r>
      <w:r>
        <w:rPr>
          <w:b/>
          <w:bCs/>
        </w:rPr>
        <w:t xml:space="preserve">Sync Now</w:t>
      </w:r>
      <w:r>
        <w:t xml:space="preserve"> </w:t>
      </w:r>
      <w:r>
        <w:t xml:space="preserve">to force an immediate sync.</w:t>
      </w:r>
    </w:p>
    <w:p>
      <w:pPr>
        <w:pStyle w:val="FirstParagraph"/>
      </w:pPr>
      <w:r>
        <w:t xml:space="preserve">If "sync pending" persists even when you have a good internet connection, try logging out and logging back in. If the problem continues, contact the IT Administrator — do not uninstall the app, as this will delete the unsynced records.</w:t>
      </w:r>
    </w:p>
    <w:p>
      <w:r>
        <w:pict>
          <v:rect style="width:0;height:1.5pt" o:hralign="center" o:hrstd="t" o:hr="t"/>
        </w:pict>
      </w:r>
    </w:p>
    <w:p>
      <w:pPr>
        <w:pStyle w:val="FirstParagraph"/>
      </w:pPr>
      <w:r>
        <w:rPr>
          <w:b/>
          <w:bCs/>
        </w:rPr>
        <w:t xml:space="preserve">Q38. Who do I contact when there is a system problem?</w:t>
      </w:r>
    </w:p>
    <w:p>
      <w:pPr>
        <w:pStyle w:val="BodyText"/>
      </w:pPr>
      <w:r>
        <w:t xml:space="preserve">Follow this escalation path:</w:t>
      </w:r>
    </w:p>
    <w:p>
      <w:pPr>
        <w:pStyle w:val="Compact"/>
        <w:numPr>
          <w:ilvl w:val="0"/>
          <w:numId w:val="1019"/>
        </w:numPr>
      </w:pPr>
      <w:r>
        <w:rPr>
          <w:b/>
          <w:bCs/>
        </w:rPr>
        <w:t xml:space="preserve">First:</w:t>
      </w:r>
      <w:r>
        <w:t xml:space="preserve"> </w:t>
      </w:r>
      <w:r>
        <w:t xml:space="preserve">Check this FAQ document for a solution.</w:t>
      </w:r>
    </w:p>
    <w:p>
      <w:pPr>
        <w:pStyle w:val="Compact"/>
        <w:numPr>
          <w:ilvl w:val="0"/>
          <w:numId w:val="1019"/>
        </w:numPr>
      </w:pPr>
      <w:r>
        <w:rPr>
          <w:b/>
          <w:bCs/>
        </w:rPr>
        <w:t xml:space="preserve">Second:</w:t>
      </w:r>
      <w:r>
        <w:t xml:space="preserve"> </w:t>
      </w:r>
      <w:r>
        <w:t xml:space="preserve">Contact your immediate supervisor or the IT Administrator within BIRDC.</w:t>
      </w:r>
    </w:p>
    <w:p>
      <w:pPr>
        <w:pStyle w:val="Compact"/>
        <w:numPr>
          <w:ilvl w:val="0"/>
          <w:numId w:val="1019"/>
        </w:numPr>
      </w:pPr>
      <w:r>
        <w:rPr>
          <w:b/>
          <w:bCs/>
        </w:rPr>
        <w:t xml:space="preserve">Third:</w:t>
      </w:r>
      <w:r>
        <w:t xml:space="preserve"> </w:t>
      </w:r>
      <w:r>
        <w:t xml:space="preserve">If the IT Administrator cannot resolve the issue, contact the system support contact: Peter Bamuhigire, ICT Consultant, at techguypeter.com.</w:t>
      </w:r>
    </w:p>
    <w:p>
      <w:pPr>
        <w:pStyle w:val="FirstParagraph"/>
      </w:pPr>
      <w:r>
        <w:t xml:space="preserve">When contacting support, provide:</w:t>
      </w:r>
    </w:p>
    <w:p>
      <w:pPr>
        <w:pStyle w:val="Compact"/>
        <w:numPr>
          <w:ilvl w:val="0"/>
          <w:numId w:val="1020"/>
        </w:numPr>
      </w:pPr>
      <w:r>
        <w:t xml:space="preserve">Your name and role.</w:t>
      </w:r>
    </w:p>
    <w:p>
      <w:pPr>
        <w:pStyle w:val="Compact"/>
        <w:numPr>
          <w:ilvl w:val="0"/>
          <w:numId w:val="1020"/>
        </w:numPr>
      </w:pPr>
      <w:r>
        <w:t xml:space="preserve">The name of the app or module where the problem occurred.</w:t>
      </w:r>
    </w:p>
    <w:p>
      <w:pPr>
        <w:pStyle w:val="Compact"/>
        <w:numPr>
          <w:ilvl w:val="0"/>
          <w:numId w:val="1020"/>
        </w:numPr>
      </w:pPr>
      <w:r>
        <w:t xml:space="preserve">A description of what you were trying to do.</w:t>
      </w:r>
    </w:p>
    <w:p>
      <w:pPr>
        <w:pStyle w:val="Compact"/>
        <w:numPr>
          <w:ilvl w:val="0"/>
          <w:numId w:val="1020"/>
        </w:numPr>
      </w:pPr>
      <w:r>
        <w:t xml:space="preserve">The exact error message shown (take a screenshot if possible).</w:t>
      </w:r>
    </w:p>
    <w:p>
      <w:pPr>
        <w:pStyle w:val="Compact"/>
        <w:numPr>
          <w:ilvl w:val="0"/>
          <w:numId w:val="1020"/>
        </w:numPr>
      </w:pPr>
      <w:r>
        <w:t xml:space="preserve">The date and time the problem occurred.</w:t>
      </w:r>
    </w:p>
    <w:p>
      <w:pPr>
        <w:pStyle w:val="FirstParagraph"/>
      </w:pPr>
      <w:r>
        <w:t xml:space="preserve">This information allows the support team to resolve the issue without needing to ask you a series of follow-up questions.</w:t>
      </w:r>
    </w:p>
    <w:bookmarkEnd w:id="2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Frequently Asked Questions</dc:title>
  <dc:creator>Prepared by Peter Bamuhigire, ICT Consultant (techguypeter.com) for PIBID/BIRDC</dc:creator>
  <cp:keywords/>
  <dcterms:created xsi:type="dcterms:W3CDTF">2026-04-05T16:52:03Z</dcterms:created>
  <dcterms:modified xsi:type="dcterms:W3CDTF">2026-04-05T16:52:03Z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Common Questions and Answers for All Staff Roles</vt:lpwstr>
  </property>
</Properties>
</file>