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Case and Pricing Strategy</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21" w:name="business-case-and-pricing-strategy"/>
    <w:p>
      <w:pPr>
        <w:pStyle w:val="Heading1"/>
      </w:pPr>
      <w:r>
        <w:t xml:space="preserve">Business Case and Pricing Strategy</w:t>
      </w:r>
    </w:p>
    <w:p>
      <w:pPr>
        <w:pStyle w:val="FirstParagraph"/>
      </w:pPr>
      <w:r>
        <w:rPr>
          <w:b/>
          <w:bCs/>
        </w:rPr>
        <w:t xml:space="preserve">Longhorn ERP</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2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21"/>
    <w:bookmarkStart w:id="22" w:name="executive-summary"/>
    <w:p>
      <w:pPr>
        <w:pStyle w:val="Heading1"/>
      </w:pPr>
      <w:r>
        <w:t xml:space="preserve">Executive Summary</w:t>
      </w:r>
    </w:p>
    <w:p>
      <w:pPr>
        <w:pStyle w:val="FirstParagraph"/>
      </w:pPr>
      <w:r>
        <w:t xml:space="preserve">Mid-sized organisations across East Africa manage their operations on spreadsheets, disconnected accounting packages, and manual registers — not because they lack the sophistication to use an Enterprise Resource Planning (ERP) platform, but because every credible ERP on the market is either priced in US Dollars at rates that make monthly costs unpredictable, sold per seat so that growing the team doubles the software bill, or requires a six-figure implementation engagement before a single transaction can be posted. The result is a permanent productivity ceiling for thousands of otherwise viable businesses.</w:t>
      </w:r>
    </w:p>
    <w:p>
      <w:pPr>
        <w:pStyle w:val="BodyText"/>
      </w:pPr>
      <w:r>
        <w:t xml:space="preserve">Longhorn ERP will close this gap. It is a multi-tenant, modular Software as a Service (SaaS) ERP platform priced in Ugandan Shillings (UGX) on an organisation-wide basis — one flat monthly fee covering every user in the organisation. It ships 16 universal modules, integrates natively with Uganda Revenue Authority (URA) Electronic Fiscal Receipting and Invoicing System (EFRIS), MTN Mobile Money (MoMo), Airtel Money, and M-Pesa, and enforces a zero-mandatory-training design standard: if a user needs a manual to complete a task, the interface is redesigned until they do not. It is the flagship product of Chwezi Core Systems and the primary commercial vehicle for the company.</w:t>
      </w:r>
    </w:p>
    <w:p>
      <w:pPr>
        <w:pStyle w:val="BodyText"/>
      </w:pPr>
      <w:r>
        <w:t xml:space="preserve">Uganda alone holds an estimated 8,000–12,000 formally registered mid-sized enterprises that operate without an integrated ERP. East Africa as a whole — including Kenya, Tanzania, Rwanda, South Sudan, and Burundi — represents a serviceable addressable market of approximately 50,000–80,000 organisations at the Starter-to-Professional price tier. Longhorn ERP targets a 0.5% capture of the Ugandan market within 12 months of launch (60–100 clients, UGX 56 million Monthly Recurring Revenue (MRR)), scaling to an East Africa footprint of 500+ clients and UGX 188 million MRR by the end of Phase 2.</w:t>
      </w:r>
    </w:p>
    <w:bookmarkEnd w:id="22"/>
    <w:bookmarkStart w:id="26" w:name="the-erp-gap-in-east-africa"/>
    <w:p>
      <w:pPr>
        <w:pStyle w:val="Heading1"/>
      </w:pPr>
      <w:r>
        <w:t xml:space="preserve">The ERP Gap in East Africa</w:t>
      </w:r>
    </w:p>
    <w:bookmarkStart w:id="23" w:name="the-problem"/>
    <w:p>
      <w:pPr>
        <w:pStyle w:val="Heading2"/>
      </w:pPr>
      <w:r>
        <w:t xml:space="preserve">The Problem</w:t>
      </w:r>
    </w:p>
    <w:p>
      <w:pPr>
        <w:pStyle w:val="FirstParagraph"/>
      </w:pPr>
      <w:r>
        <w:t xml:space="preserve">Four structural barriers prevent mid-sized East African organisations from adopting modern ERP platforms.</w:t>
      </w:r>
    </w:p>
    <w:p>
      <w:pPr>
        <w:pStyle w:val="BodyText"/>
      </w:pPr>
      <w:r>
        <w:rPr>
          <w:b/>
          <w:bCs/>
        </w:rPr>
        <w:t xml:space="preserve">1. Prohibitive cost.</w:t>
      </w:r>
      <w:r>
        <w:t xml:space="preserve"> </w:t>
      </w:r>
      <w:r>
        <w:t xml:space="preserve">Every tier-1 ERP is priced for the USD-denominated economies of North America and Western Europe. At the exchange rate of approximately UGX 3,750 per USD prevailing in early 2026, the costs are as follows for a 30-user organisation: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Platform</w:t>
            </w:r>
          </w:p>
        </w:tc>
        <w:tc>
          <w:tcPr/>
          <w:p>
            <w:pPr>
              <w:pStyle w:val="Compact"/>
            </w:pPr>
            <w:r>
              <w:t xml:space="preserve">Approximate Cost (30 users)</w:t>
            </w:r>
          </w:p>
        </w:tc>
      </w:tr>
      <w:tr>
        <w:tc>
          <w:tcPr/>
          <w:p>
            <w:pPr>
              <w:pStyle w:val="Compact"/>
            </w:pPr>
            <w:r>
              <w:t xml:space="preserve">SAP Business One</w:t>
            </w:r>
          </w:p>
        </w:tc>
        <w:tc>
          <w:tcPr/>
          <w:p>
            <w:pPr>
              <w:pStyle w:val="Compact"/>
            </w:pPr>
            <w:r>
              <w:t xml:space="preserve">~UGX 145M licence + UGX 110M–375M implementation</w:t>
            </w:r>
          </w:p>
        </w:tc>
      </w:tr>
      <w:tr>
        <w:tc>
          <w:tcPr/>
          <w:p>
            <w:pPr>
              <w:pStyle w:val="Compact"/>
            </w:pPr>
            <w:r>
              <w:t xml:space="preserve">Oracle NetSuite</w:t>
            </w:r>
          </w:p>
        </w:tc>
        <w:tc>
          <w:tcPr/>
          <w:p>
            <w:pPr>
              <w:pStyle w:val="Compact"/>
            </w:pPr>
            <w:r>
              <w:t xml:space="preserve">~UGX 14.9M/month</w:t>
            </w:r>
          </w:p>
        </w:tc>
      </w:tr>
      <w:tr>
        <w:tc>
          <w:tcPr/>
          <w:p>
            <w:pPr>
              <w:pStyle w:val="Compact"/>
            </w:pPr>
            <w:r>
              <w:t xml:space="preserve">Microsoft Dynamics 365 Business Central</w:t>
            </w:r>
          </w:p>
        </w:tc>
        <w:tc>
          <w:tcPr/>
          <w:p>
            <w:pPr>
              <w:pStyle w:val="Compact"/>
            </w:pPr>
            <w:r>
              <w:t xml:space="preserve">~UGX 7.9M–11.3M/month + implementation</w:t>
            </w:r>
          </w:p>
        </w:tc>
      </w:tr>
      <w:tr>
        <w:tc>
          <w:tcPr/>
          <w:p>
            <w:pPr>
              <w:pStyle w:val="Compact"/>
            </w:pPr>
            <w:r>
              <w:t xml:space="preserve">Odoo Enterprise</w:t>
            </w:r>
          </w:p>
        </w:tc>
        <w:tc>
          <w:tcPr/>
          <w:p>
            <w:pPr>
              <w:pStyle w:val="Compact"/>
            </w:pPr>
            <w:r>
              <w:t xml:space="preserve">~UGX 4.3M/month + UGX 75M–300M implementation</w:t>
            </w:r>
          </w:p>
        </w:tc>
      </w:tr>
      <w:tr>
        <w:tc>
          <w:tcPr/>
          <w:p>
            <w:pPr>
              <w:pStyle w:val="Compact"/>
            </w:pPr>
            <w:r>
              <w:t xml:space="preserve">ERPNext</w:t>
            </w:r>
          </w:p>
        </w:tc>
        <w:tc>
          <w:tcPr/>
          <w:p>
            <w:pPr>
              <w:pStyle w:val="Compact"/>
            </w:pPr>
            <w:r>
              <w:t xml:space="preserve">Free software + UGX 56M–188M to implement</w:t>
            </w:r>
          </w:p>
        </w:tc>
      </w:tr>
      <w:tr>
        <w:tc>
          <w:tcPr/>
          <w:p>
            <w:pPr>
              <w:pStyle w:val="Compact"/>
            </w:pPr>
            <w:r>
              <w:rPr>
                <w:b/>
                <w:bCs/>
              </w:rPr>
              <w:t xml:space="preserve">Longhorn ERP</w:t>
            </w:r>
          </w:p>
        </w:tc>
        <w:tc>
          <w:tcPr/>
          <w:p>
            <w:pPr>
              <w:pStyle w:val="Compact"/>
            </w:pPr>
            <w:r>
              <w:rPr>
                <w:b/>
                <w:bCs/>
              </w:rPr>
              <w:t xml:space="preserve">UGX 250,000–2,500,000/month, no implementation fee</w:t>
            </w:r>
          </w:p>
        </w:tc>
      </w:tr>
    </w:tbl>
    <w:p>
      <w:pPr>
        <w:pStyle w:val="BodyText"/>
      </w:pPr>
      <w:r>
        <w:rPr>
          <w:b/>
          <w:bCs/>
        </w:rPr>
        <w:t xml:space="preserve">2. Per-seat pricing penalises growth.</w:t>
      </w:r>
      <w:r>
        <w:t xml:space="preserve"> </w:t>
      </w:r>
      <w:r>
        <w:t xml:space="preserve">Odoo and Microsoft Dynamics 365 charge per active user. A trading company that scales from 10 to 30 staff sees its ERP bill triple. This structure creates a direct financial disincentive against formalising roles and adding system users.</w:t>
      </w:r>
    </w:p>
    <w:p>
      <w:pPr>
        <w:pStyle w:val="BodyText"/>
      </w:pPr>
      <w:r>
        <w:rPr>
          <w:b/>
          <w:bCs/>
        </w:rPr>
        <w:t xml:space="preserve">3. No Africa-native integrations.</w:t>
      </w:r>
      <w:r>
        <w:t xml:space="preserve"> </w:t>
      </w:r>
      <w:r>
        <w:t xml:space="preserve">SAP, Oracle, and Dynamics do not integrate with URA EFRIS, MTN MoMo, Airtel Money, M-Pesa, or the NSSF Uganda employer portal out of the box. Each integration requires a custom development engagement costing UGX 10M–50M or more per connector.</w:t>
      </w:r>
    </w:p>
    <w:p>
      <w:pPr>
        <w:pStyle w:val="BodyText"/>
      </w:pPr>
      <w:r>
        <w:rPr>
          <w:b/>
          <w:bCs/>
        </w:rPr>
        <w:t xml:space="preserve">4. USD-denominated pricing creates exchange rate anxiety.</w:t>
      </w:r>
      <w:r>
        <w:t xml:space="preserve"> </w:t>
      </w:r>
      <w:r>
        <w:t xml:space="preserve">When the Uganda Shilling depreciates against the US Dollar — as it did by approximately 8% in 2023 — a company's ERP subscription cost rises by the same proportion without any change in usage. Finance teams cannot budget with confidence.</w:t>
      </w:r>
    </w:p>
    <w:bookmarkEnd w:id="23"/>
    <w:bookmarkStart w:id="24" w:name="why-now"/>
    <w:p>
      <w:pPr>
        <w:pStyle w:val="Heading2"/>
      </w:pPr>
      <w:r>
        <w:t xml:space="preserve">Why Now</w:t>
      </w:r>
    </w:p>
    <w:p>
      <w:pPr>
        <w:pStyle w:val="FirstParagraph"/>
      </w:pPr>
      <w:r>
        <w:t xml:space="preserve">3 converging forces make this the right moment to launch.</w:t>
      </w:r>
    </w:p>
    <w:p>
      <w:pPr>
        <w:pStyle w:val="BodyText"/>
      </w:pPr>
      <w:r>
        <w:rPr>
          <w:b/>
          <w:bCs/>
        </w:rPr>
        <w:t xml:space="preserve">URA EFRIS mandate.</w:t>
      </w:r>
      <w:r>
        <w:t xml:space="preserve"> </w:t>
      </w:r>
      <w:r>
        <w:t xml:space="preserve">Uganda Revenue Authority has mandated EFRIS-compliant invoicing for VAT-registered taxpayers. Every business that issues tax invoices must integrate with EFRIS or face penalties. An ERP with native EFRIS support removes this compliance burden entirely — and creates an immediate, compliance-driven sales argument.</w:t>
      </w:r>
    </w:p>
    <w:p>
      <w:pPr>
        <w:pStyle w:val="BodyText"/>
      </w:pPr>
      <w:r>
        <w:rPr>
          <w:b/>
          <w:bCs/>
        </w:rPr>
        <w:t xml:space="preserve">Mobile money infrastructure maturity.</w:t>
      </w:r>
      <w:r>
        <w:t xml:space="preserve"> </w:t>
      </w:r>
      <w:r>
        <w:t xml:space="preserve">MTN MoMo and Airtel Money collectively serve over 30 million registered mobile money accounts in Uganda as of 2024. Business-to-business and business-to-employee payment via mobile money is now standard operating practice. An ERP that cannot post, reconcile, and report on mobile money transactions is incomplete by default.</w:t>
      </w:r>
    </w:p>
    <w:p>
      <w:pPr>
        <w:pStyle w:val="BodyText"/>
      </w:pPr>
      <w:r>
        <w:rPr>
          <w:b/>
          <w:bCs/>
        </w:rPr>
        <w:t xml:space="preserve">Post-COVID digitisation mandate.</w:t>
      </w:r>
      <w:r>
        <w:t xml:space="preserve"> </w:t>
      </w:r>
      <w:r>
        <w:t xml:space="preserve">The COVID-19 period exposed the operational fragility of paper-based and spreadsheet-driven businesses. A measurable shift toward digital recordkeeping and cloud-based tools has occurred across East Africa since 2021, with NITA-U reporting accelerated SaaS adoption across public and private sector organisations in Uganda.</w:t>
      </w:r>
    </w:p>
    <w:bookmarkEnd w:id="24"/>
    <w:bookmarkStart w:id="25" w:name="the-opportunity"/>
    <w:p>
      <w:pPr>
        <w:pStyle w:val="Heading2"/>
      </w:pPr>
      <w:r>
        <w:t xml:space="preserve">The Opportunity</w:t>
      </w:r>
    </w:p>
    <w:p>
      <w:pPr>
        <w:pStyle w:val="FirstParagraph"/>
      </w:pPr>
      <w:r>
        <w:t xml:space="preserve">Uganda's Uganda Bureau of Statistics (UBOS) 2020/21 Business Register records approximately 150,000 formally registered enterprises. Of these, an estimated 8,000–12,000 qualify as mid-sized by revenue (UGX 500M–50B/year) and employee count (10–200 staff) — the primary Longhorn ERP target segment. At an average Monthly Recurring Revenue (MRR) of UGX 600,000 per client (approximately the Small Business tier), even a 1% capture of this segment generates UGX 48M–72M MRR. The Phase 1 target of UGX 56M MRR requires 60–100 paying clients — a credible pipeline for a well-executed sales motion over 12 months.</w:t>
      </w:r>
    </w:p>
    <w:p>
      <w:pPr>
        <w:pStyle w:val="BodyText"/>
      </w:pPr>
      <w:r>
        <w:t xml:space="preserve">Across East Africa, the serviceable addressable market expands to an estimated 50,000–80,000 organisations at comparable revenue and staff scale.</w:t>
      </w:r>
    </w:p>
    <w:bookmarkEnd w:id="25"/>
    <w:bookmarkEnd w:id="26"/>
    <w:bookmarkStart w:id="30" w:name="proposed-solution--longhorn-erp"/>
    <w:p>
      <w:pPr>
        <w:pStyle w:val="Heading1"/>
      </w:pPr>
      <w:r>
        <w:t xml:space="preserve">Proposed Solution — Longhorn ERP</w:t>
      </w:r>
    </w:p>
    <w:bookmarkStart w:id="27" w:name="what-it-is"/>
    <w:p>
      <w:pPr>
        <w:pStyle w:val="Heading2"/>
      </w:pPr>
      <w:r>
        <w:t xml:space="preserve">What It Is</w:t>
      </w:r>
    </w:p>
    <w:p>
      <w:pPr>
        <w:pStyle w:val="FirstParagraph"/>
      </w:pPr>
      <w:r>
        <w:t xml:space="preserve">Longhorn ERP is a multi-tenant, modular, cloud-hosted SaaS Enterprise Resource Planning platform. It is the flagship product of Chwezi Core Systems and the primary commercial vehicle for the company. Every tenant operates on a shared infrastructure with complete data isolation enforced at the database row level via</w:t>
      </w:r>
      <w:r>
        <w:t xml:space="preserve"> </w:t>
      </w:r>
      <w:r>
        <w:rPr>
          <w:rStyle w:val="VerbatimChar"/>
        </w:rPr>
        <w:t xml:space="preserve">tenant_id</w:t>
      </w:r>
      <w:r>
        <w:t xml:space="preserve"> </w:t>
      </w:r>
      <w:r>
        <w:t xml:space="preserve">on every table.</w:t>
      </w:r>
    </w:p>
    <w:bookmarkEnd w:id="27"/>
    <w:bookmarkStart w:id="28" w:name="what-it-does"/>
    <w:p>
      <w:pPr>
        <w:pStyle w:val="Heading2"/>
      </w:pPr>
      <w:r>
        <w:t xml:space="preserve">What It Does</w:t>
      </w:r>
    </w:p>
    <w:p>
      <w:pPr>
        <w:pStyle w:val="FirstParagraph"/>
      </w:pPr>
      <w:r>
        <w:t xml:space="preserve">Longhorn ERP will cover the full operational cycle of a mid-sized organisation across 16 universal modules:</w:t>
      </w:r>
    </w:p>
    <w:p>
      <w:pPr>
        <w:pStyle w:val="BodyText"/>
      </w:pPr>
      <w:r>
        <w:rPr>
          <w:b/>
          <w:bCs/>
        </w:rPr>
        <w:t xml:space="preserve">6 Core modules (always active):</w:t>
      </w:r>
    </w:p>
    <w:p>
      <w:pPr>
        <w:pStyle w:val="Compact"/>
        <w:numPr>
          <w:ilvl w:val="0"/>
          <w:numId w:val="1001"/>
        </w:numPr>
      </w:pPr>
      <w:r>
        <w:t xml:space="preserve">Accounting and General Ledger — double-entry, International Financial Reporting Standards (IFRS)-compliant statements, Accounts Payable (AP), Accounts Receivable (AR), bank reconciliation, multi-currency, Value Added Tax (VAT), withholding tax, and budgets.</w:t>
      </w:r>
    </w:p>
    <w:p>
      <w:pPr>
        <w:pStyle w:val="Compact"/>
        <w:numPr>
          <w:ilvl w:val="0"/>
          <w:numId w:val="1001"/>
        </w:numPr>
      </w:pPr>
      <w:r>
        <w:t xml:space="preserve">Inventory Management — item catalogue, unit-of-measure conversion, First In First Out (FIFO)/weighted-average costing, Goods Received Notes (GRN), reorder levels, stock transfers.</w:t>
      </w:r>
    </w:p>
    <w:p>
      <w:pPr>
        <w:pStyle w:val="Compact"/>
        <w:numPr>
          <w:ilvl w:val="0"/>
          <w:numId w:val="1001"/>
        </w:numPr>
      </w:pPr>
      <w:r>
        <w:t xml:space="preserve">Sales — quotations, sales orders, delivery notes, invoices, credit notes, receipts, returns.</w:t>
      </w:r>
    </w:p>
    <w:p>
      <w:pPr>
        <w:pStyle w:val="Compact"/>
        <w:numPr>
          <w:ilvl w:val="0"/>
          <w:numId w:val="1001"/>
        </w:numPr>
      </w:pPr>
      <w:r>
        <w:t xml:space="preserve">Procurement — purchase requisitions, Request for Quotation (RFQ), Local Purchase Order (LPO), three-way matching, supplier payments.</w:t>
      </w:r>
    </w:p>
    <w:p>
      <w:pPr>
        <w:pStyle w:val="Compact"/>
        <w:numPr>
          <w:ilvl w:val="0"/>
          <w:numId w:val="1001"/>
        </w:numPr>
      </w:pPr>
      <w:r>
        <w:t xml:space="preserve">User Management and Role-Based Access Control (RBAC) — unlimited roles, granular permissions, two-factor authentication (2FA), biometric login.</w:t>
      </w:r>
    </w:p>
    <w:p>
      <w:pPr>
        <w:pStyle w:val="Compact"/>
        <w:numPr>
          <w:ilvl w:val="0"/>
          <w:numId w:val="1001"/>
        </w:numPr>
      </w:pPr>
      <w:r>
        <w:t xml:space="preserve">Audit Log — immutable audit trail, 7-year retention, external auditor read-only role.</w:t>
      </w:r>
    </w:p>
    <w:p>
      <w:pPr>
        <w:pStyle w:val="FirstParagraph"/>
      </w:pPr>
      <w:r>
        <w:rPr>
          <w:b/>
          <w:bCs/>
        </w:rPr>
        <w:t xml:space="preserve">10 Add-on modules (per-tenant activation):</w:t>
      </w:r>
      <w:r>
        <w:t xml:space="preserve"> </w:t>
      </w:r>
      <w:r>
        <w:t xml:space="preserve">Advanced Inventory, Manufacturing, HR and Payroll, Point of Sale (POS), Sales and Customer Relationship Management (CRM), Sales Agents and Commissions, Cooperative Procurement, Project Management, Strategy and Balanced Scorecard (BSC), and Asset Management.</w:t>
      </w:r>
    </w:p>
    <w:bookmarkEnd w:id="28"/>
    <w:bookmarkStart w:id="29" w:name="what-makes-it-different"/>
    <w:p>
      <w:pPr>
        <w:pStyle w:val="Heading2"/>
      </w:pPr>
      <w:r>
        <w:t xml:space="preserve">What Makes It Different</w:t>
      </w:r>
    </w:p>
    <w:p>
      <w:pPr>
        <w:pStyle w:val="FirstParagraph"/>
      </w:pPr>
      <w:r>
        <w:rPr>
          <w:b/>
          <w:bCs/>
        </w:rPr>
        <w:t xml:space="preserve">Configuration-driven localisation.</w:t>
      </w:r>
      <w:r>
        <w:t xml:space="preserve"> </w:t>
      </w:r>
      <w:r>
        <w:t xml:space="preserve">Country-specific tax logic, statutory reporting formats, chart of accounts starters, currency settings, and mobile money gateways are managed as configuration profiles — not code variants. Adding a new country requires no code changes, only a new localisation profile.</w:t>
      </w:r>
    </w:p>
    <w:p>
      <w:pPr>
        <w:pStyle w:val="BodyText"/>
      </w:pPr>
      <w:r>
        <w:rPr>
          <w:b/>
          <w:bCs/>
        </w:rPr>
        <w:t xml:space="preserve">Africa-native integrations, shipped on Day 1.</w:t>
      </w:r>
      <w:r>
        <w:t xml:space="preserve"> </w:t>
      </w:r>
      <w:r>
        <w:t xml:space="preserve">The integration layer will include: URA EFRIS (Uganda VAT invoice submission), URA PAYE e-returns, NSSF Uganda employer upload, MTN MoMo Application Programming Interface (API) (Uganda, Rwanda), Airtel Money API (Uganda, Kenya, Tanzania), M-Pesa Daraja Business to Customer (B2C) (Kenya, Tanzania), KRA iTax (Kenya), Africa's Talking Short Message Service (SMS) and Unstructured Supplementary Service Data (USSD), and NITA-U SaaS compliance.</w:t>
      </w:r>
    </w:p>
    <w:p>
      <w:pPr>
        <w:pStyle w:val="BodyText"/>
      </w:pPr>
      <w:r>
        <w:rPr>
          <w:b/>
          <w:bCs/>
        </w:rPr>
        <w:t xml:space="preserve">Organisation-wide flat pricing in UGX.</w:t>
      </w:r>
      <w:r>
        <w:t xml:space="preserve"> </w:t>
      </w:r>
      <w:r>
        <w:t xml:space="preserve">No per-seat fees. A company with 5 users and a company with 30 users pay the same amount at the same tier. Pricing is denominated in Ugandan Shillings, removing exchange rate exposure entirely.</w:t>
      </w:r>
    </w:p>
    <w:p>
      <w:pPr>
        <w:pStyle w:val="BodyText"/>
      </w:pPr>
      <w:r>
        <w:rPr>
          <w:b/>
          <w:bCs/>
        </w:rPr>
        <w:t xml:space="preserve">Zero mandatory training.</w:t>
      </w:r>
      <w:r>
        <w:t xml:space="preserve"> </w:t>
      </w:r>
      <w:r>
        <w:t xml:space="preserve">Every workflow is designed to be completed without reference to a manual or consultant. If a task requires external guidance, the interface is redesigned. This standard eliminates the hidden implementation cost that makes competing ERP platforms unaffordable in practice.</w:t>
      </w:r>
    </w:p>
    <w:p>
      <w:pPr>
        <w:pStyle w:val="BodyText"/>
      </w:pPr>
      <w:r>
        <w:rPr>
          <w:b/>
          <w:bCs/>
        </w:rPr>
        <w:t xml:space="preserve">Native mobile apps.</w:t>
      </w:r>
      <w:r>
        <w:t xml:space="preserve"> </w:t>
      </w:r>
      <w:r>
        <w:t xml:space="preserve">Android and iOS mobile applications will feed the same ERP backend via a versioned, rate-limited REST API with offline synchronisation, push notifications, SMS fallback, and data-lite mode for low-bandwidth environments.</w:t>
      </w:r>
    </w:p>
    <w:p>
      <w:pPr>
        <w:pStyle w:val="BodyText"/>
      </w:pPr>
      <w:r>
        <w:rPr>
          <w:b/>
          <w:bCs/>
        </w:rPr>
        <w:t xml:space="preserve">Public API.</w:t>
      </w:r>
      <w:r>
        <w:t xml:space="preserve"> </w:t>
      </w:r>
      <w:r>
        <w:t xml:space="preserve">A documented public API will allow external systems — including Chwezi sibling products Academia Pro, Medic8, and Kulima — to integrate with Longhorn ERP without proprietary connectors.</w:t>
      </w:r>
    </w:p>
    <w:p>
      <w:pPr>
        <w:pStyle w:val="BodyText"/>
      </w:pPr>
      <w:r>
        <w:t xml:space="preserve">Longhorn ERP is designed to beat Odoo and ERPNext on ease of use, and beat SAP and Oracle on price. It is not a feature-reduced simplified tool — it is a full-featured ERP that earns its simplicity through design discipline rather than capability reduction.</w:t>
      </w:r>
    </w:p>
    <w:bookmarkEnd w:id="29"/>
    <w:bookmarkEnd w:id="30"/>
    <w:bookmarkStart w:id="36" w:name="pricing-strategy"/>
    <w:p>
      <w:pPr>
        <w:pStyle w:val="Heading1"/>
      </w:pPr>
      <w:r>
        <w:t xml:space="preserve">Pricing Strategy</w:t>
      </w:r>
    </w:p>
    <w:p>
      <w:pPr>
        <w:pStyle w:val="FirstParagraph"/>
      </w:pPr>
      <w:r>
        <w:rPr>
          <w:i/>
          <w:iCs/>
        </w:rPr>
        <w:t xml:space="preserve">All prices in Ugandan Shillings (UGX). USD equivalents calculated at UGX 3,750 per USD. Annual billing: 10 months charged, 12 months access (2 months free).</w:t>
      </w:r>
    </w:p>
    <w:bookmarkStart w:id="31" w:name="subscription-tiers"/>
    <w:p>
      <w:pPr>
        <w:pStyle w:val="Heading2"/>
      </w:pPr>
      <w:r>
        <w:t xml:space="preserve">Subscription Tiers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Plan</w:t>
            </w:r>
          </w:p>
        </w:tc>
        <w:tc>
          <w:tcPr/>
          <w:p>
            <w:pPr>
              <w:pStyle w:val="Compact"/>
            </w:pPr>
            <w:r>
              <w:t xml:space="preserve">UGX/month</w:t>
            </w:r>
          </w:p>
        </w:tc>
        <w:tc>
          <w:tcPr/>
          <w:p>
            <w:pPr>
              <w:pStyle w:val="Compact"/>
            </w:pPr>
            <w:r>
              <w:t xml:space="preserve">USD equiv.</w:t>
            </w:r>
          </w:p>
        </w:tc>
        <w:tc>
          <w:tcPr/>
          <w:p>
            <w:pPr>
              <w:pStyle w:val="Compact"/>
            </w:pPr>
            <w:r>
              <w:t xml:space="preserve">Users</w:t>
            </w:r>
          </w:p>
        </w:tc>
        <w:tc>
          <w:tcPr/>
          <w:p>
            <w:pPr>
              <w:pStyle w:val="Compact"/>
            </w:pPr>
            <w:r>
              <w:t xml:space="preserve">Branches</w:t>
            </w:r>
          </w:p>
        </w:tc>
        <w:tc>
          <w:tcPr/>
          <w:p>
            <w:pPr>
              <w:pStyle w:val="Compact"/>
            </w:pPr>
            <w:r>
              <w:t xml:space="preserve">Modules Included</w:t>
            </w:r>
          </w:p>
        </w:tc>
      </w:tr>
      <w:tr>
        <w:tc>
          <w:tcPr/>
          <w:p>
            <w:pPr>
              <w:pStyle w:val="Compact"/>
            </w:pPr>
            <w:r>
              <w:t xml:space="preserve">Starter</w:t>
            </w:r>
          </w:p>
        </w:tc>
        <w:tc>
          <w:tcPr/>
          <w:p>
            <w:pPr>
              <w:pStyle w:val="Compact"/>
            </w:pPr>
            <w:r>
              <w:t xml:space="preserve">250,000</w:t>
            </w:r>
          </w:p>
        </w:tc>
        <w:tc>
          <w:tcPr/>
          <w:p>
            <w:pPr>
              <w:pStyle w:val="Compact"/>
            </w:pPr>
            <w:r>
              <w:t xml:space="preserve">~$67</w:t>
            </w:r>
          </w:p>
        </w:tc>
        <w:tc>
          <w:tcPr/>
          <w:p>
            <w:pPr>
              <w:pStyle w:val="Compact"/>
            </w:pPr>
            <w:r>
              <w:t xml:space="preserve">Up to 5</w:t>
            </w:r>
          </w:p>
        </w:tc>
        <w:tc>
          <w:tcPr/>
          <w:p>
            <w:pPr>
              <w:pStyle w:val="Compact"/>
            </w:pPr>
            <w:r>
              <w:t xml:space="preserve">Up to 2</w:t>
            </w:r>
          </w:p>
        </w:tc>
        <w:tc>
          <w:tcPr/>
          <w:p>
            <w:pPr>
              <w:pStyle w:val="Compact"/>
            </w:pPr>
            <w:r>
              <w:t xml:space="preserve">Core 6 modules only</w:t>
            </w:r>
          </w:p>
        </w:tc>
      </w:tr>
      <w:tr>
        <w:tc>
          <w:tcPr/>
          <w:p>
            <w:pPr>
              <w:pStyle w:val="Compact"/>
            </w:pPr>
            <w:r>
              <w:t xml:space="preserve">Small Business</w:t>
            </w:r>
          </w:p>
        </w:tc>
        <w:tc>
          <w:tcPr/>
          <w:p>
            <w:pPr>
              <w:pStyle w:val="Compact"/>
            </w:pPr>
            <w:r>
              <w:t xml:space="preserve">500,000</w:t>
            </w:r>
          </w:p>
        </w:tc>
        <w:tc>
          <w:tcPr/>
          <w:p>
            <w:pPr>
              <w:pStyle w:val="Compact"/>
            </w:pPr>
            <w:r>
              <w:t xml:space="preserve">~$133</w:t>
            </w:r>
          </w:p>
        </w:tc>
        <w:tc>
          <w:tcPr/>
          <w:p>
            <w:pPr>
              <w:pStyle w:val="Compact"/>
            </w:pPr>
            <w:r>
              <w:t xml:space="preserve">Up to 15</w:t>
            </w:r>
          </w:p>
        </w:tc>
        <w:tc>
          <w:tcPr/>
          <w:p>
            <w:pPr>
              <w:pStyle w:val="Compact"/>
            </w:pPr>
            <w:r>
              <w:t xml:space="preserve">Up to 5</w:t>
            </w:r>
          </w:p>
        </w:tc>
        <w:tc>
          <w:tcPr/>
          <w:p>
            <w:pPr>
              <w:pStyle w:val="Compact"/>
            </w:pPr>
            <w:r>
              <w:t xml:space="preserve">Core + any 2 add-ons</w:t>
            </w:r>
          </w:p>
        </w:tc>
      </w:tr>
      <w:tr>
        <w:tc>
          <w:tcPr/>
          <w:p>
            <w:pPr>
              <w:pStyle w:val="Compact"/>
            </w:pPr>
            <w:r>
              <w:t xml:space="preserve">Professional</w:t>
            </w:r>
          </w:p>
        </w:tc>
        <w:tc>
          <w:tcPr/>
          <w:p>
            <w:pPr>
              <w:pStyle w:val="Compact"/>
            </w:pPr>
            <w:r>
              <w:t xml:space="preserve">1,000,000</w:t>
            </w:r>
          </w:p>
        </w:tc>
        <w:tc>
          <w:tcPr/>
          <w:p>
            <w:pPr>
              <w:pStyle w:val="Compact"/>
            </w:pPr>
            <w:r>
              <w:t xml:space="preserve">~$267</w:t>
            </w:r>
          </w:p>
        </w:tc>
        <w:tc>
          <w:tcPr/>
          <w:p>
            <w:pPr>
              <w:pStyle w:val="Compact"/>
            </w:pPr>
            <w:r>
              <w:t xml:space="preserve">Up to 30</w:t>
            </w:r>
          </w:p>
        </w:tc>
        <w:tc>
          <w:tcPr/>
          <w:p>
            <w:pPr>
              <w:pStyle w:val="Compact"/>
            </w:pPr>
            <w:r>
              <w:t xml:space="preserve">Up to 10</w:t>
            </w:r>
          </w:p>
        </w:tc>
        <w:tc>
          <w:tcPr/>
          <w:p>
            <w:pPr>
              <w:pStyle w:val="Compact"/>
            </w:pPr>
            <w:r>
              <w:t xml:space="preserve">Core + any 5 add-ons</w:t>
            </w:r>
          </w:p>
        </w:tc>
      </w:tr>
      <w:tr>
        <w:tc>
          <w:tcPr/>
          <w:p>
            <w:pPr>
              <w:pStyle w:val="Compact"/>
            </w:pPr>
            <w:r>
              <w:t xml:space="preserve">Business</w:t>
            </w:r>
          </w:p>
        </w:tc>
        <w:tc>
          <w:tcPr/>
          <w:p>
            <w:pPr>
              <w:pStyle w:val="Compact"/>
            </w:pPr>
            <w:r>
              <w:t xml:space="preserve">1,750,000</w:t>
            </w:r>
          </w:p>
        </w:tc>
        <w:tc>
          <w:tcPr/>
          <w:p>
            <w:pPr>
              <w:pStyle w:val="Compact"/>
            </w:pPr>
            <w:r>
              <w:t xml:space="preserve">~$467</w:t>
            </w:r>
          </w:p>
        </w:tc>
        <w:tc>
          <w:tcPr/>
          <w:p>
            <w:pPr>
              <w:pStyle w:val="Compact"/>
            </w:pPr>
            <w:r>
              <w:t xml:space="preserve">Up to 60</w:t>
            </w:r>
          </w:p>
        </w:tc>
        <w:tc>
          <w:tcPr/>
          <w:p>
            <w:pPr>
              <w:pStyle w:val="Compact"/>
            </w:pPr>
            <w:r>
              <w:t xml:space="preserve">Up to 20</w:t>
            </w:r>
          </w:p>
        </w:tc>
        <w:tc>
          <w:tcPr/>
          <w:p>
            <w:pPr>
              <w:pStyle w:val="Compact"/>
            </w:pPr>
            <w:r>
              <w:t xml:space="preserve">Core + all 10 add-ons</w:t>
            </w:r>
          </w:p>
        </w:tc>
      </w:tr>
      <w:tr>
        <w:tc>
          <w:tcPr/>
          <w:p>
            <w:pPr>
              <w:pStyle w:val="Compact"/>
            </w:pPr>
            <w:r>
              <w:t xml:space="preserve">Enterprise</w:t>
            </w:r>
          </w:p>
        </w:tc>
        <w:tc>
          <w:tcPr/>
          <w:p>
            <w:pPr>
              <w:pStyle w:val="Compact"/>
            </w:pPr>
            <w:r>
              <w:t xml:space="preserve">2,500,000</w:t>
            </w:r>
          </w:p>
        </w:tc>
        <w:tc>
          <w:tcPr/>
          <w:p>
            <w:pPr>
              <w:pStyle w:val="Compact"/>
            </w:pPr>
            <w:r>
              <w:t xml:space="preserve">~$667</w:t>
            </w:r>
          </w:p>
        </w:tc>
        <w:tc>
          <w:tcPr/>
          <w:p>
            <w:pPr>
              <w:pStyle w:val="Compact"/>
            </w:pPr>
            <w:r>
              <w:t xml:space="preserve">Unlimited</w:t>
            </w:r>
          </w:p>
        </w:tc>
        <w:tc>
          <w:tcPr/>
          <w:p>
            <w:pPr>
              <w:pStyle w:val="Compact"/>
            </w:pPr>
            <w:r>
              <w:t xml:space="preserve">Unlimited</w:t>
            </w:r>
          </w:p>
        </w:tc>
        <w:tc>
          <w:tcPr/>
          <w:p>
            <w:pPr>
              <w:pStyle w:val="Compact"/>
            </w:pPr>
            <w:r>
              <w:t xml:space="preserve">All modules + priority support + dedicated onboarding</w:t>
            </w:r>
          </w:p>
        </w:tc>
      </w:tr>
    </w:tbl>
    <w:p>
      <w:pPr>
        <w:pStyle w:val="BodyText"/>
      </w:pPr>
      <w:r>
        <w:rPr>
          <w:i/>
          <w:iCs/>
        </w:rPr>
        <w:t xml:space="preserve">Starter locks out all add-on modules. No per-user fees apply at any tier — the price covers the entire organisation.</w:t>
      </w:r>
    </w:p>
    <w:bookmarkEnd w:id="31"/>
    <w:bookmarkStart w:id="32" w:name="pricing-rationale"/>
    <w:p>
      <w:pPr>
        <w:pStyle w:val="Heading2"/>
      </w:pPr>
      <w:r>
        <w:t xml:space="preserve">Pricing Rationale</w:t>
      </w:r>
    </w:p>
    <w:p>
      <w:pPr>
        <w:numPr>
          <w:ilvl w:val="0"/>
          <w:numId w:val="1002"/>
        </w:numPr>
      </w:pPr>
      <w:r>
        <w:rPr>
          <w:b/>
          <w:bCs/>
        </w:rPr>
        <w:t xml:space="preserve">UGX denomination removes exchange rate exposure.</w:t>
      </w:r>
      <w:r>
        <w:t xml:space="preserve"> </w:t>
      </w:r>
      <w:r>
        <w:t xml:space="preserve">Ugandan businesses budget in UGX. A USD-priced subscription becomes an unpredictable line item whenever the shilling moves. Longhorn ERP eliminates this by pricing entirely in UGX, enabling accurate 12-month cost forecasting regardless of currency fluctuations.</w:t>
      </w:r>
    </w:p>
    <w:p>
      <w:pPr>
        <w:numPr>
          <w:ilvl w:val="0"/>
          <w:numId w:val="1002"/>
        </w:numPr>
      </w:pPr>
      <w:r>
        <w:rPr>
          <w:b/>
          <w:bCs/>
        </w:rPr>
        <w:t xml:space="preserve">Organisation-wide pricing is the primary differentiator.</w:t>
      </w:r>
      <w:r>
        <w:t xml:space="preserve"> </w:t>
      </w:r>
      <w:r>
        <w:t xml:space="preserve">Odoo Enterprise and Microsoft Dynamics 365 Business Central charge per active user. A 30-user organisation on Odoo pays approximately UGX 4.3M/month; the same organisation on Longhorn ERP Professional pays UGX 1,000,000/month — a 4× saving before accounting for implementation fees. As a client grows from 10 to 30 users, the Longhorn ERP bill does not change.</w:t>
      </w:r>
    </w:p>
    <w:p>
      <w:pPr>
        <w:numPr>
          <w:ilvl w:val="0"/>
          <w:numId w:val="1002"/>
        </w:numPr>
      </w:pPr>
      <w:r>
        <w:rPr>
          <w:b/>
          <w:bCs/>
        </w:rPr>
        <w:t xml:space="preserve">Starter at UGX 250,000/month is attainable.</w:t>
      </w:r>
      <w:r>
        <w:t xml:space="preserve"> </w:t>
      </w:r>
      <w:r>
        <w:t xml:space="preserve">For a 3–5 person trading company or professional services firm, UGX 250,000/month is comparable to the monthly airtime budget for the office team. It represents less than 0.5% of UGX 60M annual revenue for a micro-enterprise. The Starter tier removes the financial barrier to entry for organisations that have never used ERP software before.</w:t>
      </w:r>
    </w:p>
    <w:p>
      <w:pPr>
        <w:numPr>
          <w:ilvl w:val="0"/>
          <w:numId w:val="1002"/>
        </w:numPr>
      </w:pPr>
      <w:r>
        <w:rPr>
          <w:b/>
          <w:bCs/>
        </w:rPr>
        <w:t xml:space="preserve">Enterprise at UGX 2,500,000/month is a fraction of the competitive cost.</w:t>
      </w:r>
      <w:r>
        <w:t xml:space="preserve"> </w:t>
      </w:r>
      <w:r>
        <w:t xml:space="preserve">Odoo Enterprise with comparable user count costs approximately UGX 4.3M/month in software alone, before implementation fees of UGX 75M–300M. Longhorn ERP Enterprise at UGX 2,500,000/month includes dedicated onboarding and priority support with no implementation fee — making the total first-year cost lower than Odoo's first-month cost in many scenarios.</w:t>
      </w:r>
    </w:p>
    <w:p>
      <w:pPr>
        <w:numPr>
          <w:ilvl w:val="0"/>
          <w:numId w:val="1002"/>
        </w:numPr>
      </w:pPr>
      <w:r>
        <w:rPr>
          <w:b/>
          <w:bCs/>
        </w:rPr>
        <w:t xml:space="preserve">Annual billing creates a 2-month incentive.</w:t>
      </w:r>
      <w:r>
        <w:t xml:space="preserve"> </w:t>
      </w:r>
      <w:r>
        <w:t xml:space="preserve">A client billed annually pays for 10 months and receives 12 months of access. This yields an effective monthly rate of 83.3% of the list price, a saving of UGX 500,000–5,000,000 per year depending on tier. Annual billing also reduces churn by increasing the switching cost at renewal time.</w:t>
      </w:r>
    </w:p>
    <w:p>
      <w:pPr>
        <w:numPr>
          <w:ilvl w:val="0"/>
          <w:numId w:val="1002"/>
        </w:numPr>
      </w:pPr>
      <w:r>
        <w:rPr>
          <w:b/>
          <w:bCs/>
        </w:rPr>
        <w:t xml:space="preserve">Add-on stacking creates a natural Enterprise upgrade trigger.</w:t>
      </w:r>
      <w:r>
        <w:t xml:space="preserve"> </w:t>
      </w:r>
      <w:r>
        <w:t xml:space="preserve">A Professional plan subscriber (UGX 1,000,000/month) who activates all 10 add-ons pays UGX 1,000,000 + UGX 1,490,000 = UGX 2,490,000/month — UGX 10,000 below Enterprise and without the unlimited users, unlimited branches, dedicated onboarding, or priority support that Enterprise includes. This price gap makes the upgrade argument self-evident.</w:t>
      </w:r>
    </w:p>
    <w:bookmarkEnd w:id="32"/>
    <w:bookmarkStart w:id="33" w:name="a-la-carte-add-on-pricing"/>
    <w:p>
      <w:pPr>
        <w:pStyle w:val="Heading2"/>
      </w:pPr>
      <w:r>
        <w:t xml:space="preserve">A-La-Carte Add-On Pricing</w:t>
      </w:r>
    </w:p>
    <w:p>
      <w:pPr>
        <w:pStyle w:val="FirstParagraph"/>
      </w:pPr>
      <w:r>
        <w:rPr>
          <w:i/>
          <w:iCs/>
        </w:rPr>
        <w:t xml:space="preserve">Available on Small Business (any 2) and Professional (any 5) plans. Add-ons are included in full on Business and Enterprise plans.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UGX/month</w:t>
            </w:r>
          </w:p>
        </w:tc>
        <w:tc>
          <w:tcPr/>
          <w:p>
            <w:pPr>
              <w:pStyle w:val="Compact"/>
            </w:pPr>
            <w:r>
              <w:t xml:space="preserve">USD equiv.</w:t>
            </w:r>
          </w:p>
        </w:tc>
      </w:tr>
      <w:tr>
        <w:tc>
          <w:tcPr/>
          <w:p>
            <w:pPr>
              <w:pStyle w:val="Compact"/>
            </w:pPr>
            <w:r>
              <w:t xml:space="preserve">HR and Payroll</w:t>
            </w:r>
          </w:p>
        </w:tc>
        <w:tc>
          <w:tcPr/>
          <w:p>
            <w:pPr>
              <w:pStyle w:val="Compact"/>
            </w:pPr>
            <w:r>
              <w:t xml:space="preserve">150,000</w:t>
            </w:r>
          </w:p>
        </w:tc>
        <w:tc>
          <w:tcPr/>
          <w:p>
            <w:pPr>
              <w:pStyle w:val="Compact"/>
            </w:pPr>
            <w:r>
              <w:t xml:space="preserve">~$40</w:t>
            </w:r>
          </w:p>
        </w:tc>
      </w:tr>
      <w:tr>
        <w:tc>
          <w:tcPr/>
          <w:p>
            <w:pPr>
              <w:pStyle w:val="Compact"/>
            </w:pPr>
            <w:r>
              <w:t xml:space="preserve">Advanced Inventory</w:t>
            </w:r>
          </w:p>
        </w:tc>
        <w:tc>
          <w:tcPr/>
          <w:p>
            <w:pPr>
              <w:pStyle w:val="Compact"/>
            </w:pPr>
            <w:r>
              <w:t xml:space="preserve">150,000</w:t>
            </w:r>
          </w:p>
        </w:tc>
        <w:tc>
          <w:tcPr/>
          <w:p>
            <w:pPr>
              <w:pStyle w:val="Compact"/>
            </w:pPr>
            <w:r>
              <w:t xml:space="preserve">~$40</w:t>
            </w:r>
          </w:p>
        </w:tc>
      </w:tr>
      <w:tr>
        <w:tc>
          <w:tcPr/>
          <w:p>
            <w:pPr>
              <w:pStyle w:val="Compact"/>
            </w:pPr>
            <w:r>
              <w:t xml:space="preserve">Project Management</w:t>
            </w:r>
          </w:p>
        </w:tc>
        <w:tc>
          <w:tcPr/>
          <w:p>
            <w:pPr>
              <w:pStyle w:val="Compact"/>
            </w:pPr>
            <w:r>
              <w:t xml:space="preserve">150,000</w:t>
            </w:r>
          </w:p>
        </w:tc>
        <w:tc>
          <w:tcPr/>
          <w:p>
            <w:pPr>
              <w:pStyle w:val="Compact"/>
            </w:pPr>
            <w:r>
              <w:t xml:space="preserve">~$40</w:t>
            </w:r>
          </w:p>
        </w:tc>
      </w:tr>
      <w:tr>
        <w:tc>
          <w:tcPr/>
          <w:p>
            <w:pPr>
              <w:pStyle w:val="Compact"/>
            </w:pPr>
            <w:r>
              <w:t xml:space="preserve">Sales and CRM</w:t>
            </w:r>
          </w:p>
        </w:tc>
        <w:tc>
          <w:tcPr/>
          <w:p>
            <w:pPr>
              <w:pStyle w:val="Compact"/>
            </w:pPr>
            <w:r>
              <w:t xml:space="preserve">120,000</w:t>
            </w:r>
          </w:p>
        </w:tc>
        <w:tc>
          <w:tcPr/>
          <w:p>
            <w:pPr>
              <w:pStyle w:val="Compact"/>
            </w:pPr>
            <w:r>
              <w:t xml:space="preserve">~$32</w:t>
            </w:r>
          </w:p>
        </w:tc>
      </w:tr>
      <w:tr>
        <w:tc>
          <w:tcPr/>
          <w:p>
            <w:pPr>
              <w:pStyle w:val="Compact"/>
            </w:pPr>
            <w:r>
              <w:t xml:space="preserve">Strategy and BSC</w:t>
            </w:r>
          </w:p>
        </w:tc>
        <w:tc>
          <w:tcPr/>
          <w:p>
            <w:pPr>
              <w:pStyle w:val="Compact"/>
            </w:pPr>
            <w:r>
              <w:t xml:space="preserve">120,000</w:t>
            </w:r>
          </w:p>
        </w:tc>
        <w:tc>
          <w:tcPr/>
          <w:p>
            <w:pPr>
              <w:pStyle w:val="Compact"/>
            </w:pPr>
            <w:r>
              <w:t xml:space="preserve">~$32</w:t>
            </w:r>
          </w:p>
        </w:tc>
      </w:tr>
      <w:tr>
        <w:tc>
          <w:tcPr/>
          <w:p>
            <w:pPr>
              <w:pStyle w:val="Compact"/>
            </w:pPr>
            <w:r>
              <w:t xml:space="preserve">Manufacturing</w:t>
            </w:r>
          </w:p>
        </w:tc>
        <w:tc>
          <w:tcPr/>
          <w:p>
            <w:pPr>
              <w:pStyle w:val="Compact"/>
            </w:pPr>
            <w:r>
              <w:t xml:space="preserve">250,000</w:t>
            </w:r>
          </w:p>
        </w:tc>
        <w:tc>
          <w:tcPr/>
          <w:p>
            <w:pPr>
              <w:pStyle w:val="Compact"/>
            </w:pPr>
            <w:r>
              <w:t xml:space="preserve">~$67</w:t>
            </w:r>
          </w:p>
        </w:tc>
      </w:tr>
      <w:tr>
        <w:tc>
          <w:tcPr/>
          <w:p>
            <w:pPr>
              <w:pStyle w:val="Compact"/>
            </w:pPr>
            <w:r>
              <w:t xml:space="preserve">Cooperative Procurement</w:t>
            </w:r>
          </w:p>
        </w:tc>
        <w:tc>
          <w:tcPr/>
          <w:p>
            <w:pPr>
              <w:pStyle w:val="Compact"/>
            </w:pPr>
            <w:r>
              <w:t xml:space="preserve">250,000</w:t>
            </w:r>
          </w:p>
        </w:tc>
        <w:tc>
          <w:tcPr/>
          <w:p>
            <w:pPr>
              <w:pStyle w:val="Compact"/>
            </w:pPr>
            <w:r>
              <w:t xml:space="preserve">~$67</w:t>
            </w:r>
          </w:p>
        </w:tc>
      </w:tr>
      <w:tr>
        <w:tc>
          <w:tcPr/>
          <w:p>
            <w:pPr>
              <w:pStyle w:val="Compact"/>
            </w:pPr>
            <w:r>
              <w:t xml:space="preserve">Point of Sale</w:t>
            </w:r>
          </w:p>
        </w:tc>
        <w:tc>
          <w:tcPr/>
          <w:p>
            <w:pPr>
              <w:pStyle w:val="Compact"/>
            </w:pPr>
            <w:r>
              <w:t xml:space="preserve">100,000 per terminal</w:t>
            </w:r>
          </w:p>
        </w:tc>
        <w:tc>
          <w:tcPr/>
          <w:p>
            <w:pPr>
              <w:pStyle w:val="Compact"/>
            </w:pPr>
            <w:r>
              <w:t xml:space="preserve">~$27/terminal</w:t>
            </w:r>
          </w:p>
        </w:tc>
      </w:tr>
      <w:tr>
        <w:tc>
          <w:tcPr/>
          <w:p>
            <w:pPr>
              <w:pStyle w:val="Compact"/>
            </w:pPr>
            <w:r>
              <w:t xml:space="preserve">Sales Agents and Commissions</w:t>
            </w:r>
          </w:p>
        </w:tc>
        <w:tc>
          <w:tcPr/>
          <w:p>
            <w:pPr>
              <w:pStyle w:val="Compact"/>
            </w:pPr>
            <w:r>
              <w:t xml:space="preserve">100,000</w:t>
            </w:r>
          </w:p>
        </w:tc>
        <w:tc>
          <w:tcPr/>
          <w:p>
            <w:pPr>
              <w:pStyle w:val="Compact"/>
            </w:pPr>
            <w:r>
              <w:t xml:space="preserve">~$27</w:t>
            </w:r>
          </w:p>
        </w:tc>
      </w:tr>
      <w:tr>
        <w:tc>
          <w:tcPr/>
          <w:p>
            <w:pPr>
              <w:pStyle w:val="Compact"/>
            </w:pPr>
            <w:r>
              <w:t xml:space="preserve">Asset Management</w:t>
            </w:r>
          </w:p>
        </w:tc>
        <w:tc>
          <w:tcPr/>
          <w:p>
            <w:pPr>
              <w:pStyle w:val="Compact"/>
            </w:pPr>
            <w:r>
              <w:t xml:space="preserve">100,000</w:t>
            </w:r>
          </w:p>
        </w:tc>
        <w:tc>
          <w:tcPr/>
          <w:p>
            <w:pPr>
              <w:pStyle w:val="Compact"/>
            </w:pPr>
            <w:r>
              <w:t xml:space="preserve">~$27</w:t>
            </w:r>
          </w:p>
        </w:tc>
      </w:tr>
    </w:tbl>
    <w:p>
      <w:pPr>
        <w:pStyle w:val="BodyText"/>
      </w:pPr>
      <w:r>
        <w:rPr>
          <w:i/>
          <w:iCs/>
        </w:rPr>
        <w:t xml:space="preserve">Total add-on cost if all 10 are activated individually: UGX 1,490,000/month (excluding POS terminal count).</w:t>
      </w:r>
    </w:p>
    <w:bookmarkEnd w:id="33"/>
    <w:bookmarkStart w:id="34" w:name="annual-billing-discount"/>
    <w:p>
      <w:pPr>
        <w:pStyle w:val="Heading2"/>
      </w:pPr>
      <w:r>
        <w:t xml:space="preserve">Annual Billing Discount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Plan</w:t>
            </w:r>
          </w:p>
        </w:tc>
        <w:tc>
          <w:tcPr/>
          <w:p>
            <w:pPr>
              <w:pStyle w:val="Compact"/>
            </w:pPr>
            <w:r>
              <w:t xml:space="preserve">Monthly (×12)</w:t>
            </w:r>
          </w:p>
        </w:tc>
        <w:tc>
          <w:tcPr/>
          <w:p>
            <w:pPr>
              <w:pStyle w:val="Compact"/>
            </w:pPr>
            <w:r>
              <w:t xml:space="preserve">Annual Charge (×10)</w:t>
            </w:r>
          </w:p>
        </w:tc>
        <w:tc>
          <w:tcPr/>
          <w:p>
            <w:pPr>
              <w:pStyle w:val="Compact"/>
            </w:pPr>
            <w:r>
              <w:t xml:space="preserve">Annual Saving</w:t>
            </w:r>
          </w:p>
        </w:tc>
        <w:tc>
          <w:tcPr/>
          <w:p>
            <w:pPr>
              <w:pStyle w:val="Compact"/>
            </w:pPr>
            <w:r>
              <w:t xml:space="preserve">Effective Monthly Rate</w:t>
            </w:r>
          </w:p>
        </w:tc>
      </w:tr>
      <w:tr>
        <w:tc>
          <w:tcPr/>
          <w:p>
            <w:pPr>
              <w:pStyle w:val="Compact"/>
            </w:pPr>
            <w:r>
              <w:t xml:space="preserve">Starter</w:t>
            </w:r>
          </w:p>
        </w:tc>
        <w:tc>
          <w:tcPr/>
          <w:p>
            <w:pPr>
              <w:pStyle w:val="Compact"/>
            </w:pPr>
            <w:r>
              <w:t xml:space="preserve">UGX 3,000,000</w:t>
            </w:r>
          </w:p>
        </w:tc>
        <w:tc>
          <w:tcPr/>
          <w:p>
            <w:pPr>
              <w:pStyle w:val="Compact"/>
            </w:pPr>
            <w:r>
              <w:t xml:space="preserve">UGX 2,500,000</w:t>
            </w:r>
          </w:p>
        </w:tc>
        <w:tc>
          <w:tcPr/>
          <w:p>
            <w:pPr>
              <w:pStyle w:val="Compact"/>
            </w:pPr>
            <w:r>
              <w:t xml:space="preserve">UGX 500,000</w:t>
            </w:r>
          </w:p>
        </w:tc>
        <w:tc>
          <w:tcPr/>
          <w:p>
            <w:pPr>
              <w:pStyle w:val="Compact"/>
            </w:pPr>
            <w:r>
              <w:t xml:space="preserve">UGX 208,333</w:t>
            </w:r>
          </w:p>
        </w:tc>
      </w:tr>
      <w:tr>
        <w:tc>
          <w:tcPr/>
          <w:p>
            <w:pPr>
              <w:pStyle w:val="Compact"/>
            </w:pPr>
            <w:r>
              <w:t xml:space="preserve">Small Business</w:t>
            </w:r>
          </w:p>
        </w:tc>
        <w:tc>
          <w:tcPr/>
          <w:p>
            <w:pPr>
              <w:pStyle w:val="Compact"/>
            </w:pPr>
            <w:r>
              <w:t xml:space="preserve">UGX 6,000,000</w:t>
            </w:r>
          </w:p>
        </w:tc>
        <w:tc>
          <w:tcPr/>
          <w:p>
            <w:pPr>
              <w:pStyle w:val="Compact"/>
            </w:pPr>
            <w:r>
              <w:t xml:space="preserve">UGX 5,000,000</w:t>
            </w:r>
          </w:p>
        </w:tc>
        <w:tc>
          <w:tcPr/>
          <w:p>
            <w:pPr>
              <w:pStyle w:val="Compact"/>
            </w:pPr>
            <w:r>
              <w:t xml:space="preserve">UGX 1,000,000</w:t>
            </w:r>
          </w:p>
        </w:tc>
        <w:tc>
          <w:tcPr/>
          <w:p>
            <w:pPr>
              <w:pStyle w:val="Compact"/>
            </w:pPr>
            <w:r>
              <w:t xml:space="preserve">UGX 416,667</w:t>
            </w:r>
          </w:p>
        </w:tc>
      </w:tr>
      <w:tr>
        <w:tc>
          <w:tcPr/>
          <w:p>
            <w:pPr>
              <w:pStyle w:val="Compact"/>
            </w:pPr>
            <w:r>
              <w:t xml:space="preserve">Professional</w:t>
            </w:r>
          </w:p>
        </w:tc>
        <w:tc>
          <w:tcPr/>
          <w:p>
            <w:pPr>
              <w:pStyle w:val="Compact"/>
            </w:pPr>
            <w:r>
              <w:t xml:space="preserve">UGX 12,000,000</w:t>
            </w:r>
          </w:p>
        </w:tc>
        <w:tc>
          <w:tcPr/>
          <w:p>
            <w:pPr>
              <w:pStyle w:val="Compact"/>
            </w:pPr>
            <w:r>
              <w:t xml:space="preserve">UGX 10,000,000</w:t>
            </w:r>
          </w:p>
        </w:tc>
        <w:tc>
          <w:tcPr/>
          <w:p>
            <w:pPr>
              <w:pStyle w:val="Compact"/>
            </w:pPr>
            <w:r>
              <w:t xml:space="preserve">UGX 2,000,000</w:t>
            </w:r>
          </w:p>
        </w:tc>
        <w:tc>
          <w:tcPr/>
          <w:p>
            <w:pPr>
              <w:pStyle w:val="Compact"/>
            </w:pPr>
            <w:r>
              <w:t xml:space="preserve">UGX 833,333</w:t>
            </w:r>
          </w:p>
        </w:tc>
      </w:tr>
      <w:tr>
        <w:tc>
          <w:tcPr/>
          <w:p>
            <w:pPr>
              <w:pStyle w:val="Compact"/>
            </w:pPr>
            <w:r>
              <w:t xml:space="preserve">Business</w:t>
            </w:r>
          </w:p>
        </w:tc>
        <w:tc>
          <w:tcPr/>
          <w:p>
            <w:pPr>
              <w:pStyle w:val="Compact"/>
            </w:pPr>
            <w:r>
              <w:t xml:space="preserve">UGX 21,000,000</w:t>
            </w:r>
          </w:p>
        </w:tc>
        <w:tc>
          <w:tcPr/>
          <w:p>
            <w:pPr>
              <w:pStyle w:val="Compact"/>
            </w:pPr>
            <w:r>
              <w:t xml:space="preserve">UGX 17,500,000</w:t>
            </w:r>
          </w:p>
        </w:tc>
        <w:tc>
          <w:tcPr/>
          <w:p>
            <w:pPr>
              <w:pStyle w:val="Compact"/>
            </w:pPr>
            <w:r>
              <w:t xml:space="preserve">UGX 3,500,000</w:t>
            </w:r>
          </w:p>
        </w:tc>
        <w:tc>
          <w:tcPr/>
          <w:p>
            <w:pPr>
              <w:pStyle w:val="Compact"/>
            </w:pPr>
            <w:r>
              <w:t xml:space="preserve">UGX 1,458,333</w:t>
            </w:r>
          </w:p>
        </w:tc>
      </w:tr>
      <w:tr>
        <w:tc>
          <w:tcPr/>
          <w:p>
            <w:pPr>
              <w:pStyle w:val="Compact"/>
            </w:pPr>
            <w:r>
              <w:t xml:space="preserve">Enterprise</w:t>
            </w:r>
          </w:p>
        </w:tc>
        <w:tc>
          <w:tcPr/>
          <w:p>
            <w:pPr>
              <w:pStyle w:val="Compact"/>
            </w:pPr>
            <w:r>
              <w:t xml:space="preserve">UGX 30,000,000</w:t>
            </w:r>
          </w:p>
        </w:tc>
        <w:tc>
          <w:tcPr/>
          <w:p>
            <w:pPr>
              <w:pStyle w:val="Compact"/>
            </w:pPr>
            <w:r>
              <w:t xml:space="preserve">UGX 25,000,000</w:t>
            </w:r>
          </w:p>
        </w:tc>
        <w:tc>
          <w:tcPr/>
          <w:p>
            <w:pPr>
              <w:pStyle w:val="Compact"/>
            </w:pPr>
            <w:r>
              <w:t xml:space="preserve">UGX 5,000,000</w:t>
            </w:r>
          </w:p>
        </w:tc>
        <w:tc>
          <w:tcPr/>
          <w:p>
            <w:pPr>
              <w:pStyle w:val="Compact"/>
            </w:pPr>
            <w:r>
              <w:t xml:space="preserve">UGX 2,083,333</w:t>
            </w:r>
          </w:p>
        </w:tc>
      </w:tr>
    </w:tbl>
    <w:bookmarkEnd w:id="34"/>
    <w:bookmarkStart w:id="35" w:name="accepted-payment-methods"/>
    <w:p>
      <w:pPr>
        <w:pStyle w:val="Heading2"/>
      </w:pPr>
      <w:r>
        <w:t xml:space="preserve">Accepted Payment Methods</w:t>
      </w:r>
    </w:p>
    <w:p>
      <w:pPr>
        <w:pStyle w:val="Compact"/>
        <w:numPr>
          <w:ilvl w:val="0"/>
          <w:numId w:val="1003"/>
        </w:numPr>
      </w:pPr>
      <w:r>
        <w:t xml:space="preserve">Debit or credit card (Visa, Mastercard) via the billing portal</w:t>
      </w:r>
    </w:p>
    <w:p>
      <w:pPr>
        <w:pStyle w:val="Compact"/>
        <w:numPr>
          <w:ilvl w:val="0"/>
          <w:numId w:val="1003"/>
        </w:numPr>
      </w:pPr>
      <w:r>
        <w:t xml:space="preserve">Bank transfer to the Chwezi Core Systems business account</w:t>
      </w:r>
    </w:p>
    <w:p>
      <w:pPr>
        <w:pStyle w:val="Compact"/>
        <w:numPr>
          <w:ilvl w:val="0"/>
          <w:numId w:val="1003"/>
        </w:numPr>
      </w:pPr>
      <w:r>
        <w:t xml:space="preserve">MTN MoMo Business Pay</w:t>
      </w:r>
    </w:p>
    <w:p>
      <w:pPr>
        <w:pStyle w:val="Compact"/>
        <w:numPr>
          <w:ilvl w:val="0"/>
          <w:numId w:val="1003"/>
        </w:numPr>
      </w:pPr>
      <w:r>
        <w:t xml:space="preserve">M-Pesa Lipa na M-Pesa (Kenya)</w:t>
      </w:r>
    </w:p>
    <w:p>
      <w:pPr>
        <w:pStyle w:val="FirstParagraph"/>
      </w:pPr>
      <w:r>
        <w:t xml:space="preserve">Payment is due on the first of each billing period. Accounts overdue by more than 7 days enter a grace period with restricted access. Accounts overdue by more than 30 days are suspended. Data is retained for 90 days post-suspension before archival.</w:t>
      </w:r>
    </w:p>
    <w:bookmarkEnd w:id="35"/>
    <w:bookmarkEnd w:id="36"/>
    <w:bookmarkStart w:id="44" w:name="revenue-model-and-financial-milestones"/>
    <w:p>
      <w:pPr>
        <w:pStyle w:val="Heading1"/>
      </w:pPr>
      <w:r>
        <w:t xml:space="preserve">Revenue Model and Financial Milestones</w:t>
      </w:r>
    </w:p>
    <w:bookmarkStart w:id="37" w:name="revenue-architecture"/>
    <w:p>
      <w:pPr>
        <w:pStyle w:val="Heading2"/>
      </w:pPr>
      <w:r>
        <w:t xml:space="preserve">Revenue Architecture</w:t>
      </w:r>
    </w:p>
    <w:p>
      <w:pPr>
        <w:pStyle w:val="FirstParagraph"/>
      </w:pPr>
      <w:r>
        <w:t xml:space="preserve">Longhorn ERP generates revenue from 3 streams:</w:t>
      </w:r>
    </w:p>
    <w:p>
      <w:pPr>
        <w:pStyle w:val="Compact"/>
        <w:numPr>
          <w:ilvl w:val="0"/>
          <w:numId w:val="1004"/>
        </w:numPr>
      </w:pPr>
      <w:r>
        <w:rPr>
          <w:b/>
          <w:bCs/>
        </w:rPr>
        <w:t xml:space="preserve">Subscription MRR</w:t>
      </w:r>
      <w:r>
        <w:t xml:space="preserve"> </w:t>
      </w:r>
      <w:r>
        <w:t xml:space="preserve">— recurring monthly or annual subscriptions at the tier rates defined in Section 4.</w:t>
      </w:r>
    </w:p>
    <w:p>
      <w:pPr>
        <w:pStyle w:val="Compact"/>
        <w:numPr>
          <w:ilvl w:val="0"/>
          <w:numId w:val="1004"/>
        </w:numPr>
      </w:pPr>
      <w:r>
        <w:rPr>
          <w:b/>
          <w:bCs/>
        </w:rPr>
        <w:t xml:space="preserve">Add-on MRR</w:t>
      </w:r>
      <w:r>
        <w:t xml:space="preserve"> </w:t>
      </w:r>
      <w:r>
        <w:t xml:space="preserve">— per-module activation fees stacked on top of base plan subscriptions.</w:t>
      </w:r>
    </w:p>
    <w:p>
      <w:pPr>
        <w:pStyle w:val="Compact"/>
        <w:numPr>
          <w:ilvl w:val="0"/>
          <w:numId w:val="1004"/>
        </w:numPr>
      </w:pPr>
      <w:r>
        <w:rPr>
          <w:b/>
          <w:bCs/>
        </w:rPr>
        <w:t xml:space="preserve">Future streams (post-Phase 1)</w:t>
      </w:r>
      <w:r>
        <w:t xml:space="preserve"> </w:t>
      </w:r>
      <w:r>
        <w:t xml:space="preserve">— white-label licensing, API access tiers, and migration service fees. These are not modelled in Phase 1 projections. [CONTEXT-GAP: white-labelling policy — see GAP-015]</w:t>
      </w:r>
    </w:p>
    <w:bookmarkEnd w:id="37"/>
    <w:bookmarkStart w:id="42" w:name="phase-revenue-milestones"/>
    <w:p>
      <w:pPr>
        <w:pStyle w:val="Heading2"/>
      </w:pPr>
      <w:r>
        <w:t xml:space="preserve">Phase Revenue Milestones</w:t>
      </w:r>
    </w:p>
    <w:bookmarkStart w:id="38" w:name="phase-1--uganda-target-ugx-56m-mrr"/>
    <w:p>
      <w:pPr>
        <w:pStyle w:val="Heading3"/>
      </w:pPr>
      <w:r>
        <w:t xml:space="preserve">Phase 1 — Uganda (Target: UGX 56M MRR)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Market</w:t>
            </w:r>
          </w:p>
        </w:tc>
        <w:tc>
          <w:tcPr/>
          <w:p>
            <w:pPr>
              <w:pStyle w:val="Compact"/>
            </w:pPr>
            <w:r>
              <w:t xml:space="preserve">Uganda</w:t>
            </w:r>
          </w:p>
        </w:tc>
      </w:tr>
      <w:tr>
        <w:tc>
          <w:tcPr/>
          <w:p>
            <w:pPr>
              <w:pStyle w:val="Compact"/>
            </w:pPr>
            <w:r>
              <w:t xml:space="preserve">Target client count</w:t>
            </w:r>
          </w:p>
        </w:tc>
        <w:tc>
          <w:tcPr/>
          <w:p>
            <w:pPr>
              <w:pStyle w:val="Compact"/>
            </w:pPr>
            <w:r>
              <w:t xml:space="preserve">60–100 paying organisations</w:t>
            </w:r>
          </w:p>
        </w:tc>
      </w:tr>
      <w:tr>
        <w:tc>
          <w:tcPr/>
          <w:p>
            <w:pPr>
              <w:pStyle w:val="Compact"/>
            </w:pPr>
            <w:r>
              <w:t xml:space="preserve">Average MRR per client</w:t>
            </w:r>
          </w:p>
        </w:tc>
        <w:tc>
          <w:tcPr/>
          <w:p>
            <w:pPr>
              <w:pStyle w:val="Compact"/>
            </w:pPr>
            <w:r>
              <w:t xml:space="preserve">UGX 560,000–933,000</w:t>
            </w:r>
          </w:p>
        </w:tc>
      </w:tr>
      <w:tr>
        <w:tc>
          <w:tcPr/>
          <w:p>
            <w:pPr>
              <w:pStyle w:val="Compact"/>
            </w:pPr>
            <w:r>
              <w:t xml:space="preserve">Total MRR target</w:t>
            </w:r>
          </w:p>
        </w:tc>
        <w:tc>
          <w:tcPr/>
          <w:p>
            <w:pPr>
              <w:pStyle w:val="Compact"/>
            </w:pPr>
            <w:r>
              <w:t xml:space="preserve">UGX 56,000,000 (~$15K)</w:t>
            </w:r>
          </w:p>
        </w:tc>
      </w:tr>
      <w:tr>
        <w:tc>
          <w:tcPr/>
          <w:p>
            <w:pPr>
              <w:pStyle w:val="Compact"/>
            </w:pPr>
            <w:r>
              <w:t xml:space="preserve">Timeline</w:t>
            </w:r>
          </w:p>
        </w:tc>
        <w:tc>
          <w:tcPr/>
          <w:p>
            <w:pPr>
              <w:pStyle w:val="Compact"/>
            </w:pPr>
            <w:r>
              <w:t xml:space="preserve">12 months post-launch</w:t>
            </w:r>
          </w:p>
        </w:tc>
      </w:tr>
    </w:tbl>
    <w:p>
      <w:pPr>
        <w:pStyle w:val="BodyText"/>
      </w:pPr>
      <w:r>
        <w:rPr>
          <w:b/>
          <w:bCs/>
        </w:rPr>
        <w:t xml:space="preserve">Key activities:</w:t>
      </w:r>
    </w:p>
    <w:p>
      <w:pPr>
        <w:pStyle w:val="Compact"/>
        <w:numPr>
          <w:ilvl w:val="0"/>
          <w:numId w:val="1005"/>
        </w:numPr>
      </w:pPr>
      <w:r>
        <w:t xml:space="preserve">Direct sales to mid-sized trading, manufacturing, and service companies in Kampala metropolitan area.</w:t>
      </w:r>
    </w:p>
    <w:p>
      <w:pPr>
        <w:pStyle w:val="Compact"/>
        <w:numPr>
          <w:ilvl w:val="0"/>
          <w:numId w:val="1005"/>
        </w:numPr>
      </w:pPr>
      <w:r>
        <w:t xml:space="preserve">Referral partnerships with accounting firms and bookkeeping practices.</w:t>
      </w:r>
    </w:p>
    <w:p>
      <w:pPr>
        <w:pStyle w:val="Compact"/>
        <w:numPr>
          <w:ilvl w:val="0"/>
          <w:numId w:val="1005"/>
        </w:numPr>
      </w:pPr>
      <w:r>
        <w:t xml:space="preserve">EFRIS compliance as a lead-generation angle — target businesses receiving URA compliance notices.</w:t>
      </w:r>
    </w:p>
    <w:p>
      <w:pPr>
        <w:pStyle w:val="Compact"/>
        <w:numPr>
          <w:ilvl w:val="0"/>
          <w:numId w:val="1005"/>
        </w:numPr>
      </w:pPr>
      <w:r>
        <w:t xml:space="preserve">Freemium or time-limited trial to reduce evaluation friction (trial period duration to be decided).</w:t>
      </w:r>
    </w:p>
    <w:p>
      <w:pPr>
        <w:pStyle w:val="Compact"/>
        <w:numPr>
          <w:ilvl w:val="0"/>
          <w:numId w:val="1005"/>
        </w:numPr>
      </w:pPr>
      <w:r>
        <w:t xml:space="preserve">Onboard 10 anchor clients in Month 1–3 to generate case studies and referral momentum.</w:t>
      </w:r>
    </w:p>
    <w:bookmarkEnd w:id="38"/>
    <w:bookmarkStart w:id="39" w:name="phase-2--east-africa-target-ugx-188m-mrr"/>
    <w:p>
      <w:pPr>
        <w:pStyle w:val="Heading3"/>
      </w:pPr>
      <w:r>
        <w:t xml:space="preserve">Phase 2 — East Africa (Target: UGX 188M MRR)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Market</w:t>
            </w:r>
          </w:p>
        </w:tc>
        <w:tc>
          <w:tcPr/>
          <w:p>
            <w:pPr>
              <w:pStyle w:val="Compact"/>
            </w:pPr>
            <w:r>
              <w:t xml:space="preserve">Kenya, Tanzania, Rwanda added to Uganda</w:t>
            </w:r>
          </w:p>
        </w:tc>
      </w:tr>
      <w:tr>
        <w:tc>
          <w:tcPr/>
          <w:p>
            <w:pPr>
              <w:pStyle w:val="Compact"/>
            </w:pPr>
            <w:r>
              <w:t xml:space="preserve">Target client count</w:t>
            </w:r>
          </w:p>
        </w:tc>
        <w:tc>
          <w:tcPr/>
          <w:p>
            <w:pPr>
              <w:pStyle w:val="Compact"/>
            </w:pPr>
            <w:r>
              <w:t xml:space="preserve">250–350 paying organisations</w:t>
            </w:r>
          </w:p>
        </w:tc>
      </w:tr>
      <w:tr>
        <w:tc>
          <w:tcPr/>
          <w:p>
            <w:pPr>
              <w:pStyle w:val="Compact"/>
            </w:pPr>
            <w:r>
              <w:t xml:space="preserve">Average MRR per client</w:t>
            </w:r>
          </w:p>
        </w:tc>
        <w:tc>
          <w:tcPr/>
          <w:p>
            <w:pPr>
              <w:pStyle w:val="Compact"/>
            </w:pPr>
            <w:r>
              <w:t xml:space="preserve">UGX 537,000–752,000</w:t>
            </w:r>
          </w:p>
        </w:tc>
      </w:tr>
      <w:tr>
        <w:tc>
          <w:tcPr/>
          <w:p>
            <w:pPr>
              <w:pStyle w:val="Compact"/>
            </w:pPr>
            <w:r>
              <w:t xml:space="preserve">Total MRR target</w:t>
            </w:r>
          </w:p>
        </w:tc>
        <w:tc>
          <w:tcPr/>
          <w:p>
            <w:pPr>
              <w:pStyle w:val="Compact"/>
            </w:pPr>
            <w:r>
              <w:t xml:space="preserve">UGX 188,000,000 (~$50K)</w:t>
            </w:r>
          </w:p>
        </w:tc>
      </w:tr>
      <w:tr>
        <w:tc>
          <w:tcPr/>
          <w:p>
            <w:pPr>
              <w:pStyle w:val="Compact"/>
            </w:pPr>
            <w:r>
              <w:t xml:space="preserve">Timeline</w:t>
            </w:r>
          </w:p>
        </w:tc>
        <w:tc>
          <w:tcPr/>
          <w:p>
            <w:pPr>
              <w:pStyle w:val="Compact"/>
            </w:pPr>
            <w:r>
              <w:t xml:space="preserve">24 months post-launch</w:t>
            </w:r>
          </w:p>
        </w:tc>
      </w:tr>
    </w:tbl>
    <w:p>
      <w:pPr>
        <w:pStyle w:val="BodyText"/>
      </w:pPr>
      <w:r>
        <w:rPr>
          <w:b/>
          <w:bCs/>
        </w:rPr>
        <w:t xml:space="preserve">Key activities:</w:t>
      </w:r>
    </w:p>
    <w:p>
      <w:pPr>
        <w:pStyle w:val="Compact"/>
        <w:numPr>
          <w:ilvl w:val="0"/>
          <w:numId w:val="1006"/>
        </w:numPr>
      </w:pPr>
      <w:r>
        <w:t xml:space="preserve">Kenya localisation profile: Kenya Revenue Authority (KRA) iTax integration, M-Pesa Daraja, Kenya Shilling (KES) pricing tier.</w:t>
      </w:r>
    </w:p>
    <w:p>
      <w:pPr>
        <w:pStyle w:val="Compact"/>
        <w:numPr>
          <w:ilvl w:val="0"/>
          <w:numId w:val="1006"/>
        </w:numPr>
      </w:pPr>
      <w:r>
        <w:t xml:space="preserve">Tanzania localisation profile: Tanzania Revenue Authority (TRA) integration, KES/Tanzania Shilling (TZS) pricing.</w:t>
      </w:r>
    </w:p>
    <w:p>
      <w:pPr>
        <w:pStyle w:val="Compact"/>
        <w:numPr>
          <w:ilvl w:val="0"/>
          <w:numId w:val="1006"/>
        </w:numPr>
      </w:pPr>
      <w:r>
        <w:t xml:space="preserve">Rwanda localisation: Rwanda Revenue Authority (RRA) integration, Rwandan Franc (RWF) pricing.</w:t>
      </w:r>
    </w:p>
    <w:p>
      <w:pPr>
        <w:pStyle w:val="Compact"/>
        <w:numPr>
          <w:ilvl w:val="0"/>
          <w:numId w:val="1006"/>
        </w:numPr>
      </w:pPr>
      <w:r>
        <w:t xml:space="preserve">Establish channel reseller agreements in each market.</w:t>
      </w:r>
    </w:p>
    <w:p>
      <w:pPr>
        <w:pStyle w:val="Compact"/>
        <w:numPr>
          <w:ilvl w:val="0"/>
          <w:numId w:val="1006"/>
        </w:numPr>
      </w:pPr>
      <w:r>
        <w:t xml:space="preserve">Launch Odoo and ERPNext migration scripts to accelerate switching (see GAP-013).</w:t>
      </w:r>
    </w:p>
    <w:bookmarkEnd w:id="39"/>
    <w:bookmarkStart w:id="40" w:name="Xc96e5dbc15a52c4ce87b7c707e01444a98cc2da"/>
    <w:p>
      <w:pPr>
        <w:pStyle w:val="Heading3"/>
      </w:pPr>
      <w:r>
        <w:t xml:space="preserve">Phase 3 — Francophone Africa and Regional Expansion (Target: UGX 450M MRR)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Market</w:t>
            </w:r>
          </w:p>
        </w:tc>
        <w:tc>
          <w:tcPr/>
          <w:p>
            <w:pPr>
              <w:pStyle w:val="Compact"/>
            </w:pPr>
            <w:r>
              <w:t xml:space="preserve">DRC, Cameroon, Côte d'Ivoire, Senegal, Mali, Burkina Faso; South Sudan; Burundi</w:t>
            </w:r>
          </w:p>
        </w:tc>
      </w:tr>
      <w:tr>
        <w:tc>
          <w:tcPr/>
          <w:p>
            <w:pPr>
              <w:pStyle w:val="Compact"/>
            </w:pPr>
            <w:r>
              <w:t xml:space="preserve">Target client count</w:t>
            </w:r>
          </w:p>
        </w:tc>
        <w:tc>
          <w:tcPr/>
          <w:p>
            <w:pPr>
              <w:pStyle w:val="Compact"/>
            </w:pPr>
            <w:r>
              <w:t xml:space="preserve">700–1,000 paying organisations</w:t>
            </w:r>
          </w:p>
        </w:tc>
      </w:tr>
      <w:tr>
        <w:tc>
          <w:tcPr/>
          <w:p>
            <w:pPr>
              <w:pStyle w:val="Compact"/>
            </w:pPr>
            <w:r>
              <w:t xml:space="preserve">Average MRR per client</w:t>
            </w:r>
          </w:p>
        </w:tc>
        <w:tc>
          <w:tcPr/>
          <w:p>
            <w:pPr>
              <w:pStyle w:val="Compact"/>
            </w:pPr>
            <w:r>
              <w:t xml:space="preserve">UGX 450,000–643,000</w:t>
            </w:r>
          </w:p>
        </w:tc>
      </w:tr>
      <w:tr>
        <w:tc>
          <w:tcPr/>
          <w:p>
            <w:pPr>
              <w:pStyle w:val="Compact"/>
            </w:pPr>
            <w:r>
              <w:t xml:space="preserve">Total MRR target</w:t>
            </w:r>
          </w:p>
        </w:tc>
        <w:tc>
          <w:tcPr/>
          <w:p>
            <w:pPr>
              <w:pStyle w:val="Compact"/>
            </w:pPr>
            <w:r>
              <w:t xml:space="preserve">UGX 450,000,000 (~$120K)</w:t>
            </w:r>
          </w:p>
        </w:tc>
      </w:tr>
      <w:tr>
        <w:tc>
          <w:tcPr/>
          <w:p>
            <w:pPr>
              <w:pStyle w:val="Compact"/>
            </w:pPr>
            <w:r>
              <w:t xml:space="preserve">Timeline</w:t>
            </w:r>
          </w:p>
        </w:tc>
        <w:tc>
          <w:tcPr/>
          <w:p>
            <w:pPr>
              <w:pStyle w:val="Compact"/>
            </w:pPr>
            <w:r>
              <w:t xml:space="preserve">36 months post-launch</w:t>
            </w:r>
          </w:p>
        </w:tc>
      </w:tr>
    </w:tbl>
    <w:p>
      <w:pPr>
        <w:pStyle w:val="BodyText"/>
      </w:pPr>
      <w:r>
        <w:rPr>
          <w:b/>
          <w:bCs/>
        </w:rPr>
        <w:t xml:space="preserve">Key activities:</w:t>
      </w:r>
    </w:p>
    <w:p>
      <w:pPr>
        <w:pStyle w:val="Compact"/>
        <w:numPr>
          <w:ilvl w:val="0"/>
          <w:numId w:val="1007"/>
        </w:numPr>
      </w:pPr>
      <w:r>
        <w:t xml:space="preserve">OHADA SYSCOHADA 2017 chart of accounts integration for Francophone localisation (see GAP-010).</w:t>
      </w:r>
    </w:p>
    <w:p>
      <w:pPr>
        <w:pStyle w:val="Compact"/>
        <w:numPr>
          <w:ilvl w:val="0"/>
          <w:numId w:val="1007"/>
        </w:numPr>
      </w:pPr>
      <w:r>
        <w:t xml:space="preserve">French language interface.</w:t>
      </w:r>
    </w:p>
    <w:p>
      <w:pPr>
        <w:pStyle w:val="Compact"/>
        <w:numPr>
          <w:ilvl w:val="0"/>
          <w:numId w:val="1007"/>
        </w:numPr>
      </w:pPr>
      <w:r>
        <w:t xml:space="preserve">CFA Franc (XOF/XAF) pricing tiers.</w:t>
      </w:r>
    </w:p>
    <w:p>
      <w:pPr>
        <w:pStyle w:val="Compact"/>
        <w:numPr>
          <w:ilvl w:val="0"/>
          <w:numId w:val="1007"/>
        </w:numPr>
      </w:pPr>
      <w:r>
        <w:t xml:space="preserve">Orange Money and Wave mobile money integrations for West Africa.</w:t>
      </w:r>
    </w:p>
    <w:p>
      <w:pPr>
        <w:pStyle w:val="Compact"/>
        <w:numPr>
          <w:ilvl w:val="0"/>
          <w:numId w:val="1007"/>
        </w:numPr>
      </w:pPr>
      <w:r>
        <w:t xml:space="preserve">Partner-led distribution in markets where direct sales presence is not cost-effective.</w:t>
      </w:r>
    </w:p>
    <w:bookmarkEnd w:id="40"/>
    <w:bookmarkStart w:id="41" w:name="Xa4b6483ee73992dddb7c244db8a1e610edb7a81"/>
    <w:p>
      <w:pPr>
        <w:pStyle w:val="Heading3"/>
      </w:pPr>
      <w:r>
        <w:t xml:space="preserve">Phase 4 — Enterprise and Global (Target: UGX 1.1B+ MRR)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Market</w:t>
            </w:r>
          </w:p>
        </w:tc>
        <w:tc>
          <w:tcPr/>
          <w:p>
            <w:pPr>
              <w:pStyle w:val="Compact"/>
            </w:pPr>
            <w:r>
              <w:t xml:space="preserve">Enterprise accounts in Africa + global configurability</w:t>
            </w:r>
          </w:p>
        </w:tc>
      </w:tr>
      <w:tr>
        <w:tc>
          <w:tcPr/>
          <w:p>
            <w:pPr>
              <w:pStyle w:val="Compact"/>
            </w:pPr>
            <w:r>
              <w:t xml:space="preserve">Target client count</w:t>
            </w:r>
          </w:p>
        </w:tc>
        <w:tc>
          <w:tcPr/>
          <w:p>
            <w:pPr>
              <w:pStyle w:val="Compact"/>
            </w:pPr>
            <w:r>
              <w:t xml:space="preserve">1,500+ paying organisations; 50+ Enterprise accounts</w:t>
            </w:r>
          </w:p>
        </w:tc>
      </w:tr>
      <w:tr>
        <w:tc>
          <w:tcPr/>
          <w:p>
            <w:pPr>
              <w:pStyle w:val="Compact"/>
            </w:pPr>
            <w:r>
              <w:t xml:space="preserve">Average MRR per client</w:t>
            </w:r>
          </w:p>
        </w:tc>
        <w:tc>
          <w:tcPr/>
          <w:p>
            <w:pPr>
              <w:pStyle w:val="Compact"/>
            </w:pPr>
            <w:r>
              <w:t xml:space="preserve">UGX 733,000+</w:t>
            </w:r>
          </w:p>
        </w:tc>
      </w:tr>
      <w:tr>
        <w:tc>
          <w:tcPr/>
          <w:p>
            <w:pPr>
              <w:pStyle w:val="Compact"/>
            </w:pPr>
            <w:r>
              <w:t xml:space="preserve">Total MRR target</w:t>
            </w:r>
          </w:p>
        </w:tc>
        <w:tc>
          <w:tcPr/>
          <w:p>
            <w:pPr>
              <w:pStyle w:val="Compact"/>
            </w:pPr>
            <w:r>
              <w:t xml:space="preserve">UGX 1,100,000,000+ (~$300K+)</w:t>
            </w:r>
          </w:p>
        </w:tc>
      </w:tr>
      <w:tr>
        <w:tc>
          <w:tcPr/>
          <w:p>
            <w:pPr>
              <w:pStyle w:val="Compact"/>
            </w:pPr>
            <w:r>
              <w:t xml:space="preserve">Timeline</w:t>
            </w:r>
          </w:p>
        </w:tc>
        <w:tc>
          <w:tcPr/>
          <w:p>
            <w:pPr>
              <w:pStyle w:val="Compact"/>
            </w:pPr>
            <w:r>
              <w:t xml:space="preserve">48–60 months post-launch</w:t>
            </w:r>
          </w:p>
        </w:tc>
      </w:tr>
    </w:tbl>
    <w:p>
      <w:pPr>
        <w:pStyle w:val="BodyText"/>
      </w:pPr>
      <w:r>
        <w:rPr>
          <w:b/>
          <w:bCs/>
        </w:rPr>
        <w:t xml:space="preserve">Key activities:</w:t>
      </w:r>
    </w:p>
    <w:p>
      <w:pPr>
        <w:pStyle w:val="Compact"/>
        <w:numPr>
          <w:ilvl w:val="0"/>
          <w:numId w:val="1008"/>
        </w:numPr>
      </w:pPr>
      <w:r>
        <w:t xml:space="preserve">Global localisation framework: any country addable via localisation profile with no code changes.</w:t>
      </w:r>
    </w:p>
    <w:p>
      <w:pPr>
        <w:pStyle w:val="Compact"/>
        <w:numPr>
          <w:ilvl w:val="0"/>
          <w:numId w:val="1008"/>
        </w:numPr>
      </w:pPr>
      <w:r>
        <w:t xml:space="preserve">Enterprise-grade Service Level Agreement (SLA) offerings: uptime guarantee of ≥ 99.9%, dedicated infrastructure, named support contact.</w:t>
      </w:r>
    </w:p>
    <w:p>
      <w:pPr>
        <w:pStyle w:val="Compact"/>
        <w:numPr>
          <w:ilvl w:val="0"/>
          <w:numId w:val="1008"/>
        </w:numPr>
      </w:pPr>
      <w:r>
        <w:t xml:space="preserve">ISO/IEC 27001 certification to enable sales to regulated sectors (banking, healthcare, government).</w:t>
      </w:r>
    </w:p>
    <w:p>
      <w:pPr>
        <w:pStyle w:val="Compact"/>
        <w:numPr>
          <w:ilvl w:val="0"/>
          <w:numId w:val="1008"/>
        </w:numPr>
      </w:pPr>
      <w:r>
        <w:t xml:space="preserve">White-label licensing for Enterprise tenants (pending GAP-015 resolution).</w:t>
      </w:r>
    </w:p>
    <w:p>
      <w:pPr>
        <w:pStyle w:val="Compact"/>
        <w:numPr>
          <w:ilvl w:val="0"/>
          <w:numId w:val="1008"/>
        </w:numPr>
      </w:pPr>
      <w:r>
        <w:t xml:space="preserve">Public marketplace for third-party add-on modules.</w:t>
      </w:r>
    </w:p>
    <w:bookmarkEnd w:id="41"/>
    <w:bookmarkEnd w:id="42"/>
    <w:bookmarkStart w:id="43" w:name="break-even-analysis"/>
    <w:p>
      <w:pPr>
        <w:pStyle w:val="Heading2"/>
      </w:pPr>
      <w:r>
        <w:t xml:space="preserve">Break-Even Analysis</w:t>
      </w:r>
    </w:p>
    <w:p>
      <w:pPr>
        <w:pStyle w:val="FirstParagraph"/>
      </w:pPr>
      <w:r>
        <w:t xml:space="preserve">Chwezi Core Systems estimates baseline monthly operating costs (cloud infrastructure, salaries for 2–3 developers, legal and compliance, payment processing fees) at UGX 12M–15M/month in Phase 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Clients Required</w:t>
            </w:r>
          </w:p>
        </w:tc>
        <w:tc>
          <w:tcPr/>
          <w:p>
            <w:pPr>
              <w:pStyle w:val="Compact"/>
            </w:pPr>
            <w:r>
              <w:t xml:space="preserve">Assumption</w:t>
            </w:r>
          </w:p>
        </w:tc>
      </w:tr>
      <w:tr>
        <w:tc>
          <w:tcPr/>
          <w:p>
            <w:pPr>
              <w:pStyle w:val="Compact"/>
            </w:pPr>
            <w:r>
              <w:t xml:space="preserve">Break-even on Starter clients only</w:t>
            </w:r>
          </w:p>
        </w:tc>
        <w:tc>
          <w:tcPr/>
          <w:p>
            <w:pPr>
              <w:pStyle w:val="Compact"/>
            </w:pPr>
            <w:r>
              <w:t xml:space="preserve">48–60 clients</w:t>
            </w:r>
          </w:p>
        </w:tc>
        <w:tc>
          <w:tcPr/>
          <w:p>
            <w:pPr>
              <w:pStyle w:val="Compact"/>
            </w:pPr>
            <w:r>
              <w:t xml:space="preserve">UGX 250,000/month each</w:t>
            </w:r>
          </w:p>
        </w:tc>
      </w:tr>
      <w:tr>
        <w:tc>
          <w:tcPr/>
          <w:p>
            <w:pPr>
              <w:pStyle w:val="Compact"/>
            </w:pPr>
            <w:r>
              <w:t xml:space="preserve">Break-even on Small Business clients only</w:t>
            </w:r>
          </w:p>
        </w:tc>
        <w:tc>
          <w:tcPr/>
          <w:p>
            <w:pPr>
              <w:pStyle w:val="Compact"/>
            </w:pPr>
            <w:r>
              <w:t xml:space="preserve">24–30 clients</w:t>
            </w:r>
          </w:p>
        </w:tc>
        <w:tc>
          <w:tcPr/>
          <w:p>
            <w:pPr>
              <w:pStyle w:val="Compact"/>
            </w:pPr>
            <w:r>
              <w:t xml:space="preserve">UGX 500,000/month each</w:t>
            </w:r>
          </w:p>
        </w:tc>
      </w:tr>
      <w:tr>
        <w:tc>
          <w:tcPr/>
          <w:p>
            <w:pPr>
              <w:pStyle w:val="Compact"/>
            </w:pPr>
            <w:r>
              <w:t xml:space="preserve">Break-even on mixed portfolio (realistic)</w:t>
            </w:r>
          </w:p>
        </w:tc>
        <w:tc>
          <w:tcPr/>
          <w:p>
            <w:pPr>
              <w:pStyle w:val="Compact"/>
            </w:pPr>
            <w:r>
              <w:t xml:space="preserve">20–25 clients</w:t>
            </w:r>
          </w:p>
        </w:tc>
        <w:tc>
          <w:tcPr/>
          <w:p>
            <w:pPr>
              <w:pStyle w:val="Compact"/>
            </w:pPr>
            <w:r>
              <w:t xml:space="preserve">Blended average ~UGX 600,000/month</w:t>
            </w:r>
          </w:p>
        </w:tc>
      </w:tr>
    </w:tbl>
    <w:p>
      <w:pPr>
        <w:pStyle w:val="BodyText"/>
      </w:pPr>
      <w:r>
        <w:t xml:space="preserve">The Phase 1 MRR target of UGX 56M represents approximately 3.7–4.7× the break-even threshold, providing operating margin to fund Phase 2 market entry without external capital at that point.</w:t>
      </w:r>
    </w:p>
    <w:p>
      <w:pPr>
        <w:pStyle w:val="BodyText"/>
      </w:pPr>
      <w:r>
        <w:rPr>
          <w:i/>
          <w:iCs/>
        </w:rPr>
        <w:t xml:space="preserve">Note: Break-even figures assume no initial capital injection. If Chwezi Core Systems raises pre-launch funding, the break-even runway extends and the Phase 1 client target may be relaxed.</w:t>
      </w:r>
    </w:p>
    <w:bookmarkEnd w:id="43"/>
    <w:bookmarkEnd w:id="44"/>
    <w:bookmarkStart w:id="47" w:name="business-risk-register"/>
    <w:p>
      <w:pPr>
        <w:pStyle w:val="Heading1"/>
      </w:pPr>
      <w:r>
        <w:t xml:space="preserve">Business Risk Register</w:t>
      </w:r>
    </w:p>
    <w:p>
      <w:pPr>
        <w:pStyle w:val="FirstParagraph"/>
      </w:pPr>
      <w:r>
        <w:rPr>
          <w:i/>
          <w:iCs/>
        </w:rPr>
        <w:t xml:space="preserve">Likelihood and Impact ratings: H = High, M = Medium, L = Low. Sourced primarily from</w:t>
      </w:r>
      <w:r>
        <w:rPr>
          <w:i/>
          <w:iCs/>
        </w:rPr>
        <w:t xml:space="preserve"> </w:t>
      </w:r>
      <w:r>
        <w:rPr>
          <w:rStyle w:val="VerbatimChar"/>
          <w:i/>
          <w:iCs/>
        </w:rPr>
        <w:t xml:space="preserve">_context/gaps.md</w:t>
      </w:r>
      <w:r>
        <w:rPr>
          <w:i/>
          <w:iCs/>
        </w:rPr>
        <w:t xml:space="preserve"> </w:t>
      </w:r>
      <w:r>
        <w:rPr>
          <w:i/>
          <w:iCs/>
        </w:rPr>
        <w:t xml:space="preserve">HIGH-priority gaps and strategic context.</w:t>
      </w:r>
    </w:p>
    <w:bookmarkStart w:id="45" w:name="risk-table"/>
    <w:p>
      <w:pPr>
        <w:pStyle w:val="Heading2"/>
      </w:pPr>
      <w:r>
        <w:t xml:space="preserve">Risk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 ID</w:t>
            </w:r>
          </w:p>
        </w:tc>
        <w:tc>
          <w:tcPr/>
          <w:p>
            <w:pPr>
              <w:pStyle w:val="Compact"/>
            </w:pPr>
            <w:r>
              <w:t xml:space="preserve">Description</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BRK-001</w:t>
            </w:r>
          </w:p>
        </w:tc>
        <w:tc>
          <w:tcPr/>
          <w:p>
            <w:pPr>
              <w:pStyle w:val="Compact"/>
            </w:pPr>
            <w:r>
              <w:rPr>
                <w:b/>
                <w:bCs/>
              </w:rPr>
              <w:t xml:space="preserve">URA EFRIS API unavailability or specification change</w:t>
            </w:r>
            <w:r>
              <w:t xml:space="preserve"> </w:t>
            </w:r>
            <w:r>
              <w:t xml:space="preserve">(GAP-001). URA may change the EFRIS API without advance notice, breaking invoice submission for all Uganda clients.</w:t>
            </w:r>
          </w:p>
        </w:tc>
        <w:tc>
          <w:tcPr/>
          <w:p>
            <w:pPr>
              <w:pStyle w:val="Compact"/>
            </w:pPr>
            <w:r>
              <w:t xml:space="preserve">H</w:t>
            </w:r>
          </w:p>
        </w:tc>
        <w:tc>
          <w:tcPr/>
          <w:p>
            <w:pPr>
              <w:pStyle w:val="Compact"/>
            </w:pPr>
            <w:r>
              <w:t xml:space="preserve">H</w:t>
            </w:r>
          </w:p>
        </w:tc>
        <w:tc>
          <w:tcPr/>
          <w:p>
            <w:pPr>
              <w:pStyle w:val="Compact"/>
            </w:pPr>
            <w:r>
              <w:t xml:space="preserve">Obtain sandbox credentials early; build an abstraction layer so EFRIS connector can be updated independently of core Sales/Accounting modules. Monitor URA developer communications.</w:t>
            </w:r>
          </w:p>
        </w:tc>
      </w:tr>
      <w:tr>
        <w:tc>
          <w:tcPr/>
          <w:p>
            <w:pPr>
              <w:pStyle w:val="Compact"/>
            </w:pPr>
            <w:r>
              <w:t xml:space="preserve">BRK-002</w:t>
            </w:r>
          </w:p>
        </w:tc>
        <w:tc>
          <w:tcPr/>
          <w:p>
            <w:pPr>
              <w:pStyle w:val="Compact"/>
            </w:pPr>
            <w:r>
              <w:rPr>
                <w:b/>
                <w:bCs/>
              </w:rPr>
              <w:t xml:space="preserve">Multi-tenancy data isolation breach</w:t>
            </w:r>
            <w:r>
              <w:t xml:space="preserve"> </w:t>
            </w:r>
            <w:r>
              <w:t xml:space="preserve">(GAP-004). A defect in</w:t>
            </w:r>
            <w:r>
              <w:t xml:space="preserve"> </w:t>
            </w:r>
            <w:r>
              <w:rPr>
                <w:rStyle w:val="VerbatimChar"/>
              </w:rPr>
              <w:t xml:space="preserve">tenant_id</w:t>
            </w:r>
            <w:r>
              <w:t xml:space="preserve"> </w:t>
            </w:r>
            <w:r>
              <w:t xml:space="preserve">enforcement exposes one tenant's data to another, triggering regulatory liability and client loss.</w:t>
            </w:r>
          </w:p>
        </w:tc>
        <w:tc>
          <w:tcPr/>
          <w:p>
            <w:pPr>
              <w:pStyle w:val="Compact"/>
            </w:pPr>
            <w:r>
              <w:t xml:space="preserve">L</w:t>
            </w:r>
          </w:p>
        </w:tc>
        <w:tc>
          <w:tcPr/>
          <w:p>
            <w:pPr>
              <w:pStyle w:val="Compact"/>
            </w:pPr>
            <w:r>
              <w:t xml:space="preserve">H</w:t>
            </w:r>
          </w:p>
        </w:tc>
        <w:tc>
          <w:tcPr/>
          <w:p>
            <w:pPr>
              <w:pStyle w:val="Compact"/>
            </w:pPr>
            <w:r>
              <w:t xml:space="preserve">Commission independent security review before first tenant onboarding. Automated test suite must include cross-tenant isolation assertions on every data access path. Formal sign-off required before go-live.</w:t>
            </w:r>
          </w:p>
        </w:tc>
      </w:tr>
      <w:tr>
        <w:tc>
          <w:tcPr/>
          <w:p>
            <w:pPr>
              <w:pStyle w:val="Compact"/>
            </w:pPr>
            <w:r>
              <w:t xml:space="preserve">BRK-003</w:t>
            </w:r>
          </w:p>
        </w:tc>
        <w:tc>
          <w:tcPr/>
          <w:p>
            <w:pPr>
              <w:pStyle w:val="Compact"/>
            </w:pPr>
            <w:r>
              <w:rPr>
                <w:b/>
                <w:bCs/>
              </w:rPr>
              <w:t xml:space="preserve">Uganda Data Protection and Privacy Act 2019 non-compliance</w:t>
            </w:r>
            <w:r>
              <w:t xml:space="preserve"> </w:t>
            </w:r>
            <w:r>
              <w:t xml:space="preserve">(GAP-007). Processing employee medical and financial data without adequate legal basis or sub-processor agreements exposes Chwezi Core Systems to regulatory penalty.</w:t>
            </w:r>
          </w:p>
        </w:tc>
        <w:tc>
          <w:tcPr/>
          <w:p>
            <w:pPr>
              <w:pStyle w:val="Compact"/>
            </w:pPr>
            <w:r>
              <w:t xml:space="preserve">M</w:t>
            </w:r>
          </w:p>
        </w:tc>
        <w:tc>
          <w:tcPr/>
          <w:p>
            <w:pPr>
              <w:pStyle w:val="Compact"/>
            </w:pPr>
            <w:r>
              <w:t xml:space="preserve">H</w:t>
            </w:r>
          </w:p>
        </w:tc>
        <w:tc>
          <w:tcPr/>
          <w:p>
            <w:pPr>
              <w:pStyle w:val="Compact"/>
            </w:pPr>
            <w:r>
              <w:t xml:space="preserve">Commission legal review before HR and Payroll module is activated for any client. Implement consent capture, data retention controls, and a sub-processor register.</w:t>
            </w:r>
          </w:p>
        </w:tc>
      </w:tr>
      <w:tr>
        <w:tc>
          <w:tcPr/>
          <w:p>
            <w:pPr>
              <w:pStyle w:val="Compact"/>
            </w:pPr>
            <w:r>
              <w:t xml:space="preserve">BRK-004</w:t>
            </w:r>
          </w:p>
        </w:tc>
        <w:tc>
          <w:tcPr/>
          <w:p>
            <w:pPr>
              <w:pStyle w:val="Compact"/>
            </w:pPr>
            <w:r>
              <w:rPr>
                <w:b/>
                <w:bCs/>
              </w:rPr>
              <w:t xml:space="preserve">Statutory format changes invalidate payroll and VAT exports</w:t>
            </w:r>
            <w:r>
              <w:t xml:space="preserve"> </w:t>
            </w:r>
            <w:r>
              <w:t xml:space="preserve">(GAP-002, GAP-003). URA PAYE return formats and NSSF upload formats change without notice, causing client compliance failures.</w:t>
            </w:r>
          </w:p>
        </w:tc>
        <w:tc>
          <w:tcPr/>
          <w:p>
            <w:pPr>
              <w:pStyle w:val="Compact"/>
            </w:pPr>
            <w:r>
              <w:t xml:space="preserve">H</w:t>
            </w:r>
          </w:p>
        </w:tc>
        <w:tc>
          <w:tcPr/>
          <w:p>
            <w:pPr>
              <w:pStyle w:val="Compact"/>
            </w:pPr>
            <w:r>
              <w:t xml:space="preserve">M</w:t>
            </w:r>
          </w:p>
        </w:tc>
        <w:tc>
          <w:tcPr/>
          <w:p>
            <w:pPr>
              <w:pStyle w:val="Compact"/>
            </w:pPr>
            <w:r>
              <w:t xml:space="preserve">Subscribe to URA and NSSF developer notification channels. Build statutory export format as a versioned configuration template, not hardcoded logic, so updates require configuration changes only.</w:t>
            </w:r>
          </w:p>
        </w:tc>
      </w:tr>
      <w:tr>
        <w:tc>
          <w:tcPr/>
          <w:p>
            <w:pPr>
              <w:pStyle w:val="Compact"/>
            </w:pPr>
            <w:r>
              <w:t xml:space="preserve">BRK-005</w:t>
            </w:r>
          </w:p>
        </w:tc>
        <w:tc>
          <w:tcPr/>
          <w:p>
            <w:pPr>
              <w:pStyle w:val="Compact"/>
            </w:pPr>
            <w:r>
              <w:rPr>
                <w:b/>
                <w:bCs/>
              </w:rPr>
              <w:t xml:space="preserve">Module dependency misconfiguration causes data corruption</w:t>
            </w:r>
            <w:r>
              <w:t xml:space="preserve"> </w:t>
            </w:r>
            <w:r>
              <w:t xml:space="preserve">(GAP-005). Activating Manufacturing without Advanced Inventory, or Cooperative Procurement without Inventory, produces undefined behaviour and potentially corrupted stock records.</w:t>
            </w:r>
          </w:p>
        </w:tc>
        <w:tc>
          <w:tcPr/>
          <w:p>
            <w:pPr>
              <w:pStyle w:val="Compact"/>
            </w:pPr>
            <w:r>
              <w:t xml:space="preserve">M</w:t>
            </w:r>
          </w:p>
        </w:tc>
        <w:tc>
          <w:tcPr/>
          <w:p>
            <w:pPr>
              <w:pStyle w:val="Compact"/>
            </w:pPr>
            <w:r>
              <w:t xml:space="preserve">H</w:t>
            </w:r>
          </w:p>
        </w:tc>
        <w:tc>
          <w:tcPr/>
          <w:p>
            <w:pPr>
              <w:pStyle w:val="Compact"/>
            </w:pPr>
            <w:r>
              <w:t xml:space="preserve">Define and enforce a formal module dependency graph before activation logic is implemented. Prevent activation of a dependent module unless its prerequisites are active. Display dependency errors at activation time with a clear resolution path.</w:t>
            </w:r>
          </w:p>
        </w:tc>
      </w:tr>
      <w:tr>
        <w:tc>
          <w:tcPr/>
          <w:p>
            <w:pPr>
              <w:pStyle w:val="Compact"/>
            </w:pPr>
            <w:r>
              <w:t xml:space="preserve">BRK-006</w:t>
            </w:r>
          </w:p>
        </w:tc>
        <w:tc>
          <w:tcPr/>
          <w:p>
            <w:pPr>
              <w:pStyle w:val="Compact"/>
            </w:pPr>
            <w:r>
              <w:rPr>
                <w:b/>
                <w:bCs/>
              </w:rPr>
              <w:t xml:space="preserve">Slow sales adoption — Phase 1 client target missed.</w:t>
            </w:r>
            <w:r>
              <w:t xml:space="preserve"> </w:t>
            </w:r>
            <w:r>
              <w:t xml:space="preserve">The 60–100 client target within 12 months is not achieved, leaving MRR below break-even and threatening Phase 2 funding.</w:t>
            </w:r>
          </w:p>
        </w:tc>
        <w:tc>
          <w:tcPr/>
          <w:p>
            <w:pPr>
              <w:pStyle w:val="Compact"/>
            </w:pPr>
            <w:r>
              <w:t xml:space="preserve">M</w:t>
            </w:r>
          </w:p>
        </w:tc>
        <w:tc>
          <w:tcPr/>
          <w:p>
            <w:pPr>
              <w:pStyle w:val="Compact"/>
            </w:pPr>
            <w:r>
              <w:t xml:space="preserve">H</w:t>
            </w:r>
          </w:p>
        </w:tc>
        <w:tc>
          <w:tcPr/>
          <w:p>
            <w:pPr>
              <w:pStyle w:val="Compact"/>
            </w:pPr>
            <w:r>
              <w:t xml:space="preserve">Build 10 anchor clients with full case studies before public launch. Use EFRIS compliance mandate as a high-urgency sales trigger. Offer annual billing upfront discounts to accelerate pipeline conversion.</w:t>
            </w:r>
          </w:p>
        </w:tc>
      </w:tr>
      <w:tr>
        <w:tc>
          <w:tcPr/>
          <w:p>
            <w:pPr>
              <w:pStyle w:val="Compact"/>
            </w:pPr>
            <w:r>
              <w:t xml:space="preserve">BRK-007</w:t>
            </w:r>
          </w:p>
        </w:tc>
        <w:tc>
          <w:tcPr/>
          <w:p>
            <w:pPr>
              <w:pStyle w:val="Compact"/>
            </w:pPr>
            <w:r>
              <w:rPr>
                <w:b/>
                <w:bCs/>
              </w:rPr>
              <w:t xml:space="preserve">White-labelling and source code strategy undecided</w:t>
            </w:r>
            <w:r>
              <w:t xml:space="preserve"> </w:t>
            </w:r>
            <w:r>
              <w:t xml:space="preserve">(GAP-015, GAP-018). Absence of a white-label policy prevents upselling to resellers; absence of a source code strategy delays enterprise procurement conversations where open-source audits are required.</w:t>
            </w:r>
          </w:p>
        </w:tc>
        <w:tc>
          <w:tcPr/>
          <w:p>
            <w:pPr>
              <w:pStyle w:val="Compact"/>
            </w:pPr>
            <w:r>
              <w:t xml:space="preserve">M</w:t>
            </w:r>
          </w:p>
        </w:tc>
        <w:tc>
          <w:tcPr/>
          <w:p>
            <w:pPr>
              <w:pStyle w:val="Compact"/>
            </w:pPr>
            <w:r>
              <w:t xml:space="preserve">M</w:t>
            </w:r>
          </w:p>
        </w:tc>
        <w:tc>
          <w:tcPr/>
          <w:p>
            <w:pPr>
              <w:pStyle w:val="Compact"/>
            </w:pPr>
            <w:r>
              <w:t xml:space="preserve">Resolve both decisions before Phase 1 client onboarding begins. Document outcome in</w:t>
            </w:r>
            <w:r>
              <w:t xml:space="preserve"> </w:t>
            </w:r>
            <w:r>
              <w:rPr>
                <w:rStyle w:val="VerbatimChar"/>
              </w:rPr>
              <w:t xml:space="preserve">_context/vision.md</w:t>
            </w:r>
            <w:r>
              <w:t xml:space="preserve"> </w:t>
            </w:r>
            <w:r>
              <w:t xml:space="preserve">and propagate to the Business Case and Platform SRS.</w:t>
            </w:r>
          </w:p>
        </w:tc>
      </w:tr>
      <w:tr>
        <w:tc>
          <w:tcPr/>
          <w:p>
            <w:pPr>
              <w:pStyle w:val="Compact"/>
            </w:pPr>
            <w:r>
              <w:t xml:space="preserve">BRK-008</w:t>
            </w:r>
          </w:p>
        </w:tc>
        <w:tc>
          <w:tcPr/>
          <w:p>
            <w:pPr>
              <w:pStyle w:val="Compact"/>
            </w:pPr>
            <w:r>
              <w:rPr>
                <w:b/>
                <w:bCs/>
              </w:rPr>
              <w:t xml:space="preserve">Mobile money API credentials delayed</w:t>
            </w:r>
            <w:r>
              <w:t xml:space="preserve"> </w:t>
            </w:r>
            <w:r>
              <w:t xml:space="preserve">(GAP-011, GAP-012). MTN MoMo Business bulk payment and M-Pesa Daraja B2C credentials are gatekept by the providers and may take 4–12 weeks to obtain, delaying payroll and cooperative payment features.</w:t>
            </w:r>
          </w:p>
        </w:tc>
        <w:tc>
          <w:tcPr/>
          <w:p>
            <w:pPr>
              <w:pStyle w:val="Compact"/>
            </w:pPr>
            <w:r>
              <w:t xml:space="preserve">M</w:t>
            </w:r>
          </w:p>
        </w:tc>
        <w:tc>
          <w:tcPr/>
          <w:p>
            <w:pPr>
              <w:pStyle w:val="Compact"/>
            </w:pPr>
            <w:r>
              <w:t xml:space="preserve">M</w:t>
            </w:r>
          </w:p>
        </w:tc>
        <w:tc>
          <w:tcPr/>
          <w:p>
            <w:pPr>
              <w:pStyle w:val="Compact"/>
            </w:pPr>
            <w:r>
              <w:t xml:space="preserve">Begin MTN MoMo and Safaricom developer portal registration during the specification phase, not the development phase. Treat API credential acquisition as a critical-path dependency on the project schedule.</w:t>
            </w:r>
          </w:p>
        </w:tc>
      </w:tr>
    </w:tbl>
    <w:bookmarkEnd w:id="45"/>
    <w:bookmarkStart w:id="46" w:name="risk-ownership"/>
    <w:p>
      <w:pPr>
        <w:pStyle w:val="Heading2"/>
      </w:pPr>
      <w:r>
        <w:t xml:space="preserve">Risk Ownership</w:t>
      </w:r>
    </w:p>
    <w:p>
      <w:pPr>
        <w:pStyle w:val="FirstParagraph"/>
      </w:pPr>
      <w:r>
        <w:t xml:space="preserve">All risks in this register are owned by Peter Bamuhigire (Lead Developer, Chwezi Core Systems) until a formal risk owner is assigned per risk item. Review this register at each phase-gate sign-off.</w:t>
      </w:r>
    </w:p>
    <w:bookmarkEnd w:id="46"/>
    <w:bookmarkEnd w:id="47"/>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and Pricing Strategy</dc:title>
  <dc:creator/>
  <cp:keywords/>
  <dcterms:created xsi:type="dcterms:W3CDTF">2026-04-05T03:11:33Z</dcterms:created>
  <dcterms:modified xsi:type="dcterms:W3CDTF">2026-04-05T03:11:33Z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