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Human Resources and Payroll</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Human Resources and Payroll</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2e38b80f8fa310c4db3ef8321a4acccdaeded59"/>
    <w:p>
      <w:pPr>
        <w:pStyle w:val="Heading1"/>
      </w:pPr>
      <w:r>
        <w:t xml:space="preserve">Introduction to the HR and Payroll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Human Resources (HR) and Payroll module of Longhorn ERP. The document targets software engineers, QA analysts, and system architects responsible for implementing and verifying this module.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HR and Payroll module governs the full employee lifecycle within Longhorn ERP: employee master data, organisational structure, leave management, attendance, payroll computation, statutory deductions, payslip generation, and bank/mobile-money salary disbursement.</w:t>
      </w:r>
    </w:p>
    <w:p>
      <w:pPr>
        <w:pStyle w:val="BodyText"/>
      </w:pPr>
      <w:r>
        <w:t xml:space="preserve">The module integrates with:</w:t>
      </w:r>
    </w:p>
    <w:p>
      <w:pPr>
        <w:pStyle w:val="Compact"/>
        <w:numPr>
          <w:ilvl w:val="0"/>
          <w:numId w:val="1001"/>
        </w:numPr>
      </w:pPr>
      <w:r>
        <w:rPr>
          <w:b/>
          <w:bCs/>
        </w:rPr>
        <w:t xml:space="preserve">General Ledger</w:t>
      </w:r>
      <w:r>
        <w:t xml:space="preserve"> </w:t>
      </w:r>
      <w:r>
        <w:t xml:space="preserve">— every payroll run generates journal entries for gross salary, statutory deductions, and net pay.</w:t>
      </w:r>
    </w:p>
    <w:p>
      <w:pPr>
        <w:pStyle w:val="Compact"/>
        <w:numPr>
          <w:ilvl w:val="0"/>
          <w:numId w:val="1001"/>
        </w:numPr>
      </w:pPr>
      <w:r>
        <w:rPr>
          <w:b/>
          <w:bCs/>
        </w:rPr>
        <w:t xml:space="preserve">RBAC</w:t>
      </w:r>
      <w:r>
        <w:t xml:space="preserve"> </w:t>
      </w:r>
      <w:r>
        <w:t xml:space="preserve">— role-based access controls govern who may view payslips, run payroll, and approve leave.</w:t>
      </w:r>
    </w:p>
    <w:p>
      <w:pPr>
        <w:pStyle w:val="Compact"/>
        <w:numPr>
          <w:ilvl w:val="0"/>
          <w:numId w:val="1001"/>
        </w:numPr>
      </w:pPr>
      <w:r>
        <w:rPr>
          <w:b/>
          <w:bCs/>
        </w:rPr>
        <w:t xml:space="preserve">Audit Log</w:t>
      </w:r>
      <w:r>
        <w:t xml:space="preserve"> </w:t>
      </w:r>
      <w:r>
        <w:t xml:space="preserve">— every payroll run, approval, and employee data change is recorded immutably.</w:t>
      </w:r>
    </w:p>
    <w:p>
      <w:pPr>
        <w:pStyle w:val="Compact"/>
        <w:numPr>
          <w:ilvl w:val="0"/>
          <w:numId w:val="1001"/>
        </w:numPr>
      </w:pPr>
      <w:r>
        <w:rPr>
          <w:b/>
          <w:bCs/>
        </w:rPr>
        <w:t xml:space="preserve">Mobile API</w:t>
      </w:r>
      <w:r>
        <w:t xml:space="preserve"> </w:t>
      </w:r>
      <w:r>
        <w:t xml:space="preserve">— employee self-service features (leave requests, payslip download) are exposed via the JWT REST API.</w:t>
      </w:r>
    </w:p>
    <w:p>
      <w:pPr>
        <w:pStyle w:val="FirstParagraph"/>
      </w:pPr>
      <w:r>
        <w:t xml:space="preserve">The module does not cover sales commissions (Sales Agents module), procurement, or financial accounting beyond payroll GL posting.</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on-time payroll for all employees with zero manual recalculation errors.</w:t>
            </w:r>
          </w:p>
        </w:tc>
      </w:tr>
      <w:tr>
        <w:tc>
          <w:tcPr/>
          <w:p>
            <w:pPr>
              <w:pStyle w:val="Compact"/>
            </w:pPr>
            <w:r>
              <w:t xml:space="preserve">BG-002</w:t>
            </w:r>
          </w:p>
        </w:tc>
        <w:tc>
          <w:tcPr/>
          <w:p>
            <w:pPr>
              <w:pStyle w:val="Compact"/>
            </w:pPr>
            <w:r>
              <w:t xml:space="preserve">Statutory compliance with Uganda (PAYE, NSSF, NITA), Kenya (PAYE, NHIF, NSSF), Tanzania (PAYE, PSSSF), and Rwanda (PAYE, RSSB).</w:t>
            </w:r>
          </w:p>
        </w:tc>
      </w:tr>
      <w:tr>
        <w:tc>
          <w:tcPr/>
          <w:p>
            <w:pPr>
              <w:pStyle w:val="Compact"/>
            </w:pPr>
            <w:r>
              <w:t xml:space="preserve">BG-003</w:t>
            </w:r>
          </w:p>
        </w:tc>
        <w:tc>
          <w:tcPr/>
          <w:p>
            <w:pPr>
              <w:pStyle w:val="Compact"/>
            </w:pPr>
            <w:r>
              <w:t xml:space="preserve">Employee self-service for payslips, leave, and attendance to reduce HR administrative load.</w:t>
            </w:r>
          </w:p>
        </w:tc>
      </w:tr>
      <w:tr>
        <w:tc>
          <w:tcPr/>
          <w:p>
            <w:pPr>
              <w:pStyle w:val="Compact"/>
            </w:pPr>
            <w:r>
              <w:t xml:space="preserve">BG-004</w:t>
            </w:r>
          </w:p>
        </w:tc>
        <w:tc>
          <w:tcPr/>
          <w:p>
            <w:pPr>
              <w:pStyle w:val="Compact"/>
            </w:pPr>
            <w:r>
              <w:t xml:space="preserve">Audit-ready payroll records retained per jurisdictional statutory requirements.</w:t>
            </w:r>
          </w:p>
        </w:tc>
      </w:tr>
    </w:tbl>
    <w:bookmarkEnd w:id="23"/>
    <w:bookmarkStart w:id="24" w:name="Xe790482990ea7cb6ce5f5db595401aad619afd8"/>
    <w:p>
      <w:pPr>
        <w:pStyle w:val="Heading2"/>
      </w:pPr>
      <w:r>
        <w:t xml:space="preserve">1.4 Applicable Standards and Regulations</w:t>
      </w:r>
    </w:p>
    <w:p>
      <w:pPr>
        <w:pStyle w:val="Compact"/>
        <w:numPr>
          <w:ilvl w:val="0"/>
          <w:numId w:val="1002"/>
        </w:numPr>
      </w:pPr>
      <w:r>
        <w:t xml:space="preserve">Uganda Employment Act 2006 and Income Tax Act — PAYE bands, NSSF rates, terminal benefits.</w:t>
      </w:r>
    </w:p>
    <w:p>
      <w:pPr>
        <w:pStyle w:val="Compact"/>
        <w:numPr>
          <w:ilvl w:val="0"/>
          <w:numId w:val="1002"/>
        </w:numPr>
      </w:pPr>
      <w:r>
        <w:t xml:space="preserve">Kenya Employment Act 2007 — PAYE, NHIF, NSSF (tier system).</w:t>
      </w:r>
    </w:p>
    <w:p>
      <w:pPr>
        <w:pStyle w:val="Compact"/>
        <w:numPr>
          <w:ilvl w:val="0"/>
          <w:numId w:val="1002"/>
        </w:numPr>
      </w:pPr>
      <w:r>
        <w:t xml:space="preserve">Tanzania Employment and Labour Relations Act 2004 — PSSSF contributions.</w:t>
      </w:r>
    </w:p>
    <w:p>
      <w:pPr>
        <w:pStyle w:val="Compact"/>
        <w:numPr>
          <w:ilvl w:val="0"/>
          <w:numId w:val="1002"/>
        </w:numPr>
      </w:pPr>
      <w:r>
        <w:t xml:space="preserve">Rwanda Labour Code — RSSB contributions.</w:t>
      </w:r>
    </w:p>
    <w:p>
      <w:pPr>
        <w:pStyle w:val="Compact"/>
        <w:numPr>
          <w:ilvl w:val="0"/>
          <w:numId w:val="1002"/>
        </w:numPr>
      </w:pPr>
      <w:r>
        <w:t xml:space="preserve">Uganda Data Protection and Privacy Act 2019 — employee personal data handling</w:t>
      </w:r>
      <w:r>
        <w:t xml:space="preserve"> </w:t>
      </w:r>
      <w:r>
        <w:rPr>
          <w:rStyle w:val="VerbatimChar"/>
        </w:rPr>
        <w:t xml:space="preserve">[CONTEXT-GAP: GAP-007]</w:t>
      </w:r>
      <w:r>
        <w:t xml:space="preserve">.</w:t>
      </w:r>
    </w:p>
    <w:p>
      <w:pPr>
        <w:pStyle w:val="Compact"/>
        <w:numPr>
          <w:ilvl w:val="0"/>
          <w:numId w:val="1002"/>
        </w:numPr>
      </w:pPr>
      <w:r>
        <w:t xml:space="preserve">IEEE Std 830-1998 — SRS quality attributes.</w:t>
      </w:r>
    </w:p>
    <w:p>
      <w:pPr>
        <w:pStyle w:val="Compact"/>
        <w:numPr>
          <w:ilvl w:val="0"/>
          <w:numId w:val="1002"/>
        </w:numPr>
      </w:pPr>
      <w:r>
        <w:t xml:space="preserve">IEEE Std 1012-2016 — software V&amp;V.</w:t>
      </w:r>
    </w:p>
    <w:bookmarkEnd w:id="24"/>
    <w:bookmarkStart w:id="2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Gross Pay</w:t>
            </w:r>
          </w:p>
        </w:tc>
        <w:tc>
          <w:tcPr/>
          <w:p>
            <w:pPr>
              <w:pStyle w:val="Compact"/>
            </w:pPr>
            <w:r>
              <w:t xml:space="preserve">Total employee compensation before any deductions.</w:t>
            </w:r>
          </w:p>
        </w:tc>
      </w:tr>
      <w:tr>
        <w:tc>
          <w:tcPr/>
          <w:p>
            <w:pPr>
              <w:pStyle w:val="Compact"/>
            </w:pPr>
            <w:r>
              <w:t xml:space="preserve">Net Pay</w:t>
            </w:r>
          </w:p>
        </w:tc>
        <w:tc>
          <w:tcPr/>
          <w:p>
            <w:pPr>
              <w:pStyle w:val="Compact"/>
            </w:pPr>
            <w:r>
              <w:t xml:space="preserve">Gross Pay minus all statutory and voluntary deductions.</w:t>
            </w:r>
          </w:p>
        </w:tc>
      </w:tr>
      <w:tr>
        <w:tc>
          <w:tcPr/>
          <w:p>
            <w:pPr>
              <w:pStyle w:val="Compact"/>
            </w:pPr>
            <w:r>
              <w:t xml:space="preserve">NITA</w:t>
            </w:r>
          </w:p>
        </w:tc>
        <w:tc>
          <w:tcPr/>
          <w:p>
            <w:pPr>
              <w:pStyle w:val="Compact"/>
            </w:pPr>
            <w:r>
              <w:t xml:space="preserve">National Industrial Training Authority levy (Uganda).</w:t>
            </w:r>
          </w:p>
        </w:tc>
      </w:tr>
      <w:tr>
        <w:tc>
          <w:tcPr/>
          <w:p>
            <w:pPr>
              <w:pStyle w:val="Compact"/>
            </w:pPr>
            <w:r>
              <w:t xml:space="preserve">NSSF</w:t>
            </w:r>
          </w:p>
        </w:tc>
        <w:tc>
          <w:tcPr/>
          <w:p>
            <w:pPr>
              <w:pStyle w:val="Compact"/>
            </w:pPr>
            <w:r>
              <w:t xml:space="preserve">National Social Security Fund (Uganda and Kenya).</w:t>
            </w:r>
          </w:p>
        </w:tc>
      </w:tr>
      <w:tr>
        <w:tc>
          <w:tcPr/>
          <w:p>
            <w:pPr>
              <w:pStyle w:val="Compact"/>
            </w:pPr>
            <w:r>
              <w:t xml:space="preserve">NHIF</w:t>
            </w:r>
          </w:p>
        </w:tc>
        <w:tc>
          <w:tcPr/>
          <w:p>
            <w:pPr>
              <w:pStyle w:val="Compact"/>
            </w:pPr>
            <w:r>
              <w:t xml:space="preserve">National Health Insurance Fund (Kenya).</w:t>
            </w:r>
          </w:p>
        </w:tc>
      </w:tr>
      <w:tr>
        <w:tc>
          <w:tcPr/>
          <w:p>
            <w:pPr>
              <w:pStyle w:val="Compact"/>
            </w:pPr>
            <w:r>
              <w:t xml:space="preserve">PAYE</w:t>
            </w:r>
          </w:p>
        </w:tc>
        <w:tc>
          <w:tcPr/>
          <w:p>
            <w:pPr>
              <w:pStyle w:val="Compact"/>
            </w:pPr>
            <w:r>
              <w:t xml:space="preserve">Pay As You Earn — income tax deducted by the employer from employee salaries.</w:t>
            </w:r>
          </w:p>
        </w:tc>
      </w:tr>
      <w:tr>
        <w:tc>
          <w:tcPr/>
          <w:p>
            <w:pPr>
              <w:pStyle w:val="Compact"/>
            </w:pPr>
            <w:r>
              <w:t xml:space="preserve">PSSSF</w:t>
            </w:r>
          </w:p>
        </w:tc>
        <w:tc>
          <w:tcPr/>
          <w:p>
            <w:pPr>
              <w:pStyle w:val="Compact"/>
            </w:pPr>
            <w:r>
              <w:t xml:space="preserve">Public Service Social Security Fund (Tanzania).</w:t>
            </w:r>
          </w:p>
        </w:tc>
      </w:tr>
      <w:tr>
        <w:tc>
          <w:tcPr/>
          <w:p>
            <w:pPr>
              <w:pStyle w:val="Compact"/>
            </w:pPr>
            <w:r>
              <w:t xml:space="preserve">RSSB</w:t>
            </w:r>
          </w:p>
        </w:tc>
        <w:tc>
          <w:tcPr/>
          <w:p>
            <w:pPr>
              <w:pStyle w:val="Compact"/>
            </w:pPr>
            <w:r>
              <w:t xml:space="preserve">Rwanda Social Security Board.</w:t>
            </w:r>
          </w:p>
        </w:tc>
      </w:tr>
      <w:tr>
        <w:tc>
          <w:tcPr/>
          <w:p>
            <w:pPr>
              <w:pStyle w:val="Compact"/>
            </w:pPr>
            <w:r>
              <w:t xml:space="preserve">Payroll Run</w:t>
            </w:r>
          </w:p>
        </w:tc>
        <w:tc>
          <w:tcPr/>
          <w:p>
            <w:pPr>
              <w:pStyle w:val="Compact"/>
            </w:pPr>
            <w:r>
              <w:t xml:space="preserve">The batch process that computes gross pay, deductions, and net pay for all active employees in a specified pay period.</w:t>
            </w:r>
          </w:p>
        </w:tc>
      </w:tr>
      <w:tr>
        <w:tc>
          <w:tcPr/>
          <w:p>
            <w:pPr>
              <w:pStyle w:val="Compact"/>
            </w:pPr>
            <w:r>
              <w:t xml:space="preserve">Payslip</w:t>
            </w:r>
          </w:p>
        </w:tc>
        <w:tc>
          <w:tcPr/>
          <w:p>
            <w:pPr>
              <w:pStyle w:val="Compact"/>
            </w:pPr>
            <w:r>
              <w:t xml:space="preserve">A per-employee document summarising earnings, deductions, and net pay for a pay period.</w:t>
            </w:r>
          </w:p>
        </w:tc>
      </w:tr>
    </w:tbl>
    <w:bookmarkEnd w:id="25"/>
    <w:bookmarkStart w:id="2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FR-HR-NNN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NFR-HR-NNN</w:t>
      </w:r>
      <w:r>
        <w:t xml:space="preserve">.</w:t>
      </w:r>
    </w:p>
    <w:p>
      <w:pPr>
        <w:pStyle w:val="Compact"/>
        <w:numPr>
          <w:ilvl w:val="0"/>
          <w:numId w:val="1003"/>
        </w:numPr>
      </w:pPr>
      <w:r>
        <w:rPr>
          <w:rStyle w:val="VerbatimChar"/>
        </w:rPr>
        <w:t xml:space="preserve">[CONTEXT-GAP: &lt;topic&gt;]</w:t>
      </w:r>
      <w:r>
        <w:t xml:space="preserve"> </w:t>
      </w:r>
      <w:r>
        <w:t xml:space="preserve">marks a requirement requiring additional context.</w:t>
      </w:r>
    </w:p>
    <w:bookmarkEnd w:id="26"/>
    <w:bookmarkStart w:id="2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Employee Master and Organisational Structure</w:t>
            </w:r>
          </w:p>
        </w:tc>
      </w:tr>
      <w:tr>
        <w:tc>
          <w:tcPr/>
          <w:p>
            <w:pPr>
              <w:pStyle w:val="Compact"/>
            </w:pPr>
            <w:r>
              <w:t xml:space="preserve">3</w:t>
            </w:r>
          </w:p>
        </w:tc>
        <w:tc>
          <w:tcPr/>
          <w:p>
            <w:pPr>
              <w:pStyle w:val="Compact"/>
            </w:pPr>
            <w:r>
              <w:t xml:space="preserve">Leave Management</w:t>
            </w:r>
          </w:p>
        </w:tc>
      </w:tr>
      <w:tr>
        <w:tc>
          <w:tcPr/>
          <w:p>
            <w:pPr>
              <w:pStyle w:val="Compact"/>
            </w:pPr>
            <w:r>
              <w:t xml:space="preserve">4</w:t>
            </w:r>
          </w:p>
        </w:tc>
        <w:tc>
          <w:tcPr/>
          <w:p>
            <w:pPr>
              <w:pStyle w:val="Compact"/>
            </w:pPr>
            <w:r>
              <w:t xml:space="preserve">Attendance</w:t>
            </w:r>
          </w:p>
        </w:tc>
      </w:tr>
      <w:tr>
        <w:tc>
          <w:tcPr/>
          <w:p>
            <w:pPr>
              <w:pStyle w:val="Compact"/>
            </w:pPr>
            <w:r>
              <w:t xml:space="preserve">5</w:t>
            </w:r>
          </w:p>
        </w:tc>
        <w:tc>
          <w:tcPr/>
          <w:p>
            <w:pPr>
              <w:pStyle w:val="Compact"/>
            </w:pPr>
            <w:r>
              <w:t xml:space="preserve">Payroll Configuration</w:t>
            </w:r>
          </w:p>
        </w:tc>
      </w:tr>
      <w:tr>
        <w:tc>
          <w:tcPr/>
          <w:p>
            <w:pPr>
              <w:pStyle w:val="Compact"/>
            </w:pPr>
            <w:r>
              <w:t xml:space="preserve">6</w:t>
            </w:r>
          </w:p>
        </w:tc>
        <w:tc>
          <w:tcPr/>
          <w:p>
            <w:pPr>
              <w:pStyle w:val="Compact"/>
            </w:pPr>
            <w:r>
              <w:t xml:space="preserve">Payroll Run and Statutory Deductions</w:t>
            </w:r>
          </w:p>
        </w:tc>
      </w:tr>
      <w:tr>
        <w:tc>
          <w:tcPr/>
          <w:p>
            <w:pPr>
              <w:pStyle w:val="Compact"/>
            </w:pPr>
            <w:r>
              <w:t xml:space="preserve">7</w:t>
            </w:r>
          </w:p>
        </w:tc>
        <w:tc>
          <w:tcPr/>
          <w:p>
            <w:pPr>
              <w:pStyle w:val="Compact"/>
            </w:pPr>
            <w:r>
              <w:t xml:space="preserve">Payslips and Disbursements</w:t>
            </w:r>
          </w:p>
        </w:tc>
      </w:tr>
      <w:tr>
        <w:tc>
          <w:tcPr/>
          <w:p>
            <w:pPr>
              <w:pStyle w:val="Compact"/>
            </w:pPr>
            <w:r>
              <w:t xml:space="preserve">8</w:t>
            </w:r>
          </w:p>
        </w:tc>
        <w:tc>
          <w:tcPr/>
          <w:p>
            <w:pPr>
              <w:pStyle w:val="Compact"/>
            </w:pPr>
            <w:r>
              <w:t xml:space="preserve">Loans and Advances</w:t>
            </w:r>
          </w:p>
        </w:tc>
      </w:tr>
      <w:tr>
        <w:tc>
          <w:tcPr/>
          <w:p>
            <w:pPr>
              <w:pStyle w:val="Compact"/>
            </w:pPr>
            <w:r>
              <w:t xml:space="preserve">9</w:t>
            </w:r>
          </w:p>
        </w:tc>
        <w:tc>
          <w:tcPr/>
          <w:p>
            <w:pPr>
              <w:pStyle w:val="Compact"/>
            </w:pPr>
            <w:r>
              <w:t xml:space="preserve">Exit Management</w:t>
            </w:r>
          </w:p>
        </w:tc>
      </w:tr>
      <w:tr>
        <w:tc>
          <w:tcPr/>
          <w:p>
            <w:pPr>
              <w:pStyle w:val="Compact"/>
            </w:pPr>
            <w:r>
              <w:t xml:space="preserve">10</w:t>
            </w:r>
          </w:p>
        </w:tc>
        <w:tc>
          <w:tcPr/>
          <w:p>
            <w:pPr>
              <w:pStyle w:val="Compact"/>
            </w:pPr>
            <w:r>
              <w:t xml:space="preserve">Employee Self-Service</w:t>
            </w:r>
          </w:p>
        </w:tc>
      </w:tr>
      <w:tr>
        <w:tc>
          <w:tcPr/>
          <w:p>
            <w:pPr>
              <w:pStyle w:val="Compact"/>
            </w:pPr>
            <w:r>
              <w:t xml:space="preserve">11</w:t>
            </w:r>
          </w:p>
        </w:tc>
        <w:tc>
          <w:tcPr/>
          <w:p>
            <w:pPr>
              <w:pStyle w:val="Compact"/>
            </w:pPr>
            <w:r>
              <w:t xml:space="preserve">Non-Functional Requirements</w:t>
            </w:r>
          </w:p>
        </w:tc>
      </w:tr>
      <w:tr>
        <w:tc>
          <w:tcPr/>
          <w:p>
            <w:pPr>
              <w:pStyle w:val="Compact"/>
            </w:pPr>
            <w:r>
              <w:t xml:space="preserve">12</w:t>
            </w:r>
          </w:p>
        </w:tc>
        <w:tc>
          <w:tcPr/>
          <w:p>
            <w:pPr>
              <w:pStyle w:val="Compact"/>
            </w:pPr>
            <w:r>
              <w:t xml:space="preserve">Traceability Matrix</w:t>
            </w:r>
          </w:p>
        </w:tc>
      </w:tr>
    </w:tbl>
    <w:bookmarkEnd w:id="27"/>
    <w:bookmarkEnd w:id="28"/>
    <w:bookmarkStart w:id="32" w:name="Xff966a1daa172c530c1c076d253932d24a10832"/>
    <w:p>
      <w:pPr>
        <w:pStyle w:val="Heading1"/>
      </w:pPr>
      <w:r>
        <w:t xml:space="preserve">Employee Master and Organisational Structure</w:t>
      </w:r>
    </w:p>
    <w:bookmarkStart w:id="29" w:name="X1f1fb1c1b98c41b66bdbcd84a7917bceffa226a"/>
    <w:p>
      <w:pPr>
        <w:pStyle w:val="Heading2"/>
      </w:pPr>
      <w:r>
        <w:t xml:space="preserve">2.1 Employee Record</w:t>
      </w:r>
    </w:p>
    <w:p>
      <w:pPr>
        <w:pStyle w:val="FirstParagraph"/>
      </w:pPr>
      <w:r>
        <w:rPr>
          <w:b/>
          <w:bCs/>
        </w:rPr>
        <w:t xml:space="preserve">FR-HR-001</w:t>
      </w:r>
      <w:r>
        <w:t xml:space="preserve"> </w:t>
      </w:r>
      <w:r>
        <w:t xml:space="preserve">— When a user creates an employee record, the system shall capture the following mandatory fields: full legal name, national ID number (or passport number), date of birth, gender, nationality, Tax Identification Number (TIN), NSSF number, employment start date, department, job title, and grade/salary scale.</w:t>
      </w:r>
    </w:p>
    <w:p>
      <w:pPr>
        <w:pStyle w:val="BodyText"/>
      </w:pPr>
      <w:r>
        <w:rPr>
          <w:b/>
          <w:bCs/>
        </w:rPr>
        <w:t xml:space="preserve">FR-HR-002</w:t>
      </w:r>
      <w:r>
        <w:t xml:space="preserve"> </w:t>
      </w:r>
      <w:r>
        <w:t xml:space="preserve">— When an employee record is saved, the system shall assign a unique employee ID in the format</w:t>
      </w:r>
      <w:r>
        <w:t xml:space="preserve"> </w:t>
      </w:r>
      <w:r>
        <w:rPr>
          <w:rStyle w:val="VerbatimChar"/>
        </w:rPr>
        <w:t xml:space="preserve">EMP-NNN</w:t>
      </w:r>
      <w:r>
        <w:t xml:space="preserve"> </w:t>
      </w:r>
      <w:r>
        <w:t xml:space="preserve">scoped to the tenant and prevent duplicate national ID or TIN values within the same tenant.</w:t>
      </w:r>
    </w:p>
    <w:p>
      <w:pPr>
        <w:pStyle w:val="BodyText"/>
      </w:pPr>
      <w:r>
        <w:rPr>
          <w:b/>
          <w:bCs/>
        </w:rPr>
        <w:t xml:space="preserve">FR-HR-003</w:t>
      </w:r>
      <w:r>
        <w:t xml:space="preserve"> </w:t>
      </w:r>
      <w:r>
        <w:t xml:space="preserve">— The system shall store employee contact data: residential address, personal phone number, personal email, and next-of-kin name and phone number; these fields shall be accessible only to users with the</w:t>
      </w:r>
      <w:r>
        <w:t xml:space="preserve"> </w:t>
      </w:r>
      <w:r>
        <w:rPr>
          <w:rStyle w:val="VerbatimChar"/>
        </w:rPr>
        <w:t xml:space="preserve">hr.employee.personal_data.view</w:t>
      </w:r>
      <w:r>
        <w:t xml:space="preserve"> </w:t>
      </w:r>
      <w:r>
        <w:t xml:space="preserve">permission.</w:t>
      </w:r>
    </w:p>
    <w:p>
      <w:pPr>
        <w:pStyle w:val="BodyText"/>
      </w:pPr>
      <w:r>
        <w:rPr>
          <w:b/>
          <w:bCs/>
        </w:rPr>
        <w:t xml:space="preserve">FR-HR-004</w:t>
      </w:r>
      <w:r>
        <w:t xml:space="preserve"> </w:t>
      </w:r>
      <w:r>
        <w:t xml:space="preserve">— When a user updates any field on an employee record, the system shall write the old value, new value, acting user identity, and UTC timestamp to the audit log before committing the change.</w:t>
      </w:r>
    </w:p>
    <w:p>
      <w:pPr>
        <w:pStyle w:val="BodyText"/>
      </w:pPr>
      <w:r>
        <w:rPr>
          <w:b/>
          <w:bCs/>
        </w:rPr>
        <w:t xml:space="preserve">FR-HR-005</w:t>
      </w:r>
      <w:r>
        <w:t xml:space="preserve"> </w:t>
      </w:r>
      <w:r>
        <w:t xml:space="preserve">— The system shall support multiple concurrent employment contracts per employee (e.g., fixed-term then permanent), with each contract recording: contract type (permanent, fixed-term, probation), start date, end date (nullable for open-ended), probation end date, and notice period days.</w:t>
      </w:r>
    </w:p>
    <w:bookmarkEnd w:id="29"/>
    <w:bookmarkStart w:id="30" w:name="X3bedd35f495159093f133f958ad9a35aacf807a"/>
    <w:p>
      <w:pPr>
        <w:pStyle w:val="Heading2"/>
      </w:pPr>
      <w:r>
        <w:t xml:space="preserve">2.2 Organisational Structure</w:t>
      </w:r>
    </w:p>
    <w:p>
      <w:pPr>
        <w:pStyle w:val="FirstParagraph"/>
      </w:pPr>
      <w:r>
        <w:rPr>
          <w:b/>
          <w:bCs/>
        </w:rPr>
        <w:t xml:space="preserve">FR-HR-006</w:t>
      </w:r>
      <w:r>
        <w:t xml:space="preserve"> </w:t>
      </w:r>
      <w:r>
        <w:t xml:space="preserve">— The system shall maintain a configurable organisation chart with a minimum of 5 hierarchy levels (Company → Division → Department → Team → Employee); the org chart shall drive leave approval routing and payroll cost-centre allocation.</w:t>
      </w:r>
    </w:p>
    <w:p>
      <w:pPr>
        <w:pStyle w:val="BodyText"/>
      </w:pPr>
      <w:r>
        <w:rPr>
          <w:b/>
          <w:bCs/>
        </w:rPr>
        <w:t xml:space="preserve">FR-HR-007</w:t>
      </w:r>
      <w:r>
        <w:t xml:space="preserve"> </w:t>
      </w:r>
      <w:r>
        <w:t xml:space="preserve">— When a user reassigns an employee to a new department, the system shall record the effective date of the transfer, the originating and destination department IDs, and the acting user in the employee's movement history.</w:t>
      </w:r>
    </w:p>
    <w:bookmarkEnd w:id="30"/>
    <w:bookmarkStart w:id="31" w:name="Xcc5891e357b6a5d22e3232b22225061f417f229"/>
    <w:p>
      <w:pPr>
        <w:pStyle w:val="Heading2"/>
      </w:pPr>
      <w:r>
        <w:t xml:space="preserve">2.3 Grade and Salary Scales</w:t>
      </w:r>
    </w:p>
    <w:p>
      <w:pPr>
        <w:pStyle w:val="FirstParagraph"/>
      </w:pPr>
      <w:r>
        <w:rPr>
          <w:b/>
          <w:bCs/>
        </w:rPr>
        <w:t xml:space="preserve">FR-HR-008</w:t>
      </w:r>
      <w:r>
        <w:t xml:space="preserve"> </w:t>
      </w:r>
      <w:r>
        <w:t xml:space="preserve">— The system shall support a configurable pay grade matrix where each grade defines a minimum salary, midpoint salary, and maximum salary; the payroll run shall warn if an employee's basic salary falls outside the defined grade band.</w:t>
      </w:r>
    </w:p>
    <w:p>
      <w:pPr>
        <w:pStyle w:val="BodyText"/>
      </w:pPr>
      <w:r>
        <w:rPr>
          <w:b/>
          <w:bCs/>
        </w:rPr>
        <w:t xml:space="preserve">FR-HR-009</w:t>
      </w:r>
      <w:r>
        <w:t xml:space="preserve"> </w:t>
      </w:r>
      <w:r>
        <w:t xml:space="preserve">— The system shall support multiple currencies on employee records for multi-country tenants; the payroll run shall use the employee's contract currency for gross pay computation and convert to the tenant's reporting currency using the exchange rate on the payroll run date.</w:t>
      </w:r>
    </w:p>
    <w:bookmarkEnd w:id="31"/>
    <w:bookmarkEnd w:id="32"/>
    <w:bookmarkStart w:id="36" w:name="leave-management"/>
    <w:p>
      <w:pPr>
        <w:pStyle w:val="Heading1"/>
      </w:pPr>
      <w:r>
        <w:t xml:space="preserve">Leave Management</w:t>
      </w:r>
    </w:p>
    <w:bookmarkStart w:id="33" w:name="Xf7b11d2cdb2016be07819afd827c37cab3f9e16"/>
    <w:p>
      <w:pPr>
        <w:pStyle w:val="Heading2"/>
      </w:pPr>
      <w:r>
        <w:t xml:space="preserve">3.1 Leave Types and Balances</w:t>
      </w:r>
    </w:p>
    <w:p>
      <w:pPr>
        <w:pStyle w:val="FirstParagraph"/>
      </w:pPr>
      <w:r>
        <w:rPr>
          <w:b/>
          <w:bCs/>
        </w:rPr>
        <w:t xml:space="preserve">FR-HR-010</w:t>
      </w:r>
      <w:r>
        <w:t xml:space="preserve"> </w:t>
      </w:r>
      <w:r>
        <w:t xml:space="preserve">— The system shall support configurable leave types per tenant, each defining: leave name, accrual rate (days per year), maximum carry-forward days, maximum balance cap, and whether the type is paid or unpaid.</w:t>
      </w:r>
    </w:p>
    <w:p>
      <w:pPr>
        <w:pStyle w:val="BodyText"/>
      </w:pPr>
      <w:r>
        <w:rPr>
          <w:b/>
          <w:bCs/>
        </w:rPr>
        <w:t xml:space="preserve">FR-HR-011</w:t>
      </w:r>
      <w:r>
        <w:t xml:space="preserve"> </w:t>
      </w:r>
      <w:r>
        <w:t xml:space="preserve">— The system shall compute leave balances per employee on a per-annum accrual basis: the system shall increment the employee's leave balance on the first day of each month by</w:t>
      </w:r>
      <w:r>
        <w:t xml:space="preserve"> </w:t>
      </w:r>
      <w:r>
        <w:rPr>
          <w:rStyle w:val="VerbatimChar"/>
        </w:rPr>
        <w:t xml:space="preserve">AnnualEntitlement ÷ 12</w:t>
      </w:r>
      <w:r>
        <w:t xml:space="preserve"> </w:t>
      </w:r>
      <w:r>
        <w:t xml:space="preserve">days, rounded to 2 decimal places, and shall not exceed the maximum balance cap.</w:t>
      </w:r>
    </w:p>
    <w:p>
      <w:pPr>
        <w:pStyle w:val="BodyText"/>
      </w:pPr>
      <w:r>
        <w:rPr>
          <w:b/>
          <w:bCs/>
        </w:rPr>
        <w:t xml:space="preserve">FR-HR-012</w:t>
      </w:r>
      <w:r>
        <w:t xml:space="preserve"> </w:t>
      </w:r>
      <w:r>
        <w:t xml:space="preserve">— When an employee's fixed-term contract expires without full leave liquidation, the system shall flag the outstanding leave balance for cash-out computation in the exit management workflow.</w:t>
      </w:r>
    </w:p>
    <w:bookmarkEnd w:id="33"/>
    <w:bookmarkStart w:id="34" w:name="X7620111378e60c67b426c86bfcb6b70809254b4"/>
    <w:p>
      <w:pPr>
        <w:pStyle w:val="Heading2"/>
      </w:pPr>
      <w:r>
        <w:t xml:space="preserve">3.2 Leave Requests</w:t>
      </w:r>
    </w:p>
    <w:p>
      <w:pPr>
        <w:pStyle w:val="FirstParagraph"/>
      </w:pPr>
      <w:r>
        <w:rPr>
          <w:b/>
          <w:bCs/>
        </w:rPr>
        <w:t xml:space="preserve">FR-HR-013</w:t>
      </w:r>
      <w:r>
        <w:t xml:space="preserve"> </w:t>
      </w:r>
      <w:r>
        <w:t xml:space="preserve">— When an employee submits a leave request, the system shall record: leave type, start date, end date, number of working days (excluding public holidays and weekends), and reason narrative; the system shall validate that the requested days do not exceed the current leave balance.</w:t>
      </w:r>
    </w:p>
    <w:p>
      <w:pPr>
        <w:pStyle w:val="BodyText"/>
      </w:pPr>
      <w:r>
        <w:rPr>
          <w:b/>
          <w:bCs/>
        </w:rPr>
        <w:t xml:space="preserve">FR-HR-014</w:t>
      </w:r>
      <w:r>
        <w:t xml:space="preserve"> </w:t>
      </w:r>
      <w:r>
        <w:t xml:space="preserve">— When a leave request is submitted, the system shall route it to the employee's direct supervisor as defined by the organisational chart; if the supervisor does not act within 24 hours, the system shall escalate the request to the next HR approver in the chain.</w:t>
      </w:r>
    </w:p>
    <w:p>
      <w:pPr>
        <w:pStyle w:val="BodyText"/>
      </w:pPr>
      <w:r>
        <w:rPr>
          <w:b/>
          <w:bCs/>
        </w:rPr>
        <w:t xml:space="preserve">FR-HR-015</w:t>
      </w:r>
      <w:r>
        <w:t xml:space="preserve"> </w:t>
      </w:r>
      <w:r>
        <w:t xml:space="preserve">— When a leave request is approved, the system shall deduct the approved days from the employee's leave balance, mark the days as absent in the attendance calendar, and send an in-app notification and email to the employee.</w:t>
      </w:r>
    </w:p>
    <w:p>
      <w:pPr>
        <w:pStyle w:val="BodyText"/>
      </w:pPr>
      <w:r>
        <w:rPr>
          <w:b/>
          <w:bCs/>
        </w:rPr>
        <w:t xml:space="preserve">FR-HR-016</w:t>
      </w:r>
      <w:r>
        <w:t xml:space="preserve"> </w:t>
      </w:r>
      <w:r>
        <w:t xml:space="preserve">— When a leave request is rejected, the system shall restore the leave balance to its pre-request value and notify the employee of the rejection with the rejector's recorded reason.</w:t>
      </w:r>
    </w:p>
    <w:bookmarkEnd w:id="34"/>
    <w:bookmarkStart w:id="35" w:name="X20fbf47e1892317b10ee80ecdca52d1be189202"/>
    <w:p>
      <w:pPr>
        <w:pStyle w:val="Heading2"/>
      </w:pPr>
      <w:r>
        <w:t xml:space="preserve">3.3 Leave Calendar</w:t>
      </w:r>
    </w:p>
    <w:p>
      <w:pPr>
        <w:pStyle w:val="FirstParagraph"/>
      </w:pPr>
      <w:r>
        <w:rPr>
          <w:b/>
          <w:bCs/>
        </w:rPr>
        <w:t xml:space="preserve">FR-HR-017</w:t>
      </w:r>
      <w:r>
        <w:t xml:space="preserve"> </w:t>
      </w:r>
      <w:r>
        <w:t xml:space="preserve">— The system shall maintain a configurable public holiday calendar per tenant country; public holidays shall be excluded from leave day counts and shall block timesheet entry for all employees on those dates.</w:t>
      </w:r>
    </w:p>
    <w:p>
      <w:pPr>
        <w:pStyle w:val="BodyText"/>
      </w:pPr>
      <w:r>
        <w:rPr>
          <w:b/>
          <w:bCs/>
        </w:rPr>
        <w:t xml:space="preserve">FR-HR-018</w:t>
      </w:r>
      <w:r>
        <w:t xml:space="preserve"> </w:t>
      </w:r>
      <w:r>
        <w:t xml:space="preserve">— The system shall provide a leave calendar view displaying all approved leave requests across a department for a selected month, allowing managers to identify staffing gaps before approving further requests.</w:t>
      </w:r>
    </w:p>
    <w:bookmarkEnd w:id="35"/>
    <w:bookmarkEnd w:id="36"/>
    <w:bookmarkStart w:id="40" w:name="attendance"/>
    <w:p>
      <w:pPr>
        <w:pStyle w:val="Heading1"/>
      </w:pPr>
      <w:r>
        <w:t xml:space="preserve">Attendance</w:t>
      </w:r>
    </w:p>
    <w:bookmarkStart w:id="37" w:name="Xa728f4c7a71ac759f82077226d4ff83a5160e60"/>
    <w:p>
      <w:pPr>
        <w:pStyle w:val="Heading2"/>
      </w:pPr>
      <w:r>
        <w:t xml:space="preserve">4.1 Attendance Capture</w:t>
      </w:r>
    </w:p>
    <w:p>
      <w:pPr>
        <w:pStyle w:val="FirstParagraph"/>
      </w:pPr>
      <w:r>
        <w:rPr>
          <w:b/>
          <w:bCs/>
        </w:rPr>
        <w:t xml:space="preserve">FR-HR-019</w:t>
      </w:r>
      <w:r>
        <w:t xml:space="preserve"> </w:t>
      </w:r>
      <w:r>
        <w:t xml:space="preserve">— The system shall record daily attendance for each active employee with the following statuses: Present, Absent (Approved Leave), Absent (Unapproved), Public Holiday, or Rest Day.</w:t>
      </w:r>
    </w:p>
    <w:p>
      <w:pPr>
        <w:pStyle w:val="BodyText"/>
      </w:pPr>
      <w:r>
        <w:rPr>
          <w:b/>
          <w:bCs/>
        </w:rPr>
        <w:t xml:space="preserve">FR-HR-020</w:t>
      </w:r>
      <w:r>
        <w:t xml:space="preserve"> </w:t>
      </w:r>
      <w:r>
        <w:t xml:space="preserve">— The system shall support attendance capture via: (a) biometric device integration (time and attendance API —</w:t>
      </w:r>
      <w:r>
        <w:t xml:space="preserve"> </w:t>
      </w:r>
      <w:r>
        <w:rPr>
          <w:rStyle w:val="VerbatimChar"/>
        </w:rPr>
        <w:t xml:space="preserve">[CONTEXT-GAP: GAP-009 — biometric device brand and API specification]</w:t>
      </w:r>
      <w:r>
        <w:t xml:space="preserve">), (b) mobile clock-in/clock-out with GPS coordinate capture, and (c) manual entry by an HR administrator with a mandatory justification.</w:t>
      </w:r>
    </w:p>
    <w:p>
      <w:pPr>
        <w:pStyle w:val="BodyText"/>
      </w:pPr>
      <w:r>
        <w:rPr>
          <w:b/>
          <w:bCs/>
        </w:rPr>
        <w:t xml:space="preserve">FR-HR-021</w:t>
      </w:r>
      <w:r>
        <w:t xml:space="preserve"> </w:t>
      </w:r>
      <w:r>
        <w:t xml:space="preserve">— When an employee clocks in via the mobile application, the system shall record the GPS coordinates and compare them to the tenant's configured work location geofence (radius configurable, default 200 m); if the clock-in location falls outside the geofence, the system shall flag the record for supervisor review but shall not prevent the clock-in.</w:t>
      </w:r>
    </w:p>
    <w:bookmarkEnd w:id="37"/>
    <w:bookmarkStart w:id="38" w:name="X79c55fc17559eb5c73babbb7b1f031f8d9796e1"/>
    <w:p>
      <w:pPr>
        <w:pStyle w:val="Heading2"/>
      </w:pPr>
      <w:r>
        <w:t xml:space="preserve">4.2 Shift Management</w:t>
      </w:r>
    </w:p>
    <w:p>
      <w:pPr>
        <w:pStyle w:val="FirstParagraph"/>
      </w:pPr>
      <w:r>
        <w:rPr>
          <w:b/>
          <w:bCs/>
        </w:rPr>
        <w:t xml:space="preserve">FR-HR-022</w:t>
      </w:r>
      <w:r>
        <w:t xml:space="preserve"> </w:t>
      </w:r>
      <w:r>
        <w:t xml:space="preserve">— The system shall support configurable shift patterns, each defining: shift name, start time, end time, break duration (minutes), grace period for late arrival (minutes), and whether the shift qualifies for an overtime supplement.</w:t>
      </w:r>
    </w:p>
    <w:p>
      <w:pPr>
        <w:pStyle w:val="BodyText"/>
      </w:pPr>
      <w:r>
        <w:rPr>
          <w:b/>
          <w:bCs/>
        </w:rPr>
        <w:t xml:space="preserve">FR-HR-023</w:t>
      </w:r>
      <w:r>
        <w:t xml:space="preserve"> </w:t>
      </w:r>
      <w:r>
        <w:t xml:space="preserve">— When an employee works beyond the scheduled shift end time, the system shall compute overtime hours as:</w:t>
      </w:r>
      <w:r>
        <w:t xml:space="preserve"> </w:t>
      </w:r>
      <m:oMath>
        <m:r>
          <m:t>O</m:t>
        </m:r>
        <m:r>
          <m:t>v</m:t>
        </m:r>
        <m:r>
          <m:t>e</m:t>
        </m:r>
        <m:r>
          <m:t>r</m:t>
        </m:r>
        <m:r>
          <m:t>t</m:t>
        </m:r>
        <m:r>
          <m:t>i</m:t>
        </m:r>
        <m:r>
          <m:t>m</m:t>
        </m:r>
        <m:r>
          <m:t>e</m:t>
        </m:r>
        <m:r>
          <m:t>H</m:t>
        </m:r>
        <m:r>
          <m:t>o</m:t>
        </m:r>
        <m:r>
          <m:t>u</m:t>
        </m:r>
        <m:r>
          <m:t>r</m:t>
        </m:r>
        <m:r>
          <m:t>s</m:t>
        </m:r>
        <m:r>
          <m:rPr>
            <m:sty m:val="p"/>
          </m:rPr>
          <m:t>=</m:t>
        </m:r>
        <m:r>
          <m:t>A</m:t>
        </m:r>
        <m:r>
          <m:t>c</m:t>
        </m:r>
        <m:r>
          <m:t>t</m:t>
        </m:r>
        <m:r>
          <m:t>u</m:t>
        </m:r>
        <m:r>
          <m:t>a</m:t>
        </m:r>
        <m:r>
          <m:t>l</m:t>
        </m:r>
        <m:r>
          <m:t>C</m:t>
        </m:r>
        <m:r>
          <m:t>l</m:t>
        </m:r>
        <m:r>
          <m:t>o</m:t>
        </m:r>
        <m:r>
          <m:t>c</m:t>
        </m:r>
        <m:r>
          <m:t>k</m:t>
        </m:r>
        <m:r>
          <m:t>O</m:t>
        </m:r>
        <m:r>
          <m:t>u</m:t>
        </m:r>
        <m:r>
          <m:t>t</m:t>
        </m:r>
        <m:r>
          <m:rPr>
            <m:sty m:val="p"/>
          </m:rPr>
          <m:t>−</m:t>
        </m:r>
        <m:r>
          <m:t>S</m:t>
        </m:r>
        <m:r>
          <m:t>h</m:t>
        </m:r>
        <m:r>
          <m:t>i</m:t>
        </m:r>
        <m:r>
          <m:t>f</m:t>
        </m:r>
        <m:r>
          <m:t>t</m:t>
        </m:r>
        <m:r>
          <m:t>E</m:t>
        </m:r>
        <m:r>
          <m:t>n</m:t>
        </m:r>
        <m:r>
          <m:t>d</m:t>
        </m:r>
        <m:r>
          <m:rPr>
            <m:sty m:val="p"/>
          </m:rPr>
          <m:t>−</m:t>
        </m:r>
        <m:r>
          <m:t>B</m:t>
        </m:r>
        <m:r>
          <m:t>r</m:t>
        </m:r>
        <m:r>
          <m:t>e</m:t>
        </m:r>
        <m:r>
          <m:t>a</m:t>
        </m:r>
        <m:r>
          <m:t>k</m:t>
        </m:r>
        <m:r>
          <m:t>D</m:t>
        </m:r>
        <m:r>
          <m:t>u</m:t>
        </m:r>
        <m:r>
          <m:t>r</m:t>
        </m:r>
        <m:r>
          <m:t>a</m:t>
        </m:r>
        <m:r>
          <m:t>t</m:t>
        </m:r>
        <m:r>
          <m:t>i</m:t>
        </m:r>
        <m:r>
          <m:t>o</m:t>
        </m:r>
        <m:r>
          <m:t>n</m:t>
        </m:r>
      </m:oMath>
      <w:r>
        <w:t xml:space="preserve"> </w:t>
      </w:r>
      <w:r>
        <w:t xml:space="preserve">and flag the record for approval by the line manager before payroll inclusion.</w:t>
      </w:r>
    </w:p>
    <w:bookmarkEnd w:id="38"/>
    <w:bookmarkStart w:id="39" w:name="Xc2b011ba0140382e85c18368f7aa0c24b16d51b"/>
    <w:p>
      <w:pPr>
        <w:pStyle w:val="Heading2"/>
      </w:pPr>
      <w:r>
        <w:t xml:space="preserve">4.3 Attendance Reports</w:t>
      </w:r>
    </w:p>
    <w:p>
      <w:pPr>
        <w:pStyle w:val="FirstParagraph"/>
      </w:pPr>
      <w:r>
        <w:rPr>
          <w:b/>
          <w:bCs/>
        </w:rPr>
        <w:t xml:space="preserve">FR-HR-024</w:t>
      </w:r>
      <w:r>
        <w:t xml:space="preserve"> </w:t>
      </w:r>
      <w:r>
        <w:t xml:space="preserve">— The system shall generate a monthly attendance summary per employee showing total present days, late arrivals, early departures, approved leave days, unapproved absent days, and overtime hours; this report shall be a prerequisite input to the payroll run.</w:t>
      </w:r>
    </w:p>
    <w:p>
      <w:pPr>
        <w:pStyle w:val="BodyText"/>
      </w:pPr>
      <w:r>
        <w:rPr>
          <w:b/>
          <w:bCs/>
        </w:rPr>
        <w:t xml:space="preserve">FR-HR-025</w:t>
      </w:r>
      <w:r>
        <w:t xml:space="preserve"> </w:t>
      </w:r>
      <w:r>
        <w:t xml:space="preserve">— The system shall generate a late-arrivals and absenteeism report per department, sortable by frequency, to support HR disciplinary workflows.</w:t>
      </w:r>
    </w:p>
    <w:bookmarkEnd w:id="39"/>
    <w:bookmarkEnd w:id="40"/>
    <w:bookmarkStart w:id="44" w:name="payroll-configuration"/>
    <w:p>
      <w:pPr>
        <w:pStyle w:val="Heading1"/>
      </w:pPr>
      <w:r>
        <w:t xml:space="preserve">Payroll Configuration</w:t>
      </w:r>
    </w:p>
    <w:bookmarkStart w:id="41" w:name="Xf71994cbdf35cc221fe101c39cb98400d991c68"/>
    <w:p>
      <w:pPr>
        <w:pStyle w:val="Heading2"/>
      </w:pPr>
      <w:r>
        <w:t xml:space="preserve">5.1 Payroll Elements</w:t>
      </w:r>
    </w:p>
    <w:p>
      <w:pPr>
        <w:pStyle w:val="FirstParagraph"/>
      </w:pPr>
      <w:r>
        <w:rPr>
          <w:b/>
          <w:bCs/>
        </w:rPr>
        <w:t xml:space="preserve">FR-HR-026</w:t>
      </w:r>
      <w:r>
        <w:t xml:space="preserve"> </w:t>
      </w:r>
      <w:r>
        <w:t xml:space="preserve">— The system shall support configurable payroll elements of two types: earnings (additions to gross pay) and deductions (subtractions from gross pay); each element shall define: element name, element code, calculation method (fixed amount, percentage of basic, formula), taxability (taxable or non-taxable), and NSSF applicability.</w:t>
      </w:r>
    </w:p>
    <w:p>
      <w:pPr>
        <w:pStyle w:val="BodyText"/>
      </w:pPr>
      <w:r>
        <w:rPr>
          <w:b/>
          <w:bCs/>
        </w:rPr>
        <w:t xml:space="preserve">FR-HR-027</w:t>
      </w:r>
      <w:r>
        <w:t xml:space="preserve"> </w:t>
      </w:r>
      <w:r>
        <w:t xml:space="preserve">— The system shall provide the following built-in payroll elements that cannot be deleted: Basic Salary, PAYE, NSSF Employee Contribution, NSSF Employer Contribution, Net Pay, and the applicable jurisdiction-specific levies (NITA, NHIF, PSSSF, RSSB) activated by the tenant's country configuration.</w:t>
      </w:r>
    </w:p>
    <w:p>
      <w:pPr>
        <w:pStyle w:val="BodyText"/>
      </w:pPr>
      <w:r>
        <w:rPr>
          <w:b/>
          <w:bCs/>
        </w:rPr>
        <w:t xml:space="preserve">FR-HR-028</w:t>
      </w:r>
      <w:r>
        <w:t xml:space="preserve"> </w:t>
      </w:r>
      <w:r>
        <w:t xml:space="preserve">— When a tenant activates a country profile (Uganda, Kenya, Tanzania, Rwanda), the system shall auto-enable the statutory elements and tax bands for that country and suppress those of all other countries in the payroll computation.</w:t>
      </w:r>
    </w:p>
    <w:bookmarkEnd w:id="41"/>
    <w:bookmarkStart w:id="42" w:name="X8e555901d930d128307e0f6d8384a14277129e4"/>
    <w:p>
      <w:pPr>
        <w:pStyle w:val="Heading2"/>
      </w:pPr>
      <w:r>
        <w:t xml:space="preserve">5.2 Employee Payroll Assignments</w:t>
      </w:r>
    </w:p>
    <w:p>
      <w:pPr>
        <w:pStyle w:val="FirstParagraph"/>
      </w:pPr>
      <w:r>
        <w:rPr>
          <w:b/>
          <w:bCs/>
        </w:rPr>
        <w:t xml:space="preserve">FR-HR-029</w:t>
      </w:r>
      <w:r>
        <w:t xml:space="preserve"> </w:t>
      </w:r>
      <w:r>
        <w:t xml:space="preserve">— The system shall support per-employee element assignments that override the default element definition, allowing individual fixed allowances (transport, housing, medical) to be configured per employee with effective start and end dates.</w:t>
      </w:r>
    </w:p>
    <w:p>
      <w:pPr>
        <w:pStyle w:val="BodyText"/>
      </w:pPr>
      <w:r>
        <w:rPr>
          <w:b/>
          <w:bCs/>
        </w:rPr>
        <w:t xml:space="preserve">FR-HR-030</w:t>
      </w:r>
      <w:r>
        <w:t xml:space="preserve"> </w:t>
      </w:r>
      <w:r>
        <w:t xml:space="preserve">— When a payroll element assignment's end date is reached, the system shall automatically exclude the element from subsequent payroll runs without requiring manual intervention.</w:t>
      </w:r>
    </w:p>
    <w:bookmarkEnd w:id="42"/>
    <w:bookmarkStart w:id="43" w:name="X86982ad92bb05c0072db89f058e6ebc8e20574d"/>
    <w:p>
      <w:pPr>
        <w:pStyle w:val="Heading2"/>
      </w:pPr>
      <w:r>
        <w:t xml:space="preserve">5.3 Pay Periods</w:t>
      </w:r>
    </w:p>
    <w:p>
      <w:pPr>
        <w:pStyle w:val="FirstParagraph"/>
      </w:pPr>
      <w:r>
        <w:rPr>
          <w:b/>
          <w:bCs/>
        </w:rPr>
        <w:t xml:space="preserve">FR-HR-031</w:t>
      </w:r>
      <w:r>
        <w:t xml:space="preserve"> </w:t>
      </w:r>
      <w:r>
        <w:t xml:space="preserve">— The system shall support monthly pay periods as the default; the payroll calendar shall display all periods for the current financial year, marking each as: Open, Processing, Closed, or Paid.</w:t>
      </w:r>
    </w:p>
    <w:p>
      <w:pPr>
        <w:pStyle w:val="BodyText"/>
      </w:pPr>
      <w:r>
        <w:rPr>
          <w:b/>
          <w:bCs/>
        </w:rPr>
        <w:t xml:space="preserve">FR-HR-032</w:t>
      </w:r>
      <w:r>
        <w:t xml:space="preserve"> </w:t>
      </w:r>
      <w:r>
        <w:t xml:space="preserve">— When a pay period is closed, the system shall prevent further modifications to payroll records for that period; any adjustment shall require creation of a payroll adjustment batch in the next open period.</w:t>
      </w:r>
    </w:p>
    <w:bookmarkEnd w:id="43"/>
    <w:bookmarkEnd w:id="44"/>
    <w:bookmarkStart w:id="49" w:name="payroll-run-and-statutory-deductions"/>
    <w:p>
      <w:pPr>
        <w:pStyle w:val="Heading1"/>
      </w:pPr>
      <w:r>
        <w:t xml:space="preserve">Payroll Run and Statutory Deductions</w:t>
      </w:r>
    </w:p>
    <w:bookmarkStart w:id="45" w:name="Xe3208e6dfff2e863afb4bab820f5eea6bc62ad3"/>
    <w:p>
      <w:pPr>
        <w:pStyle w:val="Heading2"/>
      </w:pPr>
      <w:r>
        <w:t xml:space="preserve">6.1 Payroll Run Execution</w:t>
      </w:r>
    </w:p>
    <w:p>
      <w:pPr>
        <w:pStyle w:val="FirstParagraph"/>
      </w:pPr>
      <w:r>
        <w:rPr>
          <w:b/>
          <w:bCs/>
        </w:rPr>
        <w:t xml:space="preserve">FR-HR-033</w:t>
      </w:r>
      <w:r>
        <w:t xml:space="preserve"> </w:t>
      </w:r>
      <w:r>
        <w:t xml:space="preserve">— When a payroll administrator initiates a payroll run, the system shall execute the following steps in order: (1) load all active employees for the pay period, (2) apply attendance deductions for unapproved absent days, (3) compute gross pay per employee, (4) compute statutory deductions, (5) apply voluntary deductions (loans, advances), (6) compute net pay, (7) generate a payroll summary for review, and (8) await final confirmation before posting.</w:t>
      </w:r>
    </w:p>
    <w:p>
      <w:pPr>
        <w:pStyle w:val="BodyText"/>
      </w:pPr>
      <w:r>
        <w:rPr>
          <w:b/>
          <w:bCs/>
        </w:rPr>
        <w:t xml:space="preserve">FR-HR-034</w:t>
      </w:r>
      <w:r>
        <w:t xml:space="preserve"> </w:t>
      </w:r>
      <w:r>
        <w:t xml:space="preserve">— The system shall compute net pay using the formula:</w:t>
      </w:r>
    </w:p>
    <w:p>
      <w:pPr>
        <w:pStyle w:val="BodyText"/>
      </w:pPr>
      <m:oMath>
        <m:r>
          <m:t>N</m:t>
        </m:r>
        <m:r>
          <m:t>e</m:t>
        </m:r>
        <m:r>
          <m:t>t</m:t>
        </m:r>
        <m:r>
          <m:t>P</m:t>
        </m:r>
        <m:r>
          <m:t>a</m:t>
        </m:r>
        <m:r>
          <m:t>y</m:t>
        </m:r>
        <m:r>
          <m:rPr>
            <m:sty m:val="p"/>
          </m:rPr>
          <m:t>=</m:t>
        </m:r>
        <m:r>
          <m:t>G</m:t>
        </m:r>
        <m:r>
          <m:t>r</m:t>
        </m:r>
        <m:r>
          <m:t>o</m:t>
        </m:r>
        <m:r>
          <m:t>s</m:t>
        </m:r>
        <m:r>
          <m:t>s</m:t>
        </m:r>
        <m:r>
          <m:t>P</m:t>
        </m:r>
        <m:r>
          <m:t>a</m:t>
        </m:r>
        <m:r>
          <m:t>y</m:t>
        </m:r>
        <m:r>
          <m:rPr>
            <m:sty m:val="p"/>
          </m:rPr>
          <m:t>−</m:t>
        </m:r>
        <m:r>
          <m:rPr>
            <m:sty m:val="p"/>
          </m:rPr>
          <m:t>∑</m:t>
        </m:r>
        <m:r>
          <m:t>D</m:t>
        </m:r>
        <m:r>
          <m:t>e</m:t>
        </m:r>
        <m:r>
          <m:t>d</m:t>
        </m:r>
        <m:r>
          <m:t>u</m:t>
        </m:r>
        <m:r>
          <m:t>c</m:t>
        </m:r>
        <m:r>
          <m:t>t</m:t>
        </m:r>
        <m:r>
          <m:t>i</m:t>
        </m:r>
        <m:r>
          <m:t>o</m:t>
        </m:r>
        <m:r>
          <m:t>n</m:t>
        </m:r>
        <m:r>
          <m:t>s</m:t>
        </m:r>
      </m:oMath>
    </w:p>
    <w:p>
      <w:pPr>
        <w:pStyle w:val="BodyText"/>
      </w:pPr>
      <w:r>
        <w:t xml:space="preserve">where</w:t>
      </w:r>
      <w:r>
        <w:t xml:space="preserve"> </w:t>
      </w:r>
      <m:oMath>
        <m:r>
          <m:rPr>
            <m:sty m:val="p"/>
          </m:rPr>
          <m:t>∑</m:t>
        </m:r>
        <m:r>
          <m:t>D</m:t>
        </m:r>
        <m:r>
          <m:t>e</m:t>
        </m:r>
        <m:r>
          <m:t>d</m:t>
        </m:r>
        <m:r>
          <m:t>u</m:t>
        </m:r>
        <m:r>
          <m:t>c</m:t>
        </m:r>
        <m:r>
          <m:t>t</m:t>
        </m:r>
        <m:r>
          <m:t>i</m:t>
        </m:r>
        <m:r>
          <m:t>o</m:t>
        </m:r>
        <m:r>
          <m:t>n</m:t>
        </m:r>
        <m:r>
          <m:t>s</m:t>
        </m:r>
      </m:oMath>
      <w:r>
        <w:t xml:space="preserve"> </w:t>
      </w:r>
      <w:r>
        <w:t xml:space="preserve">includes PAYE, NSSF employee contribution, NITA levy, and all approved voluntary deductions.</w:t>
      </w:r>
    </w:p>
    <w:p>
      <w:pPr>
        <w:pStyle w:val="BodyText"/>
      </w:pPr>
      <w:r>
        <w:rPr>
          <w:b/>
          <w:bCs/>
        </w:rPr>
        <w:t xml:space="preserve">FR-HR-035</w:t>
      </w:r>
      <w:r>
        <w:t xml:space="preserve"> </w:t>
      </w:r>
      <w:r>
        <w:t xml:space="preserve">— When the payroll run encounters an employee with a negative net pay (deductions exceed gross), the system shall flag that employee record in the payroll summary, prevent posting until the issue is resolved, and display a descriptive error identifying which deductions caused the shortfall.</w:t>
      </w:r>
    </w:p>
    <w:bookmarkEnd w:id="45"/>
    <w:bookmarkStart w:id="46" w:name="X81366bab2a44f08e4cc9ae1e19c26cd34fc757c"/>
    <w:p>
      <w:pPr>
        <w:pStyle w:val="Heading2"/>
      </w:pPr>
      <w:r>
        <w:t xml:space="preserve">6.2 PAYE Calculation</w:t>
      </w:r>
    </w:p>
    <w:p>
      <w:pPr>
        <w:pStyle w:val="FirstParagraph"/>
      </w:pPr>
      <w:r>
        <w:rPr>
          <w:b/>
          <w:bCs/>
        </w:rPr>
        <w:t xml:space="preserve">FR-HR-036</w:t>
      </w:r>
      <w:r>
        <w:t xml:space="preserve"> </w:t>
      </w:r>
      <w:r>
        <w:t xml:space="preserve">— The system shall calculate Uganda PAYE using the tiered tax band formula:</w:t>
      </w:r>
    </w:p>
    <w:p>
      <w:pPr>
        <w:pStyle w:val="BodyText"/>
      </w:pPr>
      <m:oMath>
        <m:r>
          <m:t>P</m:t>
        </m:r>
        <m:r>
          <m:t>A</m:t>
        </m:r>
        <m:r>
          <m:t>Y</m:t>
        </m:r>
        <m:r>
          <m:t>E</m:t>
        </m:r>
        <m:r>
          <m:rPr>
            <m:sty m:val="p"/>
          </m:rPr>
          <m:t>=</m:t>
        </m:r>
        <m:nary>
          <m:naryPr>
            <m:chr m:val="∑"/>
            <m:limLoc m:val="undOvr"/>
            <m:subHide m:val="off"/>
            <m:supHide m:val="off"/>
          </m:naryPr>
          <m:sub>
            <m:r>
              <m:t>i</m:t>
            </m:r>
            <m:r>
              <m:rPr>
                <m:sty m:val="p"/>
              </m:rPr>
              <m:t>=</m:t>
            </m:r>
            <m:r>
              <m:t>1</m:t>
            </m:r>
          </m:sub>
          <m:sup>
            <m:r>
              <m:t>n</m:t>
            </m:r>
          </m:sup>
          <m:e>
            <m:r>
              <m:rPr>
                <m:sty m:val="p"/>
              </m:rPr>
              <m:t>(</m:t>
            </m:r>
          </m:e>
        </m:nary>
        <m:r>
          <m:t>B</m:t>
        </m:r>
        <m:r>
          <m:t>a</m:t>
        </m:r>
        <m:r>
          <m:t>n</m:t>
        </m:r>
        <m:sSub>
          <m:e>
            <m:r>
              <m:t>d</m:t>
            </m:r>
          </m:e>
          <m:sub>
            <m:r>
              <m:t>i</m:t>
            </m:r>
          </m:sub>
        </m:sSub>
        <m:r>
          <m:rPr>
            <m:sty m:val="p"/>
          </m:rPr>
          <m:t>×</m:t>
        </m:r>
        <m:r>
          <m:t>R</m:t>
        </m:r>
        <m:r>
          <m:t>a</m:t>
        </m:r>
        <m:r>
          <m:t>t</m:t>
        </m:r>
        <m:sSub>
          <m:e>
            <m:r>
              <m:t>e</m:t>
            </m:r>
          </m:e>
          <m:sub>
            <m:r>
              <m:t>i</m:t>
            </m:r>
          </m:sub>
        </m:sSub>
        <m:r>
          <m:rPr>
            <m:sty m:val="p"/>
          </m:rPr>
          <m:t>)</m:t>
        </m:r>
      </m:oMath>
    </w:p>
    <w:p>
      <w:pPr>
        <w:pStyle w:val="BodyText"/>
      </w:pPr>
      <w:r>
        <w:t xml:space="preserve">where</w:t>
      </w:r>
      <w:r>
        <w:t xml:space="preserve"> </w:t>
      </w:r>
      <m:oMath>
        <m:r>
          <m:t>B</m:t>
        </m:r>
        <m:r>
          <m:t>a</m:t>
        </m:r>
        <m:r>
          <m:t>n</m:t>
        </m:r>
        <m:sSub>
          <m:e>
            <m:r>
              <m:t>d</m:t>
            </m:r>
          </m:e>
          <m:sub>
            <m:r>
              <m:t>i</m:t>
            </m:r>
          </m:sub>
        </m:sSub>
      </m:oMath>
      <w:r>
        <w:t xml:space="preserve"> </w:t>
      </w:r>
      <w:r>
        <w:t xml:space="preserve">is the portion of taxable income falling within tax band</w:t>
      </w:r>
      <w:r>
        <w:t xml:space="preserve"> </w:t>
      </w:r>
      <m:oMath>
        <m:r>
          <m:t>i</m:t>
        </m:r>
      </m:oMath>
      <w:r>
        <w:t xml:space="preserve"> </w:t>
      </w:r>
      <w:r>
        <w:t xml:space="preserve">and</w:t>
      </w:r>
      <w:r>
        <w:t xml:space="preserve"> </w:t>
      </w:r>
      <m:oMath>
        <m:r>
          <m:t>R</m:t>
        </m:r>
        <m:r>
          <m:t>a</m:t>
        </m:r>
        <m:r>
          <m:t>t</m:t>
        </m:r>
        <m:sSub>
          <m:e>
            <m:r>
              <m:t>e</m:t>
            </m:r>
          </m:e>
          <m:sub>
            <m:r>
              <m:t>i</m:t>
            </m:r>
          </m:sub>
        </m:sSub>
      </m:oMath>
      <w:r>
        <w:t xml:space="preserve"> </w:t>
      </w:r>
      <w:r>
        <w:t xml:space="preserve">is the applicable marginal rate for that band; the tax band thresholds and rates shall be configurable by an administrator</w:t>
      </w:r>
      <w:r>
        <w:t xml:space="preserve"> </w:t>
      </w:r>
      <w:r>
        <w:rPr>
          <w:rStyle w:val="VerbatimChar"/>
        </w:rPr>
        <w:t xml:space="preserve">[CONTEXT-GAP: GAP-002 — confirm current Uganda PAYE bands]</w:t>
      </w:r>
      <w:r>
        <w:t xml:space="preserve">.</w:t>
      </w:r>
    </w:p>
    <w:p>
      <w:pPr>
        <w:pStyle w:val="BodyText"/>
      </w:pPr>
      <w:r>
        <w:rPr>
          <w:b/>
          <w:bCs/>
        </w:rPr>
        <w:t xml:space="preserve">FR-HR-037</w:t>
      </w:r>
      <w:r>
        <w:t xml:space="preserve"> </w:t>
      </w:r>
      <w:r>
        <w:t xml:space="preserve">— The system shall apply equivalent band-based PAYE calculation for Kenya (PAYE + NHIF), Tanzania (PAYE + PSSSF), and Rwanda (PAYE + RSSB) when the respective country profile is active; each country's bands and rates shall be independently configurable.</w:t>
      </w:r>
    </w:p>
    <w:bookmarkEnd w:id="46"/>
    <w:bookmarkStart w:id="47" w:name="X712e72495f2c641f6d207627c0417d74611b070"/>
    <w:p>
      <w:pPr>
        <w:pStyle w:val="Heading2"/>
      </w:pPr>
      <w:r>
        <w:t xml:space="preserve">6.3 NSSF and Statutory Levies</w:t>
      </w:r>
    </w:p>
    <w:p>
      <w:pPr>
        <w:pStyle w:val="FirstParagraph"/>
      </w:pPr>
      <w:r>
        <w:rPr>
          <w:b/>
          <w:bCs/>
        </w:rPr>
        <w:t xml:space="preserve">FR-HR-038</w:t>
      </w:r>
      <w:r>
        <w:t xml:space="preserve"> </w:t>
      </w:r>
      <w:r>
        <w:t xml:space="preserve">— The system shall calculate Uganda NSSF contributions as:</w:t>
      </w:r>
    </w:p>
    <w:p>
      <w:pPr>
        <w:pStyle w:val="BodyText"/>
      </w:pPr>
      <m:oMath>
        <m:r>
          <m:t>N</m:t>
        </m:r>
        <m:r>
          <m:t>S</m:t>
        </m:r>
        <m:r>
          <m:t>S</m:t>
        </m:r>
        <m:sSub>
          <m:e>
            <m:r>
              <m:t>F</m:t>
            </m:r>
          </m:e>
          <m:sub>
            <m:r>
              <m:t>e</m:t>
            </m:r>
            <m:r>
              <m:t>m</m:t>
            </m:r>
            <m:r>
              <m:t>p</m:t>
            </m:r>
            <m:r>
              <m:t>l</m:t>
            </m:r>
            <m:r>
              <m:t>o</m:t>
            </m:r>
            <m:r>
              <m:t>y</m:t>
            </m:r>
            <m:r>
              <m:t>e</m:t>
            </m:r>
            <m:r>
              <m:t>r</m:t>
            </m:r>
          </m:sub>
        </m:sSub>
        <m:r>
          <m:rPr>
            <m:sty m:val="p"/>
          </m:rPr>
          <m:t>=</m:t>
        </m:r>
        <m:r>
          <m:t>G</m:t>
        </m:r>
        <m:r>
          <m:t>r</m:t>
        </m:r>
        <m:r>
          <m:t>o</m:t>
        </m:r>
        <m:r>
          <m:t>s</m:t>
        </m:r>
        <m:r>
          <m:t>s</m:t>
        </m:r>
        <m:r>
          <m:t>S</m:t>
        </m:r>
        <m:r>
          <m:t>a</m:t>
        </m:r>
        <m:r>
          <m:t>l</m:t>
        </m:r>
        <m:r>
          <m:t>a</m:t>
        </m:r>
        <m:r>
          <m:t>r</m:t>
        </m:r>
        <m:r>
          <m:t>y</m:t>
        </m:r>
        <m:r>
          <m:rPr>
            <m:sty m:val="p"/>
          </m:rPr>
          <m:t>×</m:t>
        </m:r>
        <m:r>
          <m:t>0.10</m:t>
        </m:r>
      </m:oMath>
    </w:p>
    <w:p>
      <w:pPr>
        <w:pStyle w:val="BodyText"/>
      </w:pPr>
      <m:oMath>
        <m:r>
          <m:t>N</m:t>
        </m:r>
        <m:r>
          <m:t>S</m:t>
        </m:r>
        <m:r>
          <m:t>S</m:t>
        </m:r>
        <m:sSub>
          <m:e>
            <m:r>
              <m:t>F</m:t>
            </m:r>
          </m:e>
          <m:sub>
            <m:r>
              <m:t>e</m:t>
            </m:r>
            <m:r>
              <m:t>m</m:t>
            </m:r>
            <m:r>
              <m:t>p</m:t>
            </m:r>
            <m:r>
              <m:t>l</m:t>
            </m:r>
            <m:r>
              <m:t>o</m:t>
            </m:r>
            <m:r>
              <m:t>y</m:t>
            </m:r>
            <m:r>
              <m:t>e</m:t>
            </m:r>
            <m:r>
              <m:t>e</m:t>
            </m:r>
          </m:sub>
        </m:sSub>
        <m:r>
          <m:rPr>
            <m:sty m:val="p"/>
          </m:rPr>
          <m:t>=</m:t>
        </m:r>
        <m:r>
          <m:t>G</m:t>
        </m:r>
        <m:r>
          <m:t>r</m:t>
        </m:r>
        <m:r>
          <m:t>o</m:t>
        </m:r>
        <m:r>
          <m:t>s</m:t>
        </m:r>
        <m:r>
          <m:t>s</m:t>
        </m:r>
        <m:r>
          <m:t>S</m:t>
        </m:r>
        <m:r>
          <m:t>a</m:t>
        </m:r>
        <m:r>
          <m:t>l</m:t>
        </m:r>
        <m:r>
          <m:t>a</m:t>
        </m:r>
        <m:r>
          <m:t>r</m:t>
        </m:r>
        <m:r>
          <m:t>y</m:t>
        </m:r>
        <m:r>
          <m:rPr>
            <m:sty m:val="p"/>
          </m:rPr>
          <m:t>×</m:t>
        </m:r>
        <m:r>
          <m:t>0.05</m:t>
        </m:r>
      </m:oMath>
    </w:p>
    <w:p>
      <w:pPr>
        <w:pStyle w:val="BodyText"/>
      </w:pPr>
      <w:r>
        <w:t xml:space="preserve">Both amounts shall be posted to separate GL liability accounts and included in the NSSF employer schedule.</w:t>
      </w:r>
    </w:p>
    <w:p>
      <w:pPr>
        <w:pStyle w:val="BodyText"/>
      </w:pPr>
      <w:r>
        <w:rPr>
          <w:b/>
          <w:bCs/>
        </w:rPr>
        <w:t xml:space="preserve">FR-HR-039</w:t>
      </w:r>
      <w:r>
        <w:t xml:space="preserve"> </w:t>
      </w:r>
      <w:r>
        <w:t xml:space="preserve">— The system shall calculate the Uganda NITA levy as a fixed monthly amount per employee, configurable by the administrator; the NITA levy shall be reported separately on the NSSF employer schedule.</w:t>
      </w:r>
    </w:p>
    <w:bookmarkEnd w:id="47"/>
    <w:bookmarkStart w:id="48" w:name="Xfc2e3b8733b244dbcf03fe8b2240b0fb7df996e"/>
    <w:p>
      <w:pPr>
        <w:pStyle w:val="Heading2"/>
      </w:pPr>
      <w:r>
        <w:t xml:space="preserve">6.4 GL Posting</w:t>
      </w:r>
    </w:p>
    <w:p>
      <w:pPr>
        <w:pStyle w:val="FirstParagraph"/>
      </w:pPr>
      <w:r>
        <w:rPr>
          <w:b/>
          <w:bCs/>
        </w:rPr>
        <w:t xml:space="preserve">FR-HR-040</w:t>
      </w:r>
      <w:r>
        <w:t xml:space="preserve"> </w:t>
      </w:r>
      <w:r>
        <w:t xml:space="preserve">— When a payroll run is confirmed, the system shall post the following journal entries atomically: (a) Debit salary expense accounts per cost centre, Credit salary payable; (b) Debit PAYE liability, Credit PAYE payable to URA; (c) Debit NSSF employer contribution, Credit NSSF payable; (d) Debit NSSF employee contribution (withheld), Credit NSSF payable.</w:t>
      </w:r>
    </w:p>
    <w:p>
      <w:pPr>
        <w:pStyle w:val="BodyText"/>
      </w:pPr>
      <w:r>
        <w:rPr>
          <w:b/>
          <w:bCs/>
        </w:rPr>
        <w:t xml:space="preserve">FR-HR-041</w:t>
      </w:r>
      <w:r>
        <w:t xml:space="preserve"> </w:t>
      </w:r>
      <w:r>
        <w:t xml:space="preserve">— Payroll journal entries shall carry the payroll run ID as a reference, enabling drill-down from the GL to the originating payroll run.</w:t>
      </w:r>
    </w:p>
    <w:bookmarkEnd w:id="48"/>
    <w:bookmarkEnd w:id="49"/>
    <w:bookmarkStart w:id="53" w:name="payslips-and-salary-disbursement"/>
    <w:p>
      <w:pPr>
        <w:pStyle w:val="Heading1"/>
      </w:pPr>
      <w:r>
        <w:t xml:space="preserve">Payslips and Salary Disbursement</w:t>
      </w:r>
    </w:p>
    <w:bookmarkStart w:id="50" w:name="Xb99695e44cd26bc913b7944e1a4d6b3462f18ec"/>
    <w:p>
      <w:pPr>
        <w:pStyle w:val="Heading2"/>
      </w:pPr>
      <w:r>
        <w:t xml:space="preserve">7.1 Payslip Generation</w:t>
      </w:r>
    </w:p>
    <w:p>
      <w:pPr>
        <w:pStyle w:val="FirstParagraph"/>
      </w:pPr>
      <w:r>
        <w:rPr>
          <w:b/>
          <w:bCs/>
        </w:rPr>
        <w:t xml:space="preserve">FR-HR-042</w:t>
      </w:r>
      <w:r>
        <w:t xml:space="preserve"> </w:t>
      </w:r>
      <w:r>
        <w:t xml:space="preserve">— When a payroll run is confirmed, the system shall generate an individual payslip PDF for every employee in the run; each payslip shall display: employee name, employee ID, pay period, department, gross pay, itemised earnings, itemised deductions (statutory and voluntary), net pay, and tenant branding (logo, company name).</w:t>
      </w:r>
    </w:p>
    <w:p>
      <w:pPr>
        <w:pStyle w:val="BodyText"/>
      </w:pPr>
      <w:r>
        <w:rPr>
          <w:b/>
          <w:bCs/>
        </w:rPr>
        <w:t xml:space="preserve">FR-HR-043</w:t>
      </w:r>
      <w:r>
        <w:t xml:space="preserve"> </w:t>
      </w:r>
      <w:r>
        <w:t xml:space="preserve">— Payslip PDFs shall be generated using mPDF with the tenant's configured page size (default A4); the payslip layout shall be fixed-format and consistent regardless of the number of payroll elements, using a scrollable table structure to accommodate variable element counts.</w:t>
      </w:r>
    </w:p>
    <w:p>
      <w:pPr>
        <w:pStyle w:val="BodyText"/>
      </w:pPr>
      <w:r>
        <w:rPr>
          <w:b/>
          <w:bCs/>
        </w:rPr>
        <w:t xml:space="preserve">FR-HR-044</w:t>
      </w:r>
      <w:r>
        <w:t xml:space="preserve"> </w:t>
      </w:r>
      <w:r>
        <w:t xml:space="preserve">— The system shall store all generated payslip PDFs in the tenant's document storage and retain them for a minimum of 10 years; payslip records shall be non-deletable at the application layer.</w:t>
      </w:r>
    </w:p>
    <w:bookmarkEnd w:id="50"/>
    <w:bookmarkStart w:id="51" w:name="X017c83276ac9b188cd672c0ca4133e85c7c5084"/>
    <w:p>
      <w:pPr>
        <w:pStyle w:val="Heading2"/>
      </w:pPr>
      <w:r>
        <w:t xml:space="preserve">7.2 Statutory Schedules</w:t>
      </w:r>
    </w:p>
    <w:p>
      <w:pPr>
        <w:pStyle w:val="FirstParagraph"/>
      </w:pPr>
      <w:r>
        <w:rPr>
          <w:b/>
          <w:bCs/>
        </w:rPr>
        <w:t xml:space="preserve">FR-HR-045</w:t>
      </w:r>
      <w:r>
        <w:t xml:space="preserve"> </w:t>
      </w:r>
      <w:r>
        <w:t xml:space="preserve">— The system shall generate an NSSF employer schedule export per pay period listing all employees with their NSSF numbers, gross salary, employer contribution, employee contribution, and total remittable amount; the export format shall be compatible with the NSSF online portal upload format</w:t>
      </w:r>
      <w:r>
        <w:t xml:space="preserve"> </w:t>
      </w:r>
      <w:r>
        <w:rPr>
          <w:rStyle w:val="VerbatimChar"/>
        </w:rPr>
        <w:t xml:space="preserve">[CONTEXT-GAP: GAP-003 — confirm current NSSF upload format]</w:t>
      </w:r>
      <w:r>
        <w:t xml:space="preserve">.</w:t>
      </w:r>
    </w:p>
    <w:p>
      <w:pPr>
        <w:pStyle w:val="BodyText"/>
      </w:pPr>
      <w:r>
        <w:rPr>
          <w:b/>
          <w:bCs/>
        </w:rPr>
        <w:t xml:space="preserve">FR-HR-046</w:t>
      </w:r>
      <w:r>
        <w:t xml:space="preserve"> </w:t>
      </w:r>
      <w:r>
        <w:t xml:space="preserve">— The system shall generate a URA PAYE e-return export per pay period listing all employees with their TINs, gross taxable income, PAYE computed, and year-to-date PAYE; the export format shall conform to URA's current e-return template</w:t>
      </w:r>
      <w:r>
        <w:t xml:space="preserve"> </w:t>
      </w:r>
      <w:r>
        <w:rPr>
          <w:rStyle w:val="VerbatimChar"/>
        </w:rPr>
        <w:t xml:space="preserve">[CONTEXT-GAP: GAP-002 — confirm URA PAYE e-return format]</w:t>
      </w:r>
      <w:r>
        <w:t xml:space="preserve">.</w:t>
      </w:r>
    </w:p>
    <w:bookmarkEnd w:id="51"/>
    <w:bookmarkStart w:id="52" w:name="X3fc8fdfeb3587dd0bd638c4215577222ca5497a"/>
    <w:p>
      <w:pPr>
        <w:pStyle w:val="Heading2"/>
      </w:pPr>
      <w:r>
        <w:t xml:space="preserve">7.3 Salary Disbursement</w:t>
      </w:r>
    </w:p>
    <w:p>
      <w:pPr>
        <w:pStyle w:val="FirstParagraph"/>
      </w:pPr>
      <w:r>
        <w:rPr>
          <w:b/>
          <w:bCs/>
        </w:rPr>
        <w:t xml:space="preserve">FR-HR-047</w:t>
      </w:r>
      <w:r>
        <w:t xml:space="preserve"> </w:t>
      </w:r>
      <w:r>
        <w:t xml:space="preserve">— The system shall generate a bank payment file from the confirmed payroll run, listing each employee's bank name, account number, account name, and net pay amount; the file format shall be configurable per tenant to match their banking institution's bulk payment format.</w:t>
      </w:r>
    </w:p>
    <w:p>
      <w:pPr>
        <w:pStyle w:val="BodyText"/>
      </w:pPr>
      <w:r>
        <w:rPr>
          <w:b/>
          <w:bCs/>
        </w:rPr>
        <w:t xml:space="preserve">FR-HR-048</w:t>
      </w:r>
      <w:r>
        <w:t xml:space="preserve"> </w:t>
      </w:r>
      <w:r>
        <w:t xml:space="preserve">— The system shall support bulk MTN MoMo and Airtel Money salary disbursement; when mobile money disbursement is selected, the system shall invoke the applicable mobile money bulk payment API with each employee's registered phone number and net pay amount, and shall record the API transaction reference against each payroll record.</w:t>
      </w:r>
    </w:p>
    <w:p>
      <w:pPr>
        <w:pStyle w:val="BodyText"/>
      </w:pPr>
      <w:r>
        <w:rPr>
          <w:b/>
          <w:bCs/>
        </w:rPr>
        <w:t xml:space="preserve">FR-HR-049</w:t>
      </w:r>
      <w:r>
        <w:t xml:space="preserve"> </w:t>
      </w:r>
      <w:r>
        <w:t xml:space="preserve">— When a mobile money disbursement transaction fails for any employee, the system shall flag that employee's payment status as "Failed", log the API error message, and present a retry screen to the payroll administrator without requiring a full payroll re-run.</w:t>
      </w:r>
    </w:p>
    <w:bookmarkEnd w:id="52"/>
    <w:bookmarkEnd w:id="53"/>
    <w:bookmarkStart w:id="57" w:name="loans-and-advances"/>
    <w:p>
      <w:pPr>
        <w:pStyle w:val="Heading1"/>
      </w:pPr>
      <w:r>
        <w:t xml:space="preserve">Loans and Advances</w:t>
      </w:r>
    </w:p>
    <w:bookmarkStart w:id="54" w:name="X90b6ea97e9da0f8a7d39bd175a3e1effc539135"/>
    <w:p>
      <w:pPr>
        <w:pStyle w:val="Heading2"/>
      </w:pPr>
      <w:r>
        <w:t xml:space="preserve">8.1 Loan Setup</w:t>
      </w:r>
    </w:p>
    <w:p>
      <w:pPr>
        <w:pStyle w:val="FirstParagraph"/>
      </w:pPr>
      <w:r>
        <w:rPr>
          <w:b/>
          <w:bCs/>
        </w:rPr>
        <w:t xml:space="preserve">FR-HR-050</w:t>
      </w:r>
      <w:r>
        <w:t xml:space="preserve"> </w:t>
      </w:r>
      <w:r>
        <w:t xml:space="preserve">— When an HR administrator creates an employee loan record, the system shall capture: loan type (salary advance or structured loan), principal amount, currency, interest rate (default 0% for advances), repayment start period, and total number of instalments.</w:t>
      </w:r>
    </w:p>
    <w:p>
      <w:pPr>
        <w:pStyle w:val="BodyText"/>
      </w:pPr>
      <w:r>
        <w:rPr>
          <w:b/>
          <w:bCs/>
        </w:rPr>
        <w:t xml:space="preserve">FR-HR-051</w:t>
      </w:r>
      <w:r>
        <w:t xml:space="preserve"> </w:t>
      </w:r>
      <w:r>
        <w:t xml:space="preserve">— The system shall calculate the monthly instalment amount as:</w:t>
      </w:r>
      <w:r>
        <w:t xml:space="preserve"> </w:t>
      </w:r>
      <m:oMath>
        <m:r>
          <m:t>I</m:t>
        </m:r>
        <m:r>
          <m:t>n</m:t>
        </m:r>
        <m:r>
          <m:t>s</m:t>
        </m:r>
        <m:r>
          <m:t>t</m:t>
        </m:r>
        <m:r>
          <m:t>a</m:t>
        </m:r>
        <m:r>
          <m:t>l</m:t>
        </m:r>
        <m:r>
          <m:t>m</m:t>
        </m:r>
        <m:r>
          <m:t>e</m:t>
        </m:r>
        <m:r>
          <m:t>n</m:t>
        </m:r>
        <m:r>
          <m:t>t</m:t>
        </m:r>
        <m:r>
          <m:rPr>
            <m:sty m:val="p"/>
          </m:rPr>
          <m:t>=</m:t>
        </m:r>
        <m:f>
          <m:fPr>
            <m:type m:val="bar"/>
          </m:fPr>
          <m:num>
            <m:r>
              <m:t>P</m:t>
            </m:r>
            <m:r>
              <m:t>r</m:t>
            </m:r>
            <m:r>
              <m:t>i</m:t>
            </m:r>
            <m:r>
              <m:t>n</m:t>
            </m:r>
            <m:r>
              <m:t>c</m:t>
            </m:r>
            <m:r>
              <m:t>i</m:t>
            </m:r>
            <m:r>
              <m:t>p</m:t>
            </m:r>
            <m:r>
              <m:t>a</m:t>
            </m:r>
            <m:r>
              <m:t>l</m:t>
            </m:r>
            <m:r>
              <m:rPr>
                <m:sty m:val="p"/>
              </m:rPr>
              <m:t>+</m:t>
            </m:r>
            <m:r>
              <m:rPr>
                <m:sty m:val="p"/>
              </m:rPr>
              <m:t>(</m:t>
            </m:r>
            <m:r>
              <m:t>P</m:t>
            </m:r>
            <m:r>
              <m:t>r</m:t>
            </m:r>
            <m:r>
              <m:t>i</m:t>
            </m:r>
            <m:r>
              <m:t>n</m:t>
            </m:r>
            <m:r>
              <m:t>c</m:t>
            </m:r>
            <m:r>
              <m:t>i</m:t>
            </m:r>
            <m:r>
              <m:t>p</m:t>
            </m:r>
            <m:r>
              <m:t>a</m:t>
            </m:r>
            <m:r>
              <m:t>l</m:t>
            </m:r>
            <m:r>
              <m:rPr>
                <m:sty m:val="p"/>
              </m:rPr>
              <m:t>×</m:t>
            </m:r>
            <m:r>
              <m:t>R</m:t>
            </m:r>
            <m:r>
              <m:t>a</m:t>
            </m:r>
            <m:r>
              <m:t>t</m:t>
            </m:r>
            <m:r>
              <m:t>e</m:t>
            </m:r>
            <m:r>
              <m:rPr>
                <m:sty m:val="p"/>
              </m:rPr>
              <m:t>×</m:t>
            </m:r>
            <m:r>
              <m:t>P</m:t>
            </m:r>
            <m:r>
              <m:t>e</m:t>
            </m:r>
            <m:r>
              <m:t>r</m:t>
            </m:r>
            <m:r>
              <m:t>i</m:t>
            </m:r>
            <m:r>
              <m:t>o</m:t>
            </m:r>
            <m:r>
              <m:t>d</m:t>
            </m:r>
            <m:r>
              <m:t>s</m:t>
            </m:r>
            <m:r>
              <m:rPr>
                <m:sty m:val="p"/>
              </m:rPr>
              <m:t>)</m:t>
            </m:r>
          </m:num>
          <m:den>
            <m:r>
              <m:t>P</m:t>
            </m:r>
            <m:r>
              <m:t>e</m:t>
            </m:r>
            <m:r>
              <m:t>r</m:t>
            </m:r>
            <m:r>
              <m:t>i</m:t>
            </m:r>
            <m:r>
              <m:t>o</m:t>
            </m:r>
            <m:r>
              <m:t>d</m:t>
            </m:r>
            <m:r>
              <m:t>s</m:t>
            </m:r>
          </m:den>
        </m:f>
      </m:oMath>
      <w:r>
        <w:t xml:space="preserve"> </w:t>
      </w:r>
      <w:r>
        <w:t xml:space="preserve">where</w:t>
      </w:r>
      <w:r>
        <w:t xml:space="preserve"> </w:t>
      </w:r>
      <m:oMath>
        <m:r>
          <m:t>R</m:t>
        </m:r>
        <m:r>
          <m:t>a</m:t>
        </m:r>
        <m:r>
          <m:t>t</m:t>
        </m:r>
        <m:r>
          <m:t>e</m:t>
        </m:r>
      </m:oMath>
      <w:r>
        <w:t xml:space="preserve"> </w:t>
      </w:r>
      <w:r>
        <w:t xml:space="preserve">is the monthly interest rate and</w:t>
      </w:r>
      <w:r>
        <w:t xml:space="preserve"> </w:t>
      </w:r>
      <m:oMath>
        <m:r>
          <m:t>P</m:t>
        </m:r>
        <m:r>
          <m:t>e</m:t>
        </m:r>
        <m:r>
          <m:t>r</m:t>
        </m:r>
        <m:r>
          <m:t>i</m:t>
        </m:r>
        <m:r>
          <m:t>o</m:t>
        </m:r>
        <m:r>
          <m:t>d</m:t>
        </m:r>
        <m:r>
          <m:t>s</m:t>
        </m:r>
      </m:oMath>
      <w:r>
        <w:t xml:space="preserve"> </w:t>
      </w:r>
      <w:r>
        <w:t xml:space="preserve">is the total number of repayment months; the instalment shall be displayed before final loan approval.</w:t>
      </w:r>
    </w:p>
    <w:p>
      <w:pPr>
        <w:pStyle w:val="BodyText"/>
      </w:pPr>
      <w:r>
        <w:rPr>
          <w:b/>
          <w:bCs/>
        </w:rPr>
        <w:t xml:space="preserve">FR-HR-052</w:t>
      </w:r>
      <w:r>
        <w:t xml:space="preserve"> </w:t>
      </w:r>
      <w:r>
        <w:t xml:space="preserve">— Loan creation shall require approval from an HR manager or Finance manager (configurable); unapproved loan records shall not affect payroll computation.</w:t>
      </w:r>
    </w:p>
    <w:bookmarkEnd w:id="54"/>
    <w:bookmarkStart w:id="55" w:name="X92c462c4ded8b691a2da6ffbd063dda5df9ddfa"/>
    <w:p>
      <w:pPr>
        <w:pStyle w:val="Heading2"/>
      </w:pPr>
      <w:r>
        <w:t xml:space="preserve">8.2 Payroll Deduction</w:t>
      </w:r>
    </w:p>
    <w:p>
      <w:pPr>
        <w:pStyle w:val="FirstParagraph"/>
      </w:pPr>
      <w:r>
        <w:rPr>
          <w:b/>
          <w:bCs/>
        </w:rPr>
        <w:t xml:space="preserve">FR-HR-053</w:t>
      </w:r>
      <w:r>
        <w:t xml:space="preserve"> </w:t>
      </w:r>
      <w:r>
        <w:t xml:space="preserve">— When an approved loan is active, the system shall automatically include the instalment amount as a payroll deduction in each pay period from the repayment start date until the loan balance reaches zero.</w:t>
      </w:r>
    </w:p>
    <w:p>
      <w:pPr>
        <w:pStyle w:val="BodyText"/>
      </w:pPr>
      <w:r>
        <w:rPr>
          <w:b/>
          <w:bCs/>
        </w:rPr>
        <w:t xml:space="preserve">FR-HR-054</w:t>
      </w:r>
      <w:r>
        <w:t xml:space="preserve"> </w:t>
      </w:r>
      <w:r>
        <w:t xml:space="preserve">— When an employee's net pay after all deductions is less than the loan instalment, the system shall deduct only the available net amount (flooring at zero) and carry the shortfall forward to the next payroll period, updating the outstanding loan balance accordingly.</w:t>
      </w:r>
    </w:p>
    <w:p>
      <w:pPr>
        <w:pStyle w:val="BodyText"/>
      </w:pPr>
      <w:r>
        <w:rPr>
          <w:b/>
          <w:bCs/>
        </w:rPr>
        <w:t xml:space="preserve">FR-HR-055</w:t>
      </w:r>
      <w:r>
        <w:t xml:space="preserve"> </w:t>
      </w:r>
      <w:r>
        <w:t xml:space="preserve">— The system shall provide a loan ledger per employee displaying: disbursement date, each instalment deducted (amount and pay period), outstanding principal balance, and projected payoff date.</w:t>
      </w:r>
    </w:p>
    <w:bookmarkEnd w:id="55"/>
    <w:bookmarkStart w:id="56" w:name="X802b8874a142f088b88d972ddfd5137fa0d1b44"/>
    <w:p>
      <w:pPr>
        <w:pStyle w:val="Heading2"/>
      </w:pPr>
      <w:r>
        <w:t xml:space="preserve">8.3 Loan Closure</w:t>
      </w:r>
    </w:p>
    <w:p>
      <w:pPr>
        <w:pStyle w:val="FirstParagraph"/>
      </w:pPr>
      <w:r>
        <w:rPr>
          <w:b/>
          <w:bCs/>
        </w:rPr>
        <w:t xml:space="preserve">FR-HR-056</w:t>
      </w:r>
      <w:r>
        <w:t xml:space="preserve"> </w:t>
      </w:r>
      <w:r>
        <w:t xml:space="preserve">— When the outstanding loan balance reaches zero, the system shall automatically mark the loan as "Closed", remove the instalment from future payroll runs, and record the closure date in the loan ledger.</w:t>
      </w:r>
    </w:p>
    <w:bookmarkEnd w:id="56"/>
    <w:bookmarkEnd w:id="57"/>
    <w:bookmarkStart w:id="61" w:name="exit-management"/>
    <w:p>
      <w:pPr>
        <w:pStyle w:val="Heading1"/>
      </w:pPr>
      <w:r>
        <w:t xml:space="preserve">Exit Management</w:t>
      </w:r>
    </w:p>
    <w:bookmarkStart w:id="58" w:name="Xab3c75d7af44bf02caaa791fe15015b9fbea7b3"/>
    <w:p>
      <w:pPr>
        <w:pStyle w:val="Heading2"/>
      </w:pPr>
      <w:r>
        <w:t xml:space="preserve">9.1 Separation Workflow</w:t>
      </w:r>
    </w:p>
    <w:p>
      <w:pPr>
        <w:pStyle w:val="FirstParagraph"/>
      </w:pPr>
      <w:r>
        <w:rPr>
          <w:b/>
          <w:bCs/>
        </w:rPr>
        <w:t xml:space="preserve">FR-HR-057</w:t>
      </w:r>
      <w:r>
        <w:t xml:space="preserve"> </w:t>
      </w:r>
      <w:r>
        <w:t xml:space="preserve">— When a user initiates an employee exit, the system shall record: exit type (resignation, redundancy, dismissal, end of contract, retirement), last working date, notice period compliance status, and any exit interview notes.</w:t>
      </w:r>
    </w:p>
    <w:p>
      <w:pPr>
        <w:pStyle w:val="BodyText"/>
      </w:pPr>
      <w:r>
        <w:rPr>
          <w:b/>
          <w:bCs/>
        </w:rPr>
        <w:t xml:space="preserve">FR-HR-058</w:t>
      </w:r>
      <w:r>
        <w:t xml:space="preserve"> </w:t>
      </w:r>
      <w:r>
        <w:t xml:space="preserve">— When an exit is initiated, the system shall trigger a clearance checklist workflow requiring sign-off from: IT (equipment return), Finance (outstanding advances), Procurement (assets), and HR (final documents); the exit shall not be finalised until all clearance items are checked off.</w:t>
      </w:r>
    </w:p>
    <w:bookmarkEnd w:id="58"/>
    <w:bookmarkStart w:id="59" w:name="X6081a8c9ef2d83dbf9c3a1c9b749362c8bd4c3a"/>
    <w:p>
      <w:pPr>
        <w:pStyle w:val="Heading2"/>
      </w:pPr>
      <w:r>
        <w:t xml:space="preserve">9.2 Terminal Benefits Calculation</w:t>
      </w:r>
    </w:p>
    <w:p>
      <w:pPr>
        <w:pStyle w:val="FirstParagraph"/>
      </w:pPr>
      <w:r>
        <w:rPr>
          <w:b/>
          <w:bCs/>
        </w:rPr>
        <w:t xml:space="preserve">FR-HR-059</w:t>
      </w:r>
      <w:r>
        <w:t xml:space="preserve"> </w:t>
      </w:r>
      <w:r>
        <w:t xml:space="preserve">— When a user computes terminal benefits for a departing employee, the system shall calculate the following components:</w:t>
      </w:r>
    </w:p>
    <w:p>
      <w:pPr>
        <w:pStyle w:val="Compact"/>
        <w:numPr>
          <w:ilvl w:val="0"/>
          <w:numId w:val="1004"/>
        </w:numPr>
      </w:pPr>
      <w:r>
        <w:t xml:space="preserve">Gratuity (where applicable per contract):</w:t>
      </w:r>
      <w:r>
        <w:t xml:space="preserve"> </w:t>
      </w:r>
      <m:oMath>
        <m:r>
          <m:t>G</m:t>
        </m:r>
        <m:r>
          <m:t>r</m:t>
        </m:r>
        <m:r>
          <m:t>a</m:t>
        </m:r>
        <m:r>
          <m:t>t</m:t>
        </m:r>
        <m:r>
          <m:t>u</m:t>
        </m:r>
        <m:r>
          <m:t>i</m:t>
        </m:r>
        <m:r>
          <m:t>t</m:t>
        </m:r>
        <m:r>
          <m:t>y</m:t>
        </m:r>
        <m:r>
          <m:rPr>
            <m:sty m:val="p"/>
          </m:rPr>
          <m:t>=</m:t>
        </m:r>
        <m:r>
          <m:t>Y</m:t>
        </m:r>
        <m:r>
          <m:t>e</m:t>
        </m:r>
        <m:r>
          <m:t>a</m:t>
        </m:r>
        <m:r>
          <m:t>r</m:t>
        </m:r>
        <m:r>
          <m:t>s</m:t>
        </m:r>
        <m:r>
          <m:t>O</m:t>
        </m:r>
        <m:r>
          <m:t>f</m:t>
        </m:r>
        <m:r>
          <m:t>S</m:t>
        </m:r>
        <m:r>
          <m:t>e</m:t>
        </m:r>
        <m:r>
          <m:t>r</m:t>
        </m:r>
        <m:r>
          <m:t>v</m:t>
        </m:r>
        <m:r>
          <m:t>i</m:t>
        </m:r>
        <m:r>
          <m:t>c</m:t>
        </m:r>
        <m:r>
          <m:t>e</m:t>
        </m:r>
        <m:r>
          <m:rPr>
            <m:sty m:val="p"/>
          </m:rPr>
          <m:t>×</m:t>
        </m:r>
        <m:r>
          <m:t>M</m:t>
        </m:r>
        <m:r>
          <m:t>o</m:t>
        </m:r>
        <m:r>
          <m:t>n</m:t>
        </m:r>
        <m:r>
          <m:t>t</m:t>
        </m:r>
        <m:r>
          <m:t>h</m:t>
        </m:r>
        <m:r>
          <m:t>l</m:t>
        </m:r>
        <m:r>
          <m:t>y</m:t>
        </m:r>
        <m:r>
          <m:t>B</m:t>
        </m:r>
        <m:r>
          <m:t>a</m:t>
        </m:r>
        <m:r>
          <m:t>s</m:t>
        </m:r>
        <m:r>
          <m:t>i</m:t>
        </m:r>
        <m:r>
          <m:t>c</m:t>
        </m:r>
        <m:r>
          <m:rPr>
            <m:sty m:val="p"/>
          </m:rPr>
          <m:t>×</m:t>
        </m:r>
        <m:r>
          <m:t>G</m:t>
        </m:r>
        <m:r>
          <m:t>r</m:t>
        </m:r>
        <m:r>
          <m:t>a</m:t>
        </m:r>
        <m:r>
          <m:t>t</m:t>
        </m:r>
        <m:r>
          <m:t>u</m:t>
        </m:r>
        <m:r>
          <m:t>i</m:t>
        </m:r>
        <m:r>
          <m:t>t</m:t>
        </m:r>
        <m:r>
          <m:t>y</m:t>
        </m:r>
        <m:r>
          <m:t>R</m:t>
        </m:r>
        <m:r>
          <m:t>a</m:t>
        </m:r>
        <m:r>
          <m:t>t</m:t>
        </m:r>
        <m:r>
          <m:t>e</m:t>
        </m:r>
      </m:oMath>
    </w:p>
    <w:p>
      <w:pPr>
        <w:pStyle w:val="Compact"/>
        <w:numPr>
          <w:ilvl w:val="0"/>
          <w:numId w:val="1004"/>
        </w:numPr>
      </w:pPr>
      <w:r>
        <w:t xml:space="preserve">Accrued leave pay:</w:t>
      </w:r>
      <w:r>
        <w:t xml:space="preserve"> </w:t>
      </w:r>
      <m:oMath>
        <m:r>
          <m:t>L</m:t>
        </m:r>
        <m:r>
          <m:t>e</m:t>
        </m:r>
        <m:r>
          <m:t>a</m:t>
        </m:r>
        <m:r>
          <m:t>v</m:t>
        </m:r>
        <m:r>
          <m:t>e</m:t>
        </m:r>
        <m:r>
          <m:t>P</m:t>
        </m:r>
        <m:r>
          <m:t>a</m:t>
        </m:r>
        <m:r>
          <m:t>y</m:t>
        </m:r>
        <m:r>
          <m:rPr>
            <m:sty m:val="p"/>
          </m:rPr>
          <m:t>=</m:t>
        </m:r>
        <m:r>
          <m:rPr>
            <m:sty m:val="p"/>
          </m:rPr>
          <m:t>(</m:t>
        </m:r>
        <m:r>
          <m:t>U</m:t>
        </m:r>
        <m:r>
          <m:t>n</m:t>
        </m:r>
        <m:r>
          <m:t>u</m:t>
        </m:r>
        <m:r>
          <m:t>s</m:t>
        </m:r>
        <m:r>
          <m:t>e</m:t>
        </m:r>
        <m:r>
          <m:t>d</m:t>
        </m:r>
        <m:r>
          <m:t>L</m:t>
        </m:r>
        <m:r>
          <m:t>e</m:t>
        </m:r>
        <m:r>
          <m:t>a</m:t>
        </m:r>
        <m:r>
          <m:t>v</m:t>
        </m:r>
        <m:r>
          <m:t>e</m:t>
        </m:r>
        <m:r>
          <m:t>D</m:t>
        </m:r>
        <m:r>
          <m:t>a</m:t>
        </m:r>
        <m:r>
          <m:t>y</m:t>
        </m:r>
        <m:r>
          <m:t>s</m:t>
        </m:r>
        <m:r>
          <m:rPr>
            <m:sty m:val="p"/>
          </m:rPr>
          <m:t>÷</m:t>
        </m:r>
        <m:r>
          <m:t>22</m:t>
        </m:r>
        <m:r>
          <m:rPr>
            <m:sty m:val="p"/>
          </m:rPr>
          <m:t>)</m:t>
        </m:r>
        <m:r>
          <m:rPr>
            <m:sty m:val="p"/>
          </m:rPr>
          <m:t>×</m:t>
        </m:r>
        <m:r>
          <m:t>M</m:t>
        </m:r>
        <m:r>
          <m:t>o</m:t>
        </m:r>
        <m:r>
          <m:t>n</m:t>
        </m:r>
        <m:r>
          <m:t>t</m:t>
        </m:r>
        <m:r>
          <m:t>h</m:t>
        </m:r>
        <m:r>
          <m:t>l</m:t>
        </m:r>
        <m:r>
          <m:t>y</m:t>
        </m:r>
        <m:r>
          <m:t>B</m:t>
        </m:r>
        <m:r>
          <m:t>a</m:t>
        </m:r>
        <m:r>
          <m:t>s</m:t>
        </m:r>
        <m:r>
          <m:t>i</m:t>
        </m:r>
        <m:r>
          <m:t>c</m:t>
        </m:r>
      </m:oMath>
    </w:p>
    <w:p>
      <w:pPr>
        <w:pStyle w:val="Compact"/>
        <w:numPr>
          <w:ilvl w:val="0"/>
          <w:numId w:val="1004"/>
        </w:numPr>
      </w:pPr>
      <w:r>
        <w:t xml:space="preserve">Notice pay (if notice not worked):</w:t>
      </w:r>
      <w:r>
        <w:t xml:space="preserve"> </w:t>
      </w:r>
      <m:oMath>
        <m:r>
          <m:t>N</m:t>
        </m:r>
        <m:r>
          <m:t>o</m:t>
        </m:r>
        <m:r>
          <m:t>t</m:t>
        </m:r>
        <m:r>
          <m:t>i</m:t>
        </m:r>
        <m:r>
          <m:t>c</m:t>
        </m:r>
        <m:r>
          <m:t>e</m:t>
        </m:r>
        <m:r>
          <m:t>P</m:t>
        </m:r>
        <m:r>
          <m:t>a</m:t>
        </m:r>
        <m:r>
          <m:t>y</m:t>
        </m:r>
        <m:r>
          <m:rPr>
            <m:sty m:val="p"/>
          </m:rPr>
          <m:t>=</m:t>
        </m:r>
        <m:r>
          <m:t>N</m:t>
        </m:r>
        <m:r>
          <m:t>o</m:t>
        </m:r>
        <m:r>
          <m:t>t</m:t>
        </m:r>
        <m:r>
          <m:t>i</m:t>
        </m:r>
        <m:r>
          <m:t>c</m:t>
        </m:r>
        <m:r>
          <m:t>e</m:t>
        </m:r>
        <m:r>
          <m:t>P</m:t>
        </m:r>
        <m:r>
          <m:t>e</m:t>
        </m:r>
        <m:r>
          <m:t>r</m:t>
        </m:r>
        <m:r>
          <m:t>i</m:t>
        </m:r>
        <m:r>
          <m:t>o</m:t>
        </m:r>
        <m:r>
          <m:t>d</m:t>
        </m:r>
        <m:r>
          <m:t>D</m:t>
        </m:r>
        <m:r>
          <m:t>a</m:t>
        </m:r>
        <m:r>
          <m:t>y</m:t>
        </m:r>
        <m:r>
          <m:t>s</m:t>
        </m:r>
        <m:r>
          <m:rPr>
            <m:sty m:val="p"/>
          </m:rPr>
          <m:t>×</m:t>
        </m:r>
        <m:r>
          <m:t>D</m:t>
        </m:r>
        <m:r>
          <m:t>a</m:t>
        </m:r>
        <m:r>
          <m:t>i</m:t>
        </m:r>
        <m:r>
          <m:t>l</m:t>
        </m:r>
        <m:r>
          <m:t>y</m:t>
        </m:r>
        <m:r>
          <m:t>R</m:t>
        </m:r>
        <m:r>
          <m:t>a</m:t>
        </m:r>
        <m:r>
          <m:t>t</m:t>
        </m:r>
        <m:r>
          <m:t>e</m:t>
        </m:r>
      </m:oMath>
    </w:p>
    <w:p>
      <w:pPr>
        <w:pStyle w:val="Compact"/>
        <w:numPr>
          <w:ilvl w:val="0"/>
          <w:numId w:val="1004"/>
        </w:numPr>
      </w:pPr>
      <w:r>
        <w:t xml:space="preserve">Outstanding salary for the final partial month:</w:t>
      </w:r>
      <w:r>
        <w:t xml:space="preserve"> </w:t>
      </w:r>
      <m:oMath>
        <m:r>
          <m:t>F</m:t>
        </m:r>
        <m:r>
          <m:t>i</m:t>
        </m:r>
        <m:r>
          <m:t>n</m:t>
        </m:r>
        <m:r>
          <m:t>a</m:t>
        </m:r>
        <m:r>
          <m:t>l</m:t>
        </m:r>
        <m:r>
          <m:t>S</m:t>
        </m:r>
        <m:r>
          <m:t>a</m:t>
        </m:r>
        <m:r>
          <m:t>l</m:t>
        </m:r>
        <m:r>
          <m:t>a</m:t>
        </m:r>
        <m:r>
          <m:t>r</m:t>
        </m:r>
        <m:r>
          <m:t>y</m:t>
        </m:r>
        <m:r>
          <m:rPr>
            <m:sty m:val="p"/>
          </m:rPr>
          <m:t>=</m:t>
        </m:r>
        <m:r>
          <m:rPr>
            <m:sty m:val="p"/>
          </m:rPr>
          <m:t>(</m:t>
        </m:r>
        <m:r>
          <m:t>D</m:t>
        </m:r>
        <m:r>
          <m:t>a</m:t>
        </m:r>
        <m:r>
          <m:t>y</m:t>
        </m:r>
        <m:r>
          <m:t>s</m:t>
        </m:r>
        <m:r>
          <m:t>W</m:t>
        </m:r>
        <m:r>
          <m:t>o</m:t>
        </m:r>
        <m:r>
          <m:t>r</m:t>
        </m:r>
        <m:r>
          <m:t>k</m:t>
        </m:r>
        <m:r>
          <m:t>e</m:t>
        </m:r>
        <m:r>
          <m:t>d</m:t>
        </m:r>
        <m:r>
          <m:rPr>
            <m:sty m:val="p"/>
          </m:rPr>
          <m:t>÷</m:t>
        </m:r>
        <m:r>
          <m:t>W</m:t>
        </m:r>
        <m:r>
          <m:t>o</m:t>
        </m:r>
        <m:r>
          <m:t>r</m:t>
        </m:r>
        <m:r>
          <m:t>k</m:t>
        </m:r>
        <m:r>
          <m:t>i</m:t>
        </m:r>
        <m:r>
          <m:t>n</m:t>
        </m:r>
        <m:r>
          <m:t>g</m:t>
        </m:r>
        <m:r>
          <m:t>D</m:t>
        </m:r>
        <m:r>
          <m:t>a</m:t>
        </m:r>
        <m:r>
          <m:t>y</m:t>
        </m:r>
        <m:r>
          <m:t>s</m:t>
        </m:r>
        <m:r>
          <m:t>I</m:t>
        </m:r>
        <m:r>
          <m:t>n</m:t>
        </m:r>
        <m:r>
          <m:t>M</m:t>
        </m:r>
        <m:r>
          <m:t>o</m:t>
        </m:r>
        <m:r>
          <m:t>n</m:t>
        </m:r>
        <m:r>
          <m:t>t</m:t>
        </m:r>
        <m:r>
          <m:t>h</m:t>
        </m:r>
        <m:r>
          <m:rPr>
            <m:sty m:val="p"/>
          </m:rPr>
          <m:t>)</m:t>
        </m:r>
        <m:r>
          <m:rPr>
            <m:sty m:val="p"/>
          </m:rPr>
          <m:t>×</m:t>
        </m:r>
        <m:r>
          <m:t>M</m:t>
        </m:r>
        <m:r>
          <m:t>o</m:t>
        </m:r>
        <m:r>
          <m:t>n</m:t>
        </m:r>
        <m:r>
          <m:t>t</m:t>
        </m:r>
        <m:r>
          <m:t>h</m:t>
        </m:r>
        <m:r>
          <m:t>l</m:t>
        </m:r>
        <m:r>
          <m:t>y</m:t>
        </m:r>
        <m:r>
          <m:t>B</m:t>
        </m:r>
        <m:r>
          <m:t>a</m:t>
        </m:r>
        <m:r>
          <m:t>s</m:t>
        </m:r>
        <m:r>
          <m:t>i</m:t>
        </m:r>
        <m:r>
          <m:t>c</m:t>
        </m:r>
      </m:oMath>
    </w:p>
    <w:p>
      <w:pPr>
        <w:pStyle w:val="FirstParagraph"/>
      </w:pPr>
      <w:r>
        <w:rPr>
          <w:b/>
          <w:bCs/>
        </w:rPr>
        <w:t xml:space="preserve">FR-HR-060</w:t>
      </w:r>
      <w:r>
        <w:t xml:space="preserve"> </w:t>
      </w:r>
      <w:r>
        <w:t xml:space="preserve">— The terminal benefits computation shall display each component, the applicable formula, the computed value, and the total gross terminal benefit; PAYE shall be applied to taxable components before the final net amount is posted to payroll.</w:t>
      </w:r>
    </w:p>
    <w:bookmarkEnd w:id="59"/>
    <w:bookmarkStart w:id="60" w:name="Xa5cea12660412d0f4377de63bbd5660868eb008"/>
    <w:p>
      <w:pPr>
        <w:pStyle w:val="Heading2"/>
      </w:pPr>
      <w:r>
        <w:t xml:space="preserve">9.3 Record Archiving</w:t>
      </w:r>
    </w:p>
    <w:p>
      <w:pPr>
        <w:pStyle w:val="FirstParagraph"/>
      </w:pPr>
      <w:r>
        <w:rPr>
          <w:b/>
          <w:bCs/>
        </w:rPr>
        <w:t xml:space="preserve">FR-HR-061</w:t>
      </w:r>
      <w:r>
        <w:t xml:space="preserve"> </w:t>
      </w:r>
      <w:r>
        <w:t xml:space="preserve">— When an employee exit is finalised, the system shall transition the employee record to "Inactive" status, preserve all payroll history, payslips, leave records, and attendance data in read-only mode, and retain the records for a minimum of 10 years.</w:t>
      </w:r>
    </w:p>
    <w:p>
      <w:pPr>
        <w:pStyle w:val="BodyText"/>
      </w:pPr>
      <w:r>
        <w:rPr>
          <w:b/>
          <w:bCs/>
        </w:rPr>
        <w:t xml:space="preserve">FR-HR-062</w:t>
      </w:r>
      <w:r>
        <w:t xml:space="preserve"> </w:t>
      </w:r>
      <w:r>
        <w:t xml:space="preserve">— The system shall prevent reassignment of an inactive employee's ID to a new employee for a minimum of 3 years after exit.</w:t>
      </w:r>
    </w:p>
    <w:bookmarkEnd w:id="60"/>
    <w:bookmarkEnd w:id="61"/>
    <w:bookmarkStart w:id="66" w:name="employee-self-service-portal"/>
    <w:p>
      <w:pPr>
        <w:pStyle w:val="Heading1"/>
      </w:pPr>
      <w:r>
        <w:t xml:space="preserve">Employee Self-Service Portal</w:t>
      </w:r>
    </w:p>
    <w:bookmarkStart w:id="62" w:name="X7c2bf7ae8de6e1746f8f18cc86e9fd06acda3af"/>
    <w:p>
      <w:pPr>
        <w:pStyle w:val="Heading2"/>
      </w:pPr>
      <w:r>
        <w:t xml:space="preserve">10.1 Payslip Access</w:t>
      </w:r>
    </w:p>
    <w:p>
      <w:pPr>
        <w:pStyle w:val="FirstParagraph"/>
      </w:pPr>
      <w:r>
        <w:rPr>
          <w:b/>
          <w:bCs/>
        </w:rPr>
        <w:t xml:space="preserve">FR-HR-063</w:t>
      </w:r>
      <w:r>
        <w:t xml:space="preserve"> </w:t>
      </w:r>
      <w:r>
        <w:t xml:space="preserve">— When an employee logs into the Employee Self-Service (ESS) portal, the system shall display their last 3 payslips with a download link for the PDF; the system shall require the employee's own authentication token and shall not permit viewing another employee's payslips.</w:t>
      </w:r>
    </w:p>
    <w:p>
      <w:pPr>
        <w:pStyle w:val="BodyText"/>
      </w:pPr>
      <w:r>
        <w:rPr>
          <w:b/>
          <w:bCs/>
        </w:rPr>
        <w:t xml:space="preserve">FR-HR-064</w:t>
      </w:r>
      <w:r>
        <w:t xml:space="preserve"> </w:t>
      </w:r>
      <w:r>
        <w:t xml:space="preserve">— The ESS portal shall display the employee's year-to-date (YTD) gross pay, total PAYE deducted, total NSSF contributions, and net pay for the current financial year.</w:t>
      </w:r>
    </w:p>
    <w:bookmarkEnd w:id="62"/>
    <w:bookmarkStart w:id="63" w:name="X82560d014cace00981af4659ae0578dd88188fe"/>
    <w:p>
      <w:pPr>
        <w:pStyle w:val="Heading2"/>
      </w:pPr>
      <w:r>
        <w:t xml:space="preserve">10.2 Leave Requests via ESS</w:t>
      </w:r>
    </w:p>
    <w:p>
      <w:pPr>
        <w:pStyle w:val="FirstParagraph"/>
      </w:pPr>
      <w:r>
        <w:rPr>
          <w:b/>
          <w:bCs/>
        </w:rPr>
        <w:t xml:space="preserve">FR-HR-065</w:t>
      </w:r>
      <w:r>
        <w:t xml:space="preserve"> </w:t>
      </w:r>
      <w:r>
        <w:t xml:space="preserve">— The ESS portal shall allow an employee to submit a leave request, view pending and approved leave requests, and check their current leave balance per leave type; the request shall enter the same approval workflow as requests submitted via the HR back-office.</w:t>
      </w:r>
    </w:p>
    <w:p>
      <w:pPr>
        <w:pStyle w:val="BodyText"/>
      </w:pPr>
      <w:r>
        <w:rPr>
          <w:b/>
          <w:bCs/>
        </w:rPr>
        <w:t xml:space="preserve">FR-HR-066</w:t>
      </w:r>
      <w:r>
        <w:t xml:space="preserve"> </w:t>
      </w:r>
      <w:r>
        <w:t xml:space="preserve">— The ESS portal shall display a 12-month leave calendar showing the employee's approved leave days, public holidays, and tentative (pending approval) requests.</w:t>
      </w:r>
    </w:p>
    <w:bookmarkEnd w:id="63"/>
    <w:bookmarkStart w:id="64" w:name="X4fcfb84458be5e397b57f60f52b86f9d90d414c"/>
    <w:p>
      <w:pPr>
        <w:pStyle w:val="Heading2"/>
      </w:pPr>
      <w:r>
        <w:t xml:space="preserve">10.3 Attendance View</w:t>
      </w:r>
    </w:p>
    <w:p>
      <w:pPr>
        <w:pStyle w:val="FirstParagraph"/>
      </w:pPr>
      <w:r>
        <w:rPr>
          <w:b/>
          <w:bCs/>
        </w:rPr>
        <w:t xml:space="preserve">FR-HR-067</w:t>
      </w:r>
      <w:r>
        <w:t xml:space="preserve"> </w:t>
      </w:r>
      <w:r>
        <w:t xml:space="preserve">— The ESS portal shall display the employee's attendance record for the current and previous month, showing daily status (Present, Absent, Leave, Holiday), clock-in time, clock-out time, and total hours worked per day.</w:t>
      </w:r>
    </w:p>
    <w:p>
      <w:pPr>
        <w:pStyle w:val="BodyText"/>
      </w:pPr>
      <w:r>
        <w:rPr>
          <w:b/>
          <w:bCs/>
        </w:rPr>
        <w:t xml:space="preserve">FR-HR-068</w:t>
      </w:r>
      <w:r>
        <w:t xml:space="preserve"> </w:t>
      </w:r>
      <w:r>
        <w:t xml:space="preserve">— The ESS mobile interface shall support clock-in and clock-out via the mobile application, with GPS capture as defined in FR-HR-021; the self-service attendance feature shall operate in offline mode and sync when connectivity is restored.</w:t>
      </w:r>
    </w:p>
    <w:bookmarkEnd w:id="64"/>
    <w:bookmarkStart w:id="65" w:name="X914767286554c98b3473ecc0ed5c49a2ff29b91"/>
    <w:p>
      <w:pPr>
        <w:pStyle w:val="Heading2"/>
      </w:pPr>
      <w:r>
        <w:t xml:space="preserve">10.4 Profile Update Requests</w:t>
      </w:r>
    </w:p>
    <w:p>
      <w:pPr>
        <w:pStyle w:val="FirstParagraph"/>
      </w:pPr>
      <w:r>
        <w:rPr>
          <w:b/>
          <w:bCs/>
        </w:rPr>
        <w:t xml:space="preserve">FR-HR-069</w:t>
      </w:r>
      <w:r>
        <w:t xml:space="preserve"> </w:t>
      </w:r>
      <w:r>
        <w:t xml:space="preserve">— The ESS portal shall allow an employee to submit an update request for personal contact details (phone number, email, residential address, next-of-kin); the request shall not apply automatically but shall be routed to an HR administrator for review and approval.</w:t>
      </w:r>
    </w:p>
    <w:bookmarkEnd w:id="65"/>
    <w:bookmarkEnd w:id="66"/>
    <w:bookmarkStart w:id="72" w:name="X868b1d12413783d9936531f22ee7a599cd4bbc1"/>
    <w:p>
      <w:pPr>
        <w:pStyle w:val="Heading1"/>
      </w:pPr>
      <w:r>
        <w:t xml:space="preserve">Non-Functional Requirements — HR and Payroll</w:t>
      </w:r>
    </w:p>
    <w:bookmarkStart w:id="67" w:name="X469ef022fd425c7de6bea09622f04847be93d45"/>
    <w:p>
      <w:pPr>
        <w:pStyle w:val="Heading2"/>
      </w:pPr>
      <w:r>
        <w:t xml:space="preserve">11.1 Performance</w:t>
      </w:r>
    </w:p>
    <w:p>
      <w:pPr>
        <w:pStyle w:val="FirstParagraph"/>
      </w:pPr>
      <w:r>
        <w:rPr>
          <w:b/>
          <w:bCs/>
        </w:rPr>
        <w:t xml:space="preserve">NFR-HR-001</w:t>
      </w:r>
      <w:r>
        <w:t xml:space="preserve"> </w:t>
      </w:r>
      <w:r>
        <w:t xml:space="preserve">— A payroll run for ≤ 500 active employees shall complete within 60 seconds from initiation to confirmation-ready state, measured under normal database load.</w:t>
      </w:r>
    </w:p>
    <w:p>
      <w:pPr>
        <w:pStyle w:val="BodyText"/>
      </w:pPr>
      <w:r>
        <w:rPr>
          <w:b/>
          <w:bCs/>
        </w:rPr>
        <w:t xml:space="preserve">NFR-HR-002</w:t>
      </w:r>
      <w:r>
        <w:t xml:space="preserve"> </w:t>
      </w:r>
      <w:r>
        <w:t xml:space="preserve">— The ESS portal payslip list view shall load within 1 second at P95 for a single authenticated employee session.</w:t>
      </w:r>
    </w:p>
    <w:p>
      <w:pPr>
        <w:pStyle w:val="BodyText"/>
      </w:pPr>
      <w:r>
        <w:rPr>
          <w:b/>
          <w:bCs/>
        </w:rPr>
        <w:t xml:space="preserve">NFR-HR-003</w:t>
      </w:r>
      <w:r>
        <w:t xml:space="preserve"> </w:t>
      </w:r>
      <w:r>
        <w:t xml:space="preserve">— The attendance monthly summary report for a department of ≤ 200 employees shall render within 3 seconds.</w:t>
      </w:r>
    </w:p>
    <w:bookmarkEnd w:id="67"/>
    <w:bookmarkStart w:id="68" w:name="X78e97e77eeac92da0d69367110a83ec373127f3"/>
    <w:p>
      <w:pPr>
        <w:pStyle w:val="Heading2"/>
      </w:pPr>
      <w:r>
        <w:t xml:space="preserve">11.2 Reliability</w:t>
      </w:r>
    </w:p>
    <w:p>
      <w:pPr>
        <w:pStyle w:val="FirstParagraph"/>
      </w:pPr>
      <w:r>
        <w:rPr>
          <w:b/>
          <w:bCs/>
        </w:rPr>
        <w:t xml:space="preserve">NFR-HR-004</w:t>
      </w:r>
      <w:r>
        <w:t xml:space="preserve"> </w:t>
      </w:r>
      <w:r>
        <w:t xml:space="preserve">— Payroll run computation shall execute within a single database transaction; if any employee's computation fails, the system shall roll back all computations for the entire run and present a descriptive error identifying the failing employee record.</w:t>
      </w:r>
    </w:p>
    <w:p>
      <w:pPr>
        <w:pStyle w:val="BodyText"/>
      </w:pPr>
      <w:r>
        <w:rPr>
          <w:b/>
          <w:bCs/>
        </w:rPr>
        <w:t xml:space="preserve">NFR-HR-005</w:t>
      </w:r>
      <w:r>
        <w:t xml:space="preserve"> </w:t>
      </w:r>
      <w:r>
        <w:t xml:space="preserve">— The HR and Payroll module shall maintain 99.5% uptime measured monthly, excluding scheduled maintenance windows announced ≥ 24 hours in advance.</w:t>
      </w:r>
    </w:p>
    <w:bookmarkEnd w:id="68"/>
    <w:bookmarkStart w:id="69" w:name="X6d7f7e5e2dc68169266f452fadf57fd71487dd5"/>
    <w:p>
      <w:pPr>
        <w:pStyle w:val="Heading2"/>
      </w:pPr>
      <w:r>
        <w:t xml:space="preserve">11.3 Security and Privacy</w:t>
      </w:r>
    </w:p>
    <w:p>
      <w:pPr>
        <w:pStyle w:val="FirstParagraph"/>
      </w:pPr>
      <w:r>
        <w:rPr>
          <w:b/>
          <w:bCs/>
        </w:rPr>
        <w:t xml:space="preserve">NFR-HR-006</w:t>
      </w:r>
      <w:r>
        <w:t xml:space="preserve"> </w:t>
      </w:r>
      <w:r>
        <w:t xml:space="preserve">— Employee salary, TIN, national ID, and bank account data shall be encrypted at rest using AES-256; these fields shall not be exposed in API responses to users lacking the corresponding RBAC permission.</w:t>
      </w:r>
    </w:p>
    <w:p>
      <w:pPr>
        <w:pStyle w:val="BodyText"/>
      </w:pPr>
      <w:r>
        <w:rPr>
          <w:b/>
          <w:bCs/>
        </w:rPr>
        <w:t xml:space="preserve">NFR-HR-007</w:t>
      </w:r>
      <w:r>
        <w:t xml:space="preserve"> </w:t>
      </w:r>
      <w:r>
        <w:t xml:space="preserve">— The ESS portal shall enforce session timeout of ≤ 30 minutes of inactivity; all ESS API endpoints shall require a valid JWT with the</w:t>
      </w:r>
      <w:r>
        <w:t xml:space="preserve"> </w:t>
      </w:r>
      <w:r>
        <w:rPr>
          <w:rStyle w:val="VerbatimChar"/>
        </w:rPr>
        <w:t xml:space="preserve">ess.employee</w:t>
      </w:r>
      <w:r>
        <w:t xml:space="preserve"> </w:t>
      </w:r>
      <w:r>
        <w:t xml:space="preserve">scope.</w:t>
      </w:r>
    </w:p>
    <w:p>
      <w:pPr>
        <w:pStyle w:val="BodyText"/>
      </w:pPr>
      <w:r>
        <w:rPr>
          <w:b/>
          <w:bCs/>
        </w:rPr>
        <w:t xml:space="preserve">NFR-HR-008</w:t>
      </w:r>
      <w:r>
        <w:t xml:space="preserve"> </w:t>
      </w:r>
      <w:r>
        <w:t xml:space="preserve">— In compliance with the Uganda Data Protection and Privacy Act 2019, employee personal data shall not be shared with third parties except for statutory reporting to URA, NSSF, and NITA; the system shall log every export of employee data including destination, exported fields, and acting user</w:t>
      </w:r>
      <w:r>
        <w:t xml:space="preserve"> </w:t>
      </w:r>
      <w:r>
        <w:rPr>
          <w:rStyle w:val="VerbatimChar"/>
        </w:rPr>
        <w:t xml:space="preserve">[CONTEXT-GAP: GAP-007 — data protection compliance specification]</w:t>
      </w:r>
      <w:r>
        <w:t xml:space="preserve">.</w:t>
      </w:r>
    </w:p>
    <w:bookmarkEnd w:id="69"/>
    <w:bookmarkStart w:id="70" w:name="Xdbe528b8f76af2d403815d34e5510ffbba08aa7"/>
    <w:p>
      <w:pPr>
        <w:pStyle w:val="Heading2"/>
      </w:pPr>
      <w:r>
        <w:t xml:space="preserve">11.4 Auditability</w:t>
      </w:r>
    </w:p>
    <w:p>
      <w:pPr>
        <w:pStyle w:val="FirstParagraph"/>
      </w:pPr>
      <w:r>
        <w:rPr>
          <w:b/>
          <w:bCs/>
        </w:rPr>
        <w:t xml:space="preserve">NFR-HR-009</w:t>
      </w:r>
      <w:r>
        <w:t xml:space="preserve"> </w:t>
      </w:r>
      <w:r>
        <w:t xml:space="preserve">— Every payroll run shall produce an immutable payroll journal in the GL, an immutable payslip PDF per employee, and an audit log entry recording: run ID, acting user, total employees processed, total gross pay, total PAYE, total net pay, and UTC timestamp.</w:t>
      </w:r>
    </w:p>
    <w:p>
      <w:pPr>
        <w:pStyle w:val="BodyText"/>
      </w:pPr>
      <w:r>
        <w:rPr>
          <w:b/>
          <w:bCs/>
        </w:rPr>
        <w:t xml:space="preserve">NFR-HR-010</w:t>
      </w:r>
      <w:r>
        <w:t xml:space="preserve"> </w:t>
      </w:r>
      <w:r>
        <w:t xml:space="preserve">— All employee data changes, leave approvals, and payroll approvals shall generate audit log records with old value, new value, acting user, and timestamp; these records shall be retained for 10 years.</w:t>
      </w:r>
    </w:p>
    <w:bookmarkEnd w:id="70"/>
    <w:bookmarkStart w:id="71" w:name="Xb2bff511b1e4e9e68619a9aed96f448c3d7f0d9"/>
    <w:p>
      <w:pPr>
        <w:pStyle w:val="Heading2"/>
      </w:pPr>
      <w:r>
        <w:t xml:space="preserve">11.5 Compliance</w:t>
      </w:r>
    </w:p>
    <w:p>
      <w:pPr>
        <w:pStyle w:val="FirstParagraph"/>
      </w:pPr>
      <w:r>
        <w:rPr>
          <w:b/>
          <w:bCs/>
        </w:rPr>
        <w:t xml:space="preserve">NFR-HR-011</w:t>
      </w:r>
      <w:r>
        <w:t xml:space="preserve"> </w:t>
      </w:r>
      <w:r>
        <w:t xml:space="preserve">— The system shall surface a compliance dashboard showing: PAYE e-return status (submitted/pending) per period, NSSF schedule status per period, and any outstanding statutory obligations; overdue items shall be flagged with a visual alert.</w:t>
      </w:r>
    </w:p>
    <w:bookmarkEnd w:id="71"/>
    <w:bookmarkEnd w:id="72"/>
    <w:bookmarkStart w:id="76" w:name="traceability-matrix--hr-and-payroll"/>
    <w:p>
      <w:pPr>
        <w:pStyle w:val="Heading1"/>
      </w:pPr>
      <w:r>
        <w:t xml:space="preserve">Traceability Matrix — HR and Payroll</w:t>
      </w:r>
    </w:p>
    <w:bookmarkStart w:id="73" w:name="X9c8da893ad89c76e8bdbf251209d0e80e42dbfb"/>
    <w:p>
      <w:pPr>
        <w:pStyle w:val="Heading2"/>
      </w:pPr>
      <w:r>
        <w:t xml:space="preserve">12.1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FR-HR-001–009</w:t>
            </w:r>
          </w:p>
        </w:tc>
        <w:tc>
          <w:tcPr/>
          <w:p>
            <w:pPr>
              <w:pStyle w:val="Compact"/>
            </w:pPr>
            <w:r>
              <w:t xml:space="preserve">Employee master, org structure, grade/scale</w:t>
            </w:r>
          </w:p>
        </w:tc>
        <w:tc>
          <w:tcPr/>
          <w:p>
            <w:pPr>
              <w:pStyle w:val="Compact"/>
            </w:pPr>
            <w:r>
              <w:t xml:space="preserve">BG-001, BG-004</w:t>
            </w:r>
          </w:p>
        </w:tc>
      </w:tr>
      <w:tr>
        <w:tc>
          <w:tcPr/>
          <w:p>
            <w:pPr>
              <w:pStyle w:val="Compact"/>
            </w:pPr>
            <w:r>
              <w:t xml:space="preserve">FR-HR-010–018</w:t>
            </w:r>
          </w:p>
        </w:tc>
        <w:tc>
          <w:tcPr/>
          <w:p>
            <w:pPr>
              <w:pStyle w:val="Compact"/>
            </w:pPr>
            <w:r>
              <w:t xml:space="preserve">Leave types, balances, requests, calendar</w:t>
            </w:r>
          </w:p>
        </w:tc>
        <w:tc>
          <w:tcPr/>
          <w:p>
            <w:pPr>
              <w:pStyle w:val="Compact"/>
            </w:pPr>
            <w:r>
              <w:t xml:space="preserve">BG-003</w:t>
            </w:r>
          </w:p>
        </w:tc>
      </w:tr>
      <w:tr>
        <w:tc>
          <w:tcPr/>
          <w:p>
            <w:pPr>
              <w:pStyle w:val="Compact"/>
            </w:pPr>
            <w:r>
              <w:t xml:space="preserve">FR-HR-019–025</w:t>
            </w:r>
          </w:p>
        </w:tc>
        <w:tc>
          <w:tcPr/>
          <w:p>
            <w:pPr>
              <w:pStyle w:val="Compact"/>
            </w:pPr>
            <w:r>
              <w:t xml:space="preserve">Attendance capture, shifts, overtime</w:t>
            </w:r>
          </w:p>
        </w:tc>
        <w:tc>
          <w:tcPr/>
          <w:p>
            <w:pPr>
              <w:pStyle w:val="Compact"/>
            </w:pPr>
            <w:r>
              <w:t xml:space="preserve">BG-001</w:t>
            </w:r>
          </w:p>
        </w:tc>
      </w:tr>
      <w:tr>
        <w:tc>
          <w:tcPr/>
          <w:p>
            <w:pPr>
              <w:pStyle w:val="Compact"/>
            </w:pPr>
            <w:r>
              <w:t xml:space="preserve">FR-HR-026–032</w:t>
            </w:r>
          </w:p>
        </w:tc>
        <w:tc>
          <w:tcPr/>
          <w:p>
            <w:pPr>
              <w:pStyle w:val="Compact"/>
            </w:pPr>
            <w:r>
              <w:t xml:space="preserve">Payroll elements, assignments, pay periods</w:t>
            </w:r>
          </w:p>
        </w:tc>
        <w:tc>
          <w:tcPr/>
          <w:p>
            <w:pPr>
              <w:pStyle w:val="Compact"/>
            </w:pPr>
            <w:r>
              <w:t xml:space="preserve">BG-001</w:t>
            </w:r>
          </w:p>
        </w:tc>
      </w:tr>
      <w:tr>
        <w:tc>
          <w:tcPr/>
          <w:p>
            <w:pPr>
              <w:pStyle w:val="Compact"/>
            </w:pPr>
            <w:r>
              <w:t xml:space="preserve">FR-HR-033–041</w:t>
            </w:r>
          </w:p>
        </w:tc>
        <w:tc>
          <w:tcPr/>
          <w:p>
            <w:pPr>
              <w:pStyle w:val="Compact"/>
            </w:pPr>
            <w:r>
              <w:t xml:space="preserve">Payroll run, PAYE, NSSF, GL posting</w:t>
            </w:r>
          </w:p>
        </w:tc>
        <w:tc>
          <w:tcPr/>
          <w:p>
            <w:pPr>
              <w:pStyle w:val="Compact"/>
            </w:pPr>
            <w:r>
              <w:t xml:space="preserve">BG-001, BG-002</w:t>
            </w:r>
          </w:p>
        </w:tc>
      </w:tr>
      <w:tr>
        <w:tc>
          <w:tcPr/>
          <w:p>
            <w:pPr>
              <w:pStyle w:val="Compact"/>
            </w:pPr>
            <w:r>
              <w:t xml:space="preserve">FR-HR-042–049</w:t>
            </w:r>
          </w:p>
        </w:tc>
        <w:tc>
          <w:tcPr/>
          <w:p>
            <w:pPr>
              <w:pStyle w:val="Compact"/>
            </w:pPr>
            <w:r>
              <w:t xml:space="preserve">Payslips, statutory schedules, disbursement</w:t>
            </w:r>
          </w:p>
        </w:tc>
        <w:tc>
          <w:tcPr/>
          <w:p>
            <w:pPr>
              <w:pStyle w:val="Compact"/>
            </w:pPr>
            <w:r>
              <w:t xml:space="preserve">BG-001, BG-002</w:t>
            </w:r>
          </w:p>
        </w:tc>
      </w:tr>
      <w:tr>
        <w:tc>
          <w:tcPr/>
          <w:p>
            <w:pPr>
              <w:pStyle w:val="Compact"/>
            </w:pPr>
            <w:r>
              <w:t xml:space="preserve">FR-HR-050–056</w:t>
            </w:r>
          </w:p>
        </w:tc>
        <w:tc>
          <w:tcPr/>
          <w:p>
            <w:pPr>
              <w:pStyle w:val="Compact"/>
            </w:pPr>
            <w:r>
              <w:t xml:space="preserve">Loans, advances, deductions</w:t>
            </w:r>
          </w:p>
        </w:tc>
        <w:tc>
          <w:tcPr/>
          <w:p>
            <w:pPr>
              <w:pStyle w:val="Compact"/>
            </w:pPr>
            <w:r>
              <w:t xml:space="preserve">BG-001</w:t>
            </w:r>
          </w:p>
        </w:tc>
      </w:tr>
      <w:tr>
        <w:tc>
          <w:tcPr/>
          <w:p>
            <w:pPr>
              <w:pStyle w:val="Compact"/>
            </w:pPr>
            <w:r>
              <w:t xml:space="preserve">FR-HR-057–062</w:t>
            </w:r>
          </w:p>
        </w:tc>
        <w:tc>
          <w:tcPr/>
          <w:p>
            <w:pPr>
              <w:pStyle w:val="Compact"/>
            </w:pPr>
            <w:r>
              <w:t xml:space="preserve">Exit management, terminal benefits</w:t>
            </w:r>
          </w:p>
        </w:tc>
        <w:tc>
          <w:tcPr/>
          <w:p>
            <w:pPr>
              <w:pStyle w:val="Compact"/>
            </w:pPr>
            <w:r>
              <w:t xml:space="preserve">BG-001, BG-004</w:t>
            </w:r>
          </w:p>
        </w:tc>
      </w:tr>
      <w:tr>
        <w:tc>
          <w:tcPr/>
          <w:p>
            <w:pPr>
              <w:pStyle w:val="Compact"/>
            </w:pPr>
            <w:r>
              <w:t xml:space="preserve">FR-HR-063–069</w:t>
            </w:r>
          </w:p>
        </w:tc>
        <w:tc>
          <w:tcPr/>
          <w:p>
            <w:pPr>
              <w:pStyle w:val="Compact"/>
            </w:pPr>
            <w:r>
              <w:t xml:space="preserve">Employee self-service portal</w:t>
            </w:r>
          </w:p>
        </w:tc>
        <w:tc>
          <w:tcPr/>
          <w:p>
            <w:pPr>
              <w:pStyle w:val="Compact"/>
            </w:pPr>
            <w:r>
              <w:t xml:space="preserve">BG-003</w:t>
            </w:r>
          </w:p>
        </w:tc>
      </w:tr>
    </w:tbl>
    <w:bookmarkEnd w:id="73"/>
    <w:bookmarkStart w:id="74" w:name="Xa04661cb8e3d26851afadcc3520d3044f5a9fab"/>
    <w:p>
      <w:pPr>
        <w:pStyle w:val="Heading2"/>
      </w:pPr>
      <w:r>
        <w:t xml:space="preserve">12.2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GAP-002</w:t>
            </w:r>
          </w:p>
        </w:tc>
        <w:tc>
          <w:tcPr/>
          <w:p>
            <w:pPr>
              <w:pStyle w:val="Compact"/>
            </w:pPr>
            <w:r>
              <w:t xml:space="preserve">URA PAYE e-return format and current tax band thresholds</w:t>
            </w:r>
          </w:p>
        </w:tc>
        <w:tc>
          <w:tcPr/>
          <w:p>
            <w:pPr>
              <w:pStyle w:val="Compact"/>
            </w:pPr>
            <w:r>
              <w:t xml:space="preserve">FR-HR-036, FR-HR-046</w:t>
            </w:r>
          </w:p>
        </w:tc>
      </w:tr>
      <w:tr>
        <w:tc>
          <w:tcPr/>
          <w:p>
            <w:pPr>
              <w:pStyle w:val="Compact"/>
            </w:pPr>
            <w:r>
              <w:t xml:space="preserve">GAP-003</w:t>
            </w:r>
          </w:p>
        </w:tc>
        <w:tc>
          <w:tcPr/>
          <w:p>
            <w:pPr>
              <w:pStyle w:val="Compact"/>
            </w:pPr>
            <w:r>
              <w:t xml:space="preserve">NSSF employer schedule upload format</w:t>
            </w:r>
          </w:p>
        </w:tc>
        <w:tc>
          <w:tcPr/>
          <w:p>
            <w:pPr>
              <w:pStyle w:val="Compact"/>
            </w:pPr>
            <w:r>
              <w:t xml:space="preserve">FR-HR-045</w:t>
            </w:r>
          </w:p>
        </w:tc>
      </w:tr>
      <w:tr>
        <w:tc>
          <w:tcPr/>
          <w:p>
            <w:pPr>
              <w:pStyle w:val="Compact"/>
            </w:pPr>
            <w:r>
              <w:t xml:space="preserve">GAP-007</w:t>
            </w:r>
          </w:p>
        </w:tc>
        <w:tc>
          <w:tcPr/>
          <w:p>
            <w:pPr>
              <w:pStyle w:val="Compact"/>
            </w:pPr>
            <w:r>
              <w:t xml:space="preserve">Uganda Data Protection Act compliance specification</w:t>
            </w:r>
          </w:p>
        </w:tc>
        <w:tc>
          <w:tcPr/>
          <w:p>
            <w:pPr>
              <w:pStyle w:val="Compact"/>
            </w:pPr>
            <w:r>
              <w:t xml:space="preserve">NFR-HR-008</w:t>
            </w:r>
          </w:p>
        </w:tc>
      </w:tr>
      <w:tr>
        <w:tc>
          <w:tcPr/>
          <w:p>
            <w:pPr>
              <w:pStyle w:val="Compact"/>
            </w:pPr>
            <w:r>
              <w:t xml:space="preserve">GAP-009</w:t>
            </w:r>
          </w:p>
        </w:tc>
        <w:tc>
          <w:tcPr/>
          <w:p>
            <w:pPr>
              <w:pStyle w:val="Compact"/>
            </w:pPr>
            <w:r>
              <w:t xml:space="preserve">Biometric device API specification</w:t>
            </w:r>
          </w:p>
        </w:tc>
        <w:tc>
          <w:tcPr/>
          <w:p>
            <w:pPr>
              <w:pStyle w:val="Compact"/>
            </w:pPr>
            <w:r>
              <w:t xml:space="preserve">FR-HR-020</w:t>
            </w:r>
          </w:p>
        </w:tc>
      </w:tr>
    </w:tbl>
    <w:bookmarkEnd w:id="74"/>
    <w:bookmarkStart w:id="75" w:name="X264314d1b3a29559c5c154710762c9d824e29e7"/>
    <w:p>
      <w:pPr>
        <w:pStyle w:val="Heading2"/>
      </w:pPr>
      <w:r>
        <w:t xml:space="preserve">12.3 Open Verification Notes</w:t>
      </w:r>
    </w:p>
    <w:p>
      <w:pPr>
        <w:pStyle w:val="Compact"/>
        <w:numPr>
          <w:ilvl w:val="0"/>
          <w:numId w:val="1005"/>
        </w:numPr>
      </w:pPr>
      <w:r>
        <w:t xml:space="preserve">FR-HR-036 (PAYE bands) and FR-HR-037 (Kenya, Tanzania, Rwanda equivalents) require confirmation of current statutory rates before coding the payroll engine.</w:t>
      </w:r>
    </w:p>
    <w:p>
      <w:pPr>
        <w:pStyle w:val="Compact"/>
        <w:numPr>
          <w:ilvl w:val="0"/>
          <w:numId w:val="1005"/>
        </w:numPr>
      </w:pPr>
      <w:r>
        <w:t xml:space="preserve">FR-HR-034 (net pay formula) must be regression-tested against at least 20 real employee profiles covering all edge cases: zero basic, loans exceeding net, multi-country bands.</w:t>
      </w:r>
    </w:p>
    <w:p>
      <w:pPr>
        <w:pStyle w:val="Compact"/>
        <w:numPr>
          <w:ilvl w:val="0"/>
          <w:numId w:val="1005"/>
        </w:numPr>
      </w:pPr>
      <w:r>
        <w:t xml:space="preserve">NFR-HR-001 (payroll run ≤ 60 s for 500 employees) must be verified during load testing using a seeded dataset of 500 employees with diverse element configurations.</w:t>
      </w:r>
    </w:p>
    <w:p>
      <w:pPr>
        <w:pStyle w:val="Compact"/>
        <w:numPr>
          <w:ilvl w:val="0"/>
          <w:numId w:val="1005"/>
        </w:numPr>
      </w:pPr>
      <w:r>
        <w:t xml:space="preserve">NFR-HR-006 (AES-256 encryption) must be validated in a penetration test confirming no plain-text salary data is retrievable via API without correct permissions.</w:t>
      </w:r>
    </w:p>
    <w:bookmarkEnd w:id="75"/>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Human Resources and Payroll</dc:title>
  <dc:creator/>
  <cp:keywords/>
  <dcterms:created xsi:type="dcterms:W3CDTF">2026-04-05T03:11:54Z</dcterms:created>
  <dcterms:modified xsi:type="dcterms:W3CDTF">2026-04-05T03:11:54Z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