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Architecture Document</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bookmarkStart w:id="21" w:name="high-level-architecture-document"/>
    <w:p>
      <w:pPr>
        <w:pStyle w:val="Heading1"/>
      </w:pPr>
      <w:r>
        <w:t xml:space="preserve">High-Level Architecture Document</w:t>
      </w:r>
    </w:p>
    <w:p>
      <w:pPr>
        <w:pStyle w:val="FirstParagraph"/>
      </w:pPr>
      <w:r>
        <w:rPr>
          <w:b/>
          <w:bCs/>
        </w:rPr>
        <w:t xml:space="preserve">Longhorn ERP</w:t>
      </w:r>
    </w:p>
    <w:p>
      <w:pPr>
        <w:pStyle w:val="BodyText"/>
      </w:pPr>
      <w:r>
        <w:rPr>
          <w:i/>
          <w:iCs/>
        </w:rPr>
        <w:t xml:space="preserve">An Enterprise Resource Planning Solution by Chwezi Core Systems</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Company</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Email</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Developer Website</w:t>
            </w:r>
          </w:p>
        </w:tc>
        <w:tc>
          <w:tcPr/>
          <w:p>
            <w:pPr>
              <w:pStyle w:val="Compact"/>
            </w:pPr>
            <w:r>
              <w:t xml:space="preserve">techguypeter.com</w:t>
            </w:r>
          </w:p>
        </w:tc>
      </w:tr>
      <w:tr>
        <w:tc>
          <w:tcPr/>
          <w:p>
            <w:pPr>
              <w:pStyle w:val="Compact"/>
            </w:pPr>
            <w:r>
              <w:rPr>
                <w:b/>
                <w:bCs/>
              </w:rPr>
              <w:t xml:space="preserve">Developer Email</w:t>
            </w:r>
          </w:p>
        </w:tc>
        <w:tc>
          <w:tcPr/>
          <w:p>
            <w:pPr>
              <w:pStyle w:val="Compact"/>
            </w:pPr>
            <w:hyperlink r:id="rId20">
              <w:r>
                <w:rPr>
                  <w:rStyle w:val="Hyperlink"/>
                </w:rPr>
                <w:t xml:space="preserve">peter@techguypeter.com</w:t>
              </w:r>
            </w:hyperlink>
          </w:p>
        </w:tc>
      </w:tr>
      <w:tr>
        <w:tc>
          <w:tcPr/>
          <w:p>
            <w:pPr>
              <w:pStyle w:val="Compact"/>
            </w:pPr>
            <w:r>
              <w:rPr>
                <w:b/>
                <w:bCs/>
              </w:rPr>
              <w:t xml:space="preserve">Developer Phone</w:t>
            </w:r>
          </w:p>
        </w:tc>
        <w:tc>
          <w:tcPr/>
          <w:p>
            <w:pPr>
              <w:pStyle w:val="Compact"/>
            </w:pPr>
            <w:r>
              <w:t xml:space="preserve">+256784464178</w:t>
            </w:r>
          </w:p>
        </w:tc>
      </w:tr>
      <w:tr>
        <w:tc>
          <w:tcPr/>
          <w:p>
            <w:pPr>
              <w:pStyle w:val="Compact"/>
            </w:pPr>
            <w:r>
              <w:rPr>
                <w:b/>
                <w:bCs/>
              </w:rPr>
              <w:t xml:space="preserve">Document 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2026-04-05</w:t>
            </w:r>
          </w:p>
        </w:tc>
      </w:tr>
    </w:tbl>
    <w:p>
      <w:r>
        <w:pict>
          <v:rect style="width:0;height:1.5pt" o:hralign="center" o:hrstd="t" o:hr="t"/>
        </w:pict>
      </w:r>
    </w:p>
    <w:p>
      <w:pPr>
        <w:pStyle w:val="FirstParagraph"/>
      </w:pPr>
      <w:r>
        <w:rPr>
          <w:i/>
          <w:iCs/>
        </w:rPr>
        <w:t xml:space="preserve">Confidential — All Rights Reserved. This document is the intellectual property of Chwezi Core Systems. No part may be reproduced or disclosed without written permission.</w:t>
      </w:r>
    </w:p>
    <w:p>
      <w:r>
        <w:pict>
          <v:rect style="width:0;height:1.5pt" o:hralign="center" o:hrstd="t" o:hr="t"/>
        </w:pict>
      </w:r>
    </w:p>
    <w:bookmarkEnd w:id="21"/>
    <w:bookmarkStart w:id="26" w:name="system-overview"/>
    <w:p>
      <w:pPr>
        <w:pStyle w:val="Heading1"/>
      </w:pPr>
      <w:r>
        <w:t xml:space="preserve">System Overview</w:t>
      </w:r>
    </w:p>
    <w:bookmarkStart w:id="22" w:name="X196d3574d29bcfac601692715d72b6aec32a6e2"/>
    <w:p>
      <w:pPr>
        <w:pStyle w:val="Heading2"/>
      </w:pPr>
      <w:r>
        <w:t xml:space="preserve">1.1 What Longhorn ERP Is</w:t>
      </w:r>
    </w:p>
    <w:p>
      <w:pPr>
        <w:pStyle w:val="FirstParagraph"/>
      </w:pPr>
      <w:r>
        <w:t xml:space="preserve">Longhorn ERP is a multi-tenant, service-oriented, cloud-hosted Enterprise Resource Planning (ERP) platform built for small-to-medium enterprises (SMEs) and cooperative organisations across Uganda and East Africa. The platform delivers a unified suite of business management modules — accounting, inventory, sales, procurement, human resources, manufacturing, cooperative procurement, and more — through a single shared codebase that serves every tenant simultaneously.</w:t>
      </w:r>
    </w:p>
    <w:p>
      <w:pPr>
        <w:pStyle w:val="BodyText"/>
      </w:pPr>
      <w:r>
        <w:t xml:space="preserve">The architecture is designed around five non-negotiable qualities:</w:t>
      </w:r>
    </w:p>
    <w:p>
      <w:pPr>
        <w:pStyle w:val="Compact"/>
        <w:numPr>
          <w:ilvl w:val="0"/>
          <w:numId w:val="1001"/>
        </w:numPr>
      </w:pPr>
      <w:r>
        <w:rPr>
          <w:b/>
          <w:bCs/>
        </w:rPr>
        <w:t xml:space="preserve">Multi-tenancy:</w:t>
      </w:r>
      <w:r>
        <w:t xml:space="preserve"> </w:t>
      </w:r>
      <w:r>
        <w:t xml:space="preserve">Every tenant operates in a logically isolated workspace within a shared infrastructure. Row-level tenant isolation ensures no cross-tenant data leakage.</w:t>
      </w:r>
    </w:p>
    <w:p>
      <w:pPr>
        <w:pStyle w:val="Compact"/>
        <w:numPr>
          <w:ilvl w:val="0"/>
          <w:numId w:val="1001"/>
        </w:numPr>
      </w:pPr>
      <w:r>
        <w:rPr>
          <w:b/>
          <w:bCs/>
        </w:rPr>
        <w:t xml:space="preserve">Modularity:</w:t>
      </w:r>
      <w:r>
        <w:t xml:space="preserve"> </w:t>
      </w:r>
      <w:r>
        <w:t xml:space="preserve">Business capabilities are packaged as independently activatable modules. Tenants activate only the modules their subscription plan permits.</w:t>
      </w:r>
    </w:p>
    <w:p>
      <w:pPr>
        <w:pStyle w:val="Compact"/>
        <w:numPr>
          <w:ilvl w:val="0"/>
          <w:numId w:val="1001"/>
        </w:numPr>
      </w:pPr>
      <w:r>
        <w:rPr>
          <w:b/>
          <w:bCs/>
        </w:rPr>
        <w:t xml:space="preserve">Localisation-via-configuration:</w:t>
      </w:r>
      <w:r>
        <w:t xml:space="preserve"> </w:t>
      </w:r>
      <w:r>
        <w:t xml:space="preserve">The system supports multiple markets without code changes. All jurisdiction-specific behaviour — currency, tax rates, statutory deductions, date formats, legal text — is driven by a per-tenant localisation profile.</w:t>
      </w:r>
    </w:p>
    <w:p>
      <w:pPr>
        <w:pStyle w:val="Compact"/>
        <w:numPr>
          <w:ilvl w:val="0"/>
          <w:numId w:val="1001"/>
        </w:numPr>
      </w:pPr>
      <w:r>
        <w:rPr>
          <w:b/>
          <w:bCs/>
        </w:rPr>
        <w:t xml:space="preserve">Extensibility:</w:t>
      </w:r>
      <w:r>
        <w:t xml:space="preserve"> </w:t>
      </w:r>
      <w:r>
        <w:t xml:space="preserve">New modules and integrations are added without modifying the core platform. The service-oriented architecture (SOA) and dependency injection container isolate business logic from the routing and rendering layers.</w:t>
      </w:r>
    </w:p>
    <w:p>
      <w:pPr>
        <w:pStyle w:val="Compact"/>
        <w:numPr>
          <w:ilvl w:val="0"/>
          <w:numId w:val="1001"/>
        </w:numPr>
      </w:pPr>
      <w:r>
        <w:rPr>
          <w:b/>
          <w:bCs/>
        </w:rPr>
        <w:t xml:space="preserve">Performance:</w:t>
      </w:r>
      <w:r>
        <w:t xml:space="preserve"> </w:t>
      </w:r>
      <w:r>
        <w:t xml:space="preserve">The system shall render any data-entry page in ≤ 2 seconds at P95 under a load of 100 concurrent tenant users (NFR-PERF-001) and return any REST API response in ≤ 500 ms at P95 under 50 concurrent mobile clients per tenant (NFR-PERF-003).</w:t>
      </w:r>
    </w:p>
    <w:bookmarkEnd w:id="22"/>
    <w:bookmarkStart w:id="23" w:name="X6130af81249a9a3e4cf8de47c88369e13114cb7"/>
    <w:p>
      <w:pPr>
        <w:pStyle w:val="Heading2"/>
      </w:pPr>
      <w:r>
        <w:t xml:space="preserve">1.2 System Context Diagram</w:t>
      </w:r>
    </w:p>
    <w:p>
      <w:pPr>
        <w:pStyle w:val="SourceCode"/>
      </w:pPr>
      <w:r>
        <w:rPr>
          <w:rStyle w:val="VerbatimChar"/>
        </w:rPr>
        <w:t xml:space="preserve">                        ┌─────────────────────────────────────────────────┐</w:t>
      </w:r>
      <w:r>
        <w:br/>
      </w:r>
      <w:r>
        <w:rPr>
          <w:rStyle w:val="VerbatimChar"/>
        </w:rPr>
        <w:t xml:space="preserve">                        │                  LONGHORN ERP                   │</w:t>
      </w:r>
      <w:r>
        <w:br/>
      </w:r>
      <w:r>
        <w:rPr>
          <w:rStyle w:val="VerbatimChar"/>
        </w:rPr>
        <w:t xml:space="preserve">                        │              (Apache / PHP 8.3)                 │</w:t>
      </w:r>
      <w:r>
        <w:br/>
      </w:r>
      <w:r>
        <w:rPr>
          <w:rStyle w:val="VerbatimChar"/>
        </w:rPr>
        <w:t xml:space="preserve">                        │                                                 │</w:t>
      </w:r>
      <w:r>
        <w:br/>
      </w:r>
      <w:r>
        <w:rPr>
          <w:rStyle w:val="VerbatimChar"/>
        </w:rPr>
        <w:t xml:space="preserve">  ┌──────────────┐      │  ┌─────────────┐  ┌───────────────────────┐   │</w:t>
      </w:r>
      <w:r>
        <w:br/>
      </w:r>
      <w:r>
        <w:rPr>
          <w:rStyle w:val="VerbatimChar"/>
        </w:rPr>
        <w:t xml:space="preserve">  │  Tenant      │─────▶│  │  Tenant     │  │  Super Admin Panel    │   │</w:t>
      </w:r>
      <w:r>
        <w:br/>
      </w:r>
      <w:r>
        <w:rPr>
          <w:rStyle w:val="VerbatimChar"/>
        </w:rPr>
        <w:t xml:space="preserve">  │  Staff       │      │  │  Workspace  │  │  /public/superadmin/  │   │</w:t>
      </w:r>
      <w:r>
        <w:br/>
      </w:r>
      <w:r>
        <w:rPr>
          <w:rStyle w:val="VerbatimChar"/>
        </w:rPr>
        <w:t xml:space="preserve">  │  (Browser)   │◀─────│  │  /public/   │  │  (Chwezi operators)   │   │</w:t>
      </w:r>
      <w:r>
        <w:br/>
      </w:r>
      <w:r>
        <w:rPr>
          <w:rStyle w:val="VerbatimChar"/>
        </w:rPr>
        <w:t xml:space="preserve">  └──────────────┘      │  └─────────────┘  └───────────────────────┘   │</w:t>
      </w:r>
      <w:r>
        <w:br/>
      </w:r>
      <w:r>
        <w:rPr>
          <w:rStyle w:val="VerbatimChar"/>
        </w:rPr>
        <w:t xml:space="preserve">                        │         │                                       │</w:t>
      </w:r>
      <w:r>
        <w:br/>
      </w:r>
      <w:r>
        <w:rPr>
          <w:rStyle w:val="VerbatimChar"/>
        </w:rPr>
        <w:t xml:space="preserve">  ┌──────────────┐      │  ┌──────▼──────┐  ┌───────────────────────┐   │</w:t>
      </w:r>
      <w:r>
        <w:br/>
      </w:r>
      <w:r>
        <w:rPr>
          <w:rStyle w:val="VerbatimChar"/>
        </w:rPr>
        <w:t xml:space="preserve">  │  End Users   │─────▶│  │  End-User   │  │  Service Layer        │   │</w:t>
      </w:r>
      <w:r>
        <w:br/>
      </w:r>
      <w:r>
        <w:rPr>
          <w:rStyle w:val="VerbatimChar"/>
        </w:rPr>
        <w:t xml:space="preserve">  │  Employees / │      │  │  Portal     │  │  src/Services/        │   │</w:t>
      </w:r>
      <w:r>
        <w:br/>
      </w:r>
      <w:r>
        <w:rPr>
          <w:rStyle w:val="VerbatimChar"/>
        </w:rPr>
        <w:t xml:space="preserve">  │  Customers / │◀─────│  │  /public/   │  │  [Domain]/            │   │</w:t>
      </w:r>
      <w:r>
        <w:br/>
      </w:r>
      <w:r>
        <w:rPr>
          <w:rStyle w:val="VerbatimChar"/>
        </w:rPr>
        <w:t xml:space="preserve">  │  Agents /    │      │  │  portal/    │  └───────────┬───────────┘   │</w:t>
      </w:r>
      <w:r>
        <w:br/>
      </w:r>
      <w:r>
        <w:rPr>
          <w:rStyle w:val="VerbatimChar"/>
        </w:rPr>
        <w:t xml:space="preserve">  │  Farmers     │      │  └─────────────┘              │               │</w:t>
      </w:r>
      <w:r>
        <w:br/>
      </w:r>
      <w:r>
        <w:rPr>
          <w:rStyle w:val="VerbatimChar"/>
        </w:rPr>
        <w:t xml:space="preserve">  └──────────────┘      │                               │               │</w:t>
      </w:r>
      <w:r>
        <w:br/>
      </w:r>
      <w:r>
        <w:rPr>
          <w:rStyle w:val="VerbatimChar"/>
        </w:rPr>
        <w:t xml:space="preserve">                        │  ┌─────────────────────────────▼─────────┐   │</w:t>
      </w:r>
      <w:r>
        <w:br/>
      </w:r>
      <w:r>
        <w:rPr>
          <w:rStyle w:val="VerbatimChar"/>
        </w:rPr>
        <w:t xml:space="preserve">  ┌──────────────┐      │  │         MySQL 9.1 (InnoDB)            │   │</w:t>
      </w:r>
      <w:r>
        <w:br/>
      </w:r>
      <w:r>
        <w:rPr>
          <w:rStyle w:val="VerbatimChar"/>
        </w:rPr>
        <w:t xml:space="preserve">  │  Mobile Apps │─────▶│  │  Shared Database — Row-Level          │   │</w:t>
      </w:r>
      <w:r>
        <w:br/>
      </w:r>
      <w:r>
        <w:rPr>
          <w:rStyle w:val="VerbatimChar"/>
        </w:rPr>
        <w:t xml:space="preserve">  │  Android /   │      │  │  Tenant Isolation via tenant_id FK    │   │</w:t>
      </w:r>
      <w:r>
        <w:br/>
      </w:r>
      <w:r>
        <w:rPr>
          <w:rStyle w:val="VerbatimChar"/>
        </w:rPr>
        <w:t xml:space="preserve">  │  iOS         │◀─────│  └───────────────────────────────────────┘   │</w:t>
      </w:r>
      <w:r>
        <w:br/>
      </w:r>
      <w:r>
        <w:rPr>
          <w:rStyle w:val="VerbatimChar"/>
        </w:rPr>
        <w:t xml:space="preserve">  └──────────────┘      │                                               │</w:t>
      </w:r>
      <w:r>
        <w:br/>
      </w:r>
      <w:r>
        <w:rPr>
          <w:rStyle w:val="VerbatimChar"/>
        </w:rPr>
        <w:t xml:space="preserve">                        │  ┌───────────────────────────────────────┐   │</w:t>
      </w:r>
      <w:r>
        <w:br/>
      </w:r>
      <w:r>
        <w:rPr>
          <w:rStyle w:val="VerbatimChar"/>
        </w:rPr>
        <w:t xml:space="preserve">  ┌──────────────┐      │  │  Integration Layer                    │   │</w:t>
      </w:r>
      <w:r>
        <w:br/>
      </w:r>
      <w:r>
        <w:rPr>
          <w:rStyle w:val="VerbatimChar"/>
        </w:rPr>
        <w:t xml:space="preserve">  │  External    │◀────▶│  │  MTN MoMo · Airtel Money · M-Pesa    │   │</w:t>
      </w:r>
      <w:r>
        <w:br/>
      </w:r>
      <w:r>
        <w:rPr>
          <w:rStyle w:val="VerbatimChar"/>
        </w:rPr>
        <w:t xml:space="preserve">  │  Services    │      │  │  URA EFRIS · NSSF · KRA iTax         │   │</w:t>
      </w:r>
      <w:r>
        <w:br/>
      </w:r>
      <w:r>
        <w:rPr>
          <w:rStyle w:val="VerbatimChar"/>
        </w:rPr>
        <w:t xml:space="preserve">  └──────────────┘      │  │  Africa's Talking (SMS/USSD)         │   │</w:t>
      </w:r>
      <w:r>
        <w:br/>
      </w:r>
      <w:r>
        <w:rPr>
          <w:rStyle w:val="VerbatimChar"/>
        </w:rPr>
        <w:t xml:space="preserve">                        │  └───────────────────────────────────────┘   │</w:t>
      </w:r>
      <w:r>
        <w:br/>
      </w:r>
      <w:r>
        <w:rPr>
          <w:rStyle w:val="VerbatimChar"/>
        </w:rPr>
        <w:t xml:space="preserve">                        └─────────────────────────────────────────────────┘</w:t>
      </w:r>
    </w:p>
    <w:bookmarkEnd w:id="23"/>
    <w:bookmarkStart w:id="24" w:name="Xed5ac50128e73743c1da0aa16c1a95cf2837a43"/>
    <w:p>
      <w:pPr>
        <w:pStyle w:val="Heading2"/>
      </w:pPr>
      <w:r>
        <w:t xml:space="preserve">1.3 Key Technology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Version</w:t>
            </w:r>
          </w:p>
        </w:tc>
      </w:tr>
      <w:tr>
        <w:tc>
          <w:tcPr/>
          <w:p>
            <w:pPr>
              <w:pStyle w:val="Compact"/>
            </w:pPr>
            <w:r>
              <w:t xml:space="preserve">Backend language</w:t>
            </w:r>
          </w:p>
        </w:tc>
        <w:tc>
          <w:tcPr/>
          <w:p>
            <w:pPr>
              <w:pStyle w:val="Compact"/>
            </w:pPr>
            <w:r>
              <w:t xml:space="preserve">PHP (strict types, PSR-4)</w:t>
            </w:r>
          </w:p>
        </w:tc>
        <w:tc>
          <w:tcPr/>
          <w:p>
            <w:pPr>
              <w:pStyle w:val="Compact"/>
            </w:pPr>
            <w:r>
              <w:t xml:space="preserve">8.3+</w:t>
            </w:r>
          </w:p>
        </w:tc>
      </w:tr>
      <w:tr>
        <w:tc>
          <w:tcPr/>
          <w:p>
            <w:pPr>
              <w:pStyle w:val="Compact"/>
            </w:pPr>
            <w:r>
              <w:t xml:space="preserve">Architecture pattern</w:t>
            </w:r>
          </w:p>
        </w:tc>
        <w:tc>
          <w:tcPr/>
          <w:p>
            <w:pPr>
              <w:pStyle w:val="Compact"/>
            </w:pPr>
            <w:r>
              <w:t xml:space="preserve">Service-oriented, Domain-Driven Design</w:t>
            </w:r>
          </w:p>
        </w:tc>
        <w:tc>
          <w:tcPr/>
          <w:p>
            <w:pPr>
              <w:pStyle w:val="Compact"/>
            </w:pPr>
            <w:r>
              <w:t xml:space="preserve">—</w:t>
            </w:r>
          </w:p>
        </w:tc>
      </w:tr>
      <w:tr>
        <w:tc>
          <w:tcPr/>
          <w:p>
            <w:pPr>
              <w:pStyle w:val="Compact"/>
            </w:pPr>
            <w:r>
              <w:t xml:space="preserve">Dependency injection</w:t>
            </w:r>
          </w:p>
        </w:tc>
        <w:tc>
          <w:tcPr/>
          <w:p>
            <w:pPr>
              <w:pStyle w:val="Compact"/>
            </w:pPr>
            <w:r>
              <w:t xml:space="preserve">PHP-DI</w:t>
            </w:r>
          </w:p>
        </w:tc>
        <w:tc>
          <w:tcPr/>
          <w:p>
            <w:pPr>
              <w:pStyle w:val="Compact"/>
            </w:pPr>
            <w:r>
              <w:t xml:space="preserve">7.0</w:t>
            </w:r>
          </w:p>
        </w:tc>
      </w:tr>
      <w:tr>
        <w:tc>
          <w:tcPr/>
          <w:p>
            <w:pPr>
              <w:pStyle w:val="Compact"/>
            </w:pPr>
            <w:r>
              <w:t xml:space="preserve">Database engine</w:t>
            </w:r>
          </w:p>
        </w:tc>
        <w:tc>
          <w:tcPr/>
          <w:p>
            <w:pPr>
              <w:pStyle w:val="Compact"/>
            </w:pPr>
            <w:r>
              <w:t xml:space="preserve">MySQL, InnoDB</w:t>
            </w:r>
          </w:p>
        </w:tc>
        <w:tc>
          <w:tcPr/>
          <w:p>
            <w:pPr>
              <w:pStyle w:val="Compact"/>
            </w:pPr>
            <w:r>
              <w:t xml:space="preserve">9.1</w:t>
            </w:r>
          </w:p>
        </w:tc>
      </w:tr>
      <w:tr>
        <w:tc>
          <w:tcPr/>
          <w:p>
            <w:pPr>
              <w:pStyle w:val="Compact"/>
            </w:pPr>
            <w:r>
              <w:t xml:space="preserve">Character set</w:t>
            </w:r>
          </w:p>
        </w:tc>
        <w:tc>
          <w:tcPr/>
          <w:p>
            <w:pPr>
              <w:pStyle w:val="Compact"/>
            </w:pPr>
            <w:r>
              <w:t xml:space="preserve">UTF8MB4</w:t>
            </w:r>
          </w:p>
        </w:tc>
        <w:tc>
          <w:tcPr/>
          <w:p>
            <w:pPr>
              <w:pStyle w:val="Compact"/>
            </w:pPr>
            <w:r>
              <w:t xml:space="preserve">—</w:t>
            </w:r>
          </w:p>
        </w:tc>
      </w:tr>
      <w:tr>
        <w:tc>
          <w:tcPr/>
          <w:p>
            <w:pPr>
              <w:pStyle w:val="Compact"/>
            </w:pPr>
            <w:r>
              <w:t xml:space="preserve">Web frontend framework</w:t>
            </w:r>
          </w:p>
        </w:tc>
        <w:tc>
          <w:tcPr/>
          <w:p>
            <w:pPr>
              <w:pStyle w:val="Compact"/>
            </w:pPr>
            <w:r>
              <w:t xml:space="preserve">Bootstrap</w:t>
            </w:r>
          </w:p>
        </w:tc>
        <w:tc>
          <w:tcPr/>
          <w:p>
            <w:pPr>
              <w:pStyle w:val="Compact"/>
            </w:pPr>
            <w:r>
              <w:t xml:space="preserve">5.3.0</w:t>
            </w:r>
          </w:p>
        </w:tc>
      </w:tr>
      <w:tr>
        <w:tc>
          <w:tcPr/>
          <w:p>
            <w:pPr>
              <w:pStyle w:val="Compact"/>
            </w:pPr>
            <w:r>
              <w:t xml:space="preserve">JavaScript library</w:t>
            </w:r>
          </w:p>
        </w:tc>
        <w:tc>
          <w:tcPr/>
          <w:p>
            <w:pPr>
              <w:pStyle w:val="Compact"/>
            </w:pPr>
            <w:r>
              <w:t xml:space="preserve">jQuery</w:t>
            </w:r>
          </w:p>
        </w:tc>
        <w:tc>
          <w:tcPr/>
          <w:p>
            <w:pPr>
              <w:pStyle w:val="Compact"/>
            </w:pPr>
            <w:r>
              <w:t xml:space="preserve">3.7.0</w:t>
            </w:r>
          </w:p>
        </w:tc>
      </w:tr>
      <w:tr>
        <w:tc>
          <w:tcPr/>
          <w:p>
            <w:pPr>
              <w:pStyle w:val="Compact"/>
            </w:pPr>
            <w:r>
              <w:t xml:space="preserve">Mobile — Android</w:t>
            </w:r>
          </w:p>
        </w:tc>
        <w:tc>
          <w:tcPr/>
          <w:p>
            <w:pPr>
              <w:pStyle w:val="Compact"/>
            </w:pPr>
            <w:r>
              <w:t xml:space="preserve">Kotlin + Jetpack Compose</w:t>
            </w:r>
          </w:p>
        </w:tc>
        <w:tc>
          <w:tcPr/>
          <w:p>
            <w:pPr>
              <w:pStyle w:val="Compact"/>
            </w:pPr>
            <w:r>
              <w:t xml:space="preserve">—</w:t>
            </w:r>
          </w:p>
        </w:tc>
      </w:tr>
      <w:tr>
        <w:tc>
          <w:tcPr/>
          <w:p>
            <w:pPr>
              <w:pStyle w:val="Compact"/>
            </w:pPr>
            <w:r>
              <w:t xml:space="preserve">Mobile — iOS</w:t>
            </w:r>
          </w:p>
        </w:tc>
        <w:tc>
          <w:tcPr/>
          <w:p>
            <w:pPr>
              <w:pStyle w:val="Compact"/>
            </w:pPr>
            <w:r>
              <w:t xml:space="preserve">Swift + SwiftUI</w:t>
            </w:r>
          </w:p>
        </w:tc>
        <w:tc>
          <w:tcPr/>
          <w:p>
            <w:pPr>
              <w:pStyle w:val="Compact"/>
            </w:pPr>
            <w:r>
              <w:t xml:space="preserve">—</w:t>
            </w:r>
          </w:p>
        </w:tc>
      </w:tr>
      <w:tr>
        <w:tc>
          <w:tcPr/>
          <w:p>
            <w:pPr>
              <w:pStyle w:val="Compact"/>
            </w:pPr>
            <w:r>
              <w:t xml:space="preserve">Web server</w:t>
            </w:r>
          </w:p>
        </w:tc>
        <w:tc>
          <w:tcPr/>
          <w:p>
            <w:pPr>
              <w:pStyle w:val="Compact"/>
            </w:pPr>
            <w:r>
              <w:t xml:space="preserve">Apache with mod_rewrite</w:t>
            </w:r>
          </w:p>
        </w:tc>
        <w:tc>
          <w:tcPr/>
          <w:p>
            <w:pPr>
              <w:pStyle w:val="Compact"/>
            </w:pPr>
            <w:r>
              <w:t xml:space="preserve">—</w:t>
            </w:r>
          </w:p>
        </w:tc>
      </w:tr>
    </w:tbl>
    <w:bookmarkEnd w:id="24"/>
    <w:bookmarkStart w:id="25" w:name="X841f344590ed763a1fba5f959a28a1efadd58b1"/>
    <w:p>
      <w:pPr>
        <w:pStyle w:val="Heading2"/>
      </w:pPr>
      <w:r>
        <w:t xml:space="preserve">1.4 Deployment Model</w:t>
      </w:r>
    </w:p>
    <w:p>
      <w:pPr>
        <w:pStyle w:val="FirstParagraph"/>
      </w:pPr>
      <w:r>
        <w:t xml:space="preserve">Longhorn ERP operates as a single-instance, multi-tenant Software as a Service (SaaS) platform. All tenants share one Apache/PHP application process pool and one MySQL database server. Tenant isolation is enforced at the application layer (middleware pipeline) and at the data layer (row-level</w:t>
      </w:r>
      <w:r>
        <w:t xml:space="preserve"> </w:t>
      </w:r>
      <w:r>
        <w:rPr>
          <w:rStyle w:val="VerbatimChar"/>
        </w:rPr>
        <w:t xml:space="preserve">tenant_id</w:t>
      </w:r>
      <w:r>
        <w:t xml:space="preserve"> </w:t>
      </w:r>
      <w:r>
        <w:t xml:space="preserve">foreign key). The platform shall support ≥ 500 concurrent active tenants on a single deployment without degradation beyond NFR-PERF-001 and NFR-PERF-003 thresholds (NFR-SCALE-001).</w:t>
      </w:r>
    </w:p>
    <w:bookmarkEnd w:id="25"/>
    <w:bookmarkEnd w:id="26"/>
    <w:bookmarkStart w:id="43" w:name="three-tier-panel-architecture"/>
    <w:p>
      <w:pPr>
        <w:pStyle w:val="Heading1"/>
      </w:pPr>
      <w:r>
        <w:t xml:space="preserve">Three-Tier Panel Architecture</w:t>
      </w:r>
    </w:p>
    <w:p>
      <w:pPr>
        <w:pStyle w:val="FirstParagraph"/>
      </w:pPr>
      <w:r>
        <w:t xml:space="preserve">Longhorn ERP exposes three distinct web panels, each serving a different class of user at a different URL path. All three panels run within the same PHP application but enforce separate authentication scopes, session contexts, and permission models.</w:t>
      </w:r>
    </w:p>
    <w:bookmarkStart w:id="27" w:name="Xb4334db5d47a6b0d25d8f77561c2a6ed9873438"/>
    <w:p>
      <w:pPr>
        <w:pStyle w:val="Heading2"/>
      </w:pPr>
      <w:r>
        <w:t xml:space="preserve">2.1 Panel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URL Path</w:t>
            </w:r>
          </w:p>
        </w:tc>
        <w:tc>
          <w:tcPr/>
          <w:p>
            <w:pPr>
              <w:pStyle w:val="Compact"/>
            </w:pPr>
            <w:r>
              <w:t xml:space="preserve">Primary Users</w:t>
            </w:r>
          </w:p>
        </w:tc>
        <w:tc>
          <w:tcPr/>
          <w:p>
            <w:pPr>
              <w:pStyle w:val="Compact"/>
            </w:pPr>
            <w:r>
              <w:t xml:space="preserve">Authentication</w:t>
            </w:r>
          </w:p>
        </w:tc>
      </w:tr>
      <w:tr>
        <w:tc>
          <w:tcPr/>
          <w:p>
            <w:pPr>
              <w:pStyle w:val="Compact"/>
            </w:pPr>
            <w:r>
              <w:t xml:space="preserve">Tenant Workspace</w:t>
            </w:r>
          </w:p>
        </w:tc>
        <w:tc>
          <w:tcPr/>
          <w:p>
            <w:pPr>
              <w:pStyle w:val="Compact"/>
            </w:pPr>
            <w:r>
              <w:rPr>
                <w:rStyle w:val="VerbatimChar"/>
              </w:rPr>
              <w:t xml:space="preserve">/public/</w:t>
            </w:r>
          </w:p>
        </w:tc>
        <w:tc>
          <w:tcPr/>
          <w:p>
            <w:pPr>
              <w:pStyle w:val="Compact"/>
            </w:pPr>
            <w:r>
              <w:t xml:space="preserve">All tenant staff</w:t>
            </w:r>
          </w:p>
        </w:tc>
        <w:tc>
          <w:tcPr/>
          <w:p>
            <w:pPr>
              <w:pStyle w:val="Compact"/>
            </w:pPr>
            <w:r>
              <w:t xml:space="preserve">Session —</w:t>
            </w:r>
            <w:r>
              <w:t xml:space="preserve"> </w:t>
            </w:r>
            <w:r>
              <w:rPr>
                <w:rStyle w:val="VerbatimChar"/>
              </w:rPr>
              <w:t xml:space="preserve">LONGHORN_ERP_SESSION</w:t>
            </w:r>
          </w:p>
        </w:tc>
      </w:tr>
      <w:tr>
        <w:tc>
          <w:tcPr/>
          <w:p>
            <w:pPr>
              <w:pStyle w:val="Compact"/>
            </w:pPr>
            <w:r>
              <w:t xml:space="preserve">Super Admin Panel</w:t>
            </w:r>
          </w:p>
        </w:tc>
        <w:tc>
          <w:tcPr/>
          <w:p>
            <w:pPr>
              <w:pStyle w:val="Compact"/>
            </w:pPr>
            <w:r>
              <w:rPr>
                <w:rStyle w:val="VerbatimChar"/>
              </w:rPr>
              <w:t xml:space="preserve">/public/superadmin/</w:t>
            </w:r>
          </w:p>
        </w:tc>
        <w:tc>
          <w:tcPr/>
          <w:p>
            <w:pPr>
              <w:pStyle w:val="Compact"/>
            </w:pPr>
            <w:r>
              <w:t xml:space="preserve">Chwezi platform operators</w:t>
            </w:r>
          </w:p>
        </w:tc>
        <w:tc>
          <w:tcPr/>
          <w:p>
            <w:pPr>
              <w:pStyle w:val="Compact"/>
            </w:pPr>
            <w:r>
              <w:t xml:space="preserve">Separate super admin session</w:t>
            </w:r>
          </w:p>
        </w:tc>
      </w:tr>
      <w:tr>
        <w:tc>
          <w:tcPr/>
          <w:p>
            <w:pPr>
              <w:pStyle w:val="Compact"/>
            </w:pPr>
            <w:r>
              <w:t xml:space="preserve">End-User Portal</w:t>
            </w:r>
          </w:p>
        </w:tc>
        <w:tc>
          <w:tcPr/>
          <w:p>
            <w:pPr>
              <w:pStyle w:val="Compact"/>
            </w:pPr>
            <w:r>
              <w:rPr>
                <w:rStyle w:val="VerbatimChar"/>
              </w:rPr>
              <w:t xml:space="preserve">/public/portal/</w:t>
            </w:r>
          </w:p>
        </w:tc>
        <w:tc>
          <w:tcPr/>
          <w:p>
            <w:pPr>
              <w:pStyle w:val="Compact"/>
            </w:pPr>
            <w:r>
              <w:t xml:space="preserve">Employees, customers, agents, farmers</w:t>
            </w:r>
          </w:p>
        </w:tc>
        <w:tc>
          <w:tcPr/>
          <w:p>
            <w:pPr>
              <w:pStyle w:val="Compact"/>
            </w:pPr>
            <w:r>
              <w:t xml:space="preserve">Separate portal session</w:t>
            </w:r>
          </w:p>
        </w:tc>
      </w:tr>
    </w:tbl>
    <w:p>
      <w:r>
        <w:pict>
          <v:rect style="width:0;height:1.5pt" o:hralign="center" o:hrstd="t" o:hr="t"/>
        </w:pict>
      </w:r>
    </w:p>
    <w:bookmarkEnd w:id="27"/>
    <w:bookmarkStart w:id="32" w:name="X2e28915a5ea595a85cf45ef8d074acd7eb9f888"/>
    <w:p>
      <w:pPr>
        <w:pStyle w:val="Heading2"/>
      </w:pPr>
      <w:r>
        <w:t xml:space="preserve">2.2 Tenant Workspace (</w:t>
      </w:r>
      <w:r>
        <w:rPr>
          <w:rStyle w:val="VerbatimChar"/>
        </w:rPr>
        <w:t xml:space="preserve">/public/</w:t>
      </w:r>
      <w:r>
        <w:t xml:space="preserve">)</w:t>
      </w:r>
    </w:p>
    <w:bookmarkStart w:id="28" w:name="url-path"/>
    <w:p>
      <w:pPr>
        <w:pStyle w:val="Heading3"/>
      </w:pPr>
      <w:r>
        <w:t xml:space="preserve">URL Path</w:t>
      </w:r>
    </w:p>
    <w:p>
      <w:pPr>
        <w:pStyle w:val="FirstParagraph"/>
      </w:pPr>
      <w:r>
        <w:rPr>
          <w:rStyle w:val="VerbatimChar"/>
        </w:rPr>
        <w:t xml:space="preserve">/public/</w:t>
      </w:r>
    </w:p>
    <w:bookmarkEnd w:id="28"/>
    <w:bookmarkStart w:id="29" w:name="primary-users"/>
    <w:p>
      <w:pPr>
        <w:pStyle w:val="Heading3"/>
      </w:pPr>
      <w:r>
        <w:t xml:space="preserve">Primary Users</w:t>
      </w:r>
    </w:p>
    <w:p>
      <w:pPr>
        <w:pStyle w:val="FirstParagraph"/>
      </w:pPr>
      <w:r>
        <w:t xml:space="preserve">All staff users who belong to an active tenant: accountants, sales representatives, procurement officers, warehouse staff, HR managers, branch managers, and any other role defined within the tenant's Role-Based Access Control (RBAC) configuration.</w:t>
      </w:r>
    </w:p>
    <w:bookmarkEnd w:id="29"/>
    <w:bookmarkStart w:id="30" w:name="key-capabilities"/>
    <w:p>
      <w:pPr>
        <w:pStyle w:val="Heading3"/>
      </w:pPr>
      <w:r>
        <w:t xml:space="preserve">Key Capabilities</w:t>
      </w:r>
    </w:p>
    <w:p>
      <w:pPr>
        <w:pStyle w:val="Compact"/>
        <w:numPr>
          <w:ilvl w:val="0"/>
          <w:numId w:val="1002"/>
        </w:numPr>
      </w:pPr>
      <w:r>
        <w:t xml:space="preserve">Full access to all modules the tenant has activated under its subscription plan.</w:t>
      </w:r>
    </w:p>
    <w:p>
      <w:pPr>
        <w:pStyle w:val="Compact"/>
        <w:numPr>
          <w:ilvl w:val="0"/>
          <w:numId w:val="1002"/>
        </w:numPr>
      </w:pPr>
      <w:r>
        <w:t xml:space="preserve">Branch-scoped operations: every session is bound to a branch, and all data entry and reporting is branch-aware.</w:t>
      </w:r>
    </w:p>
    <w:p>
      <w:pPr>
        <w:pStyle w:val="Compact"/>
        <w:numPr>
          <w:ilvl w:val="0"/>
          <w:numId w:val="1002"/>
        </w:numPr>
      </w:pPr>
      <w:r>
        <w:t xml:space="preserve">Granular RBAC: every page and API endpoint enforces</w:t>
      </w:r>
      <w:r>
        <w:t xml:space="preserve"> </w:t>
      </w:r>
      <w:r>
        <w:rPr>
          <w:rStyle w:val="VerbatimChar"/>
        </w:rPr>
        <w:t xml:space="preserve">RequirePermission</w:t>
      </w:r>
      <w:r>
        <w:t xml:space="preserve"> </w:t>
      </w:r>
      <w:r>
        <w:t xml:space="preserve">middleware checks against the authenticated user's role.</w:t>
      </w:r>
    </w:p>
    <w:p>
      <w:pPr>
        <w:pStyle w:val="Compact"/>
        <w:numPr>
          <w:ilvl w:val="0"/>
          <w:numId w:val="1002"/>
        </w:numPr>
      </w:pPr>
      <w:r>
        <w:t xml:space="preserve">Multi-currency transactions, localised tax computation, and statutory deduction processing driven by the tenant's active localisation profile.</w:t>
      </w:r>
    </w:p>
    <w:p>
      <w:pPr>
        <w:pStyle w:val="Compact"/>
        <w:numPr>
          <w:ilvl w:val="0"/>
          <w:numId w:val="1002"/>
        </w:numPr>
      </w:pPr>
      <w:r>
        <w:t xml:space="preserve">Real-time dashboard, data-entry forms, approval workflows, and reporting across all active modules.</w:t>
      </w:r>
    </w:p>
    <w:bookmarkEnd w:id="30"/>
    <w:bookmarkStart w:id="31" w:name="authentication-method"/>
    <w:p>
      <w:pPr>
        <w:pStyle w:val="Heading3"/>
      </w:pPr>
      <w:r>
        <w:t xml:space="preserve">Authentication Method</w:t>
      </w:r>
    </w:p>
    <w:p>
      <w:pPr>
        <w:pStyle w:val="FirstParagraph"/>
      </w:pPr>
      <w:r>
        <w:t xml:space="preserve">Session-based authentication using the</w:t>
      </w:r>
      <w:r>
        <w:t xml:space="preserve"> </w:t>
      </w:r>
      <w:r>
        <w:rPr>
          <w:rStyle w:val="VerbatimChar"/>
        </w:rPr>
        <w:t xml:space="preserve">LONGHORN_ERP_SESSION</w:t>
      </w:r>
      <w:r>
        <w:t xml:space="preserve"> </w:t>
      </w:r>
      <w:r>
        <w:t xml:space="preserve">cookie (HttpOnly, SameSite=Strict). The full middleware pipeline —</w:t>
      </w:r>
      <w:r>
        <w:t xml:space="preserve"> </w:t>
      </w:r>
      <w:r>
        <w:rPr>
          <w:rStyle w:val="VerbatimChar"/>
        </w:rPr>
        <w:t xml:space="preserve">EnsureAuthenticated → EnsureTenantSelected → EnsureTenantActive → EnsureBranchSelected → RequirePermission</w:t>
      </w:r>
      <w:r>
        <w:t xml:space="preserve"> </w:t>
      </w:r>
      <w:r>
        <w:t xml:space="preserve">— executes on every request to this panel. See Section 4 for the complete middleware specification.</w:t>
      </w:r>
    </w:p>
    <w:p>
      <w:r>
        <w:pict>
          <v:rect style="width:0;height:1.5pt" o:hralign="center" o:hrstd="t" o:hr="t"/>
        </w:pict>
      </w:r>
    </w:p>
    <w:bookmarkEnd w:id="31"/>
    <w:bookmarkEnd w:id="32"/>
    <w:bookmarkStart w:id="37" w:name="X5974d0581ab2e9c7300facd88c231fca89f3bff"/>
    <w:p>
      <w:pPr>
        <w:pStyle w:val="Heading2"/>
      </w:pPr>
      <w:r>
        <w:t xml:space="preserve">2.3 Super Admin Panel (</w:t>
      </w:r>
      <w:r>
        <w:rPr>
          <w:rStyle w:val="VerbatimChar"/>
        </w:rPr>
        <w:t xml:space="preserve">/public/superadmin/</w:t>
      </w:r>
      <w:r>
        <w:t xml:space="preserve">)</w:t>
      </w:r>
    </w:p>
    <w:bookmarkStart w:id="33" w:name="url-path-1"/>
    <w:p>
      <w:pPr>
        <w:pStyle w:val="Heading3"/>
      </w:pPr>
      <w:r>
        <w:t xml:space="preserve">URL Path</w:t>
      </w:r>
    </w:p>
    <w:p>
      <w:pPr>
        <w:pStyle w:val="FirstParagraph"/>
      </w:pPr>
      <w:r>
        <w:rPr>
          <w:rStyle w:val="VerbatimChar"/>
        </w:rPr>
        <w:t xml:space="preserve">/public/superadmin/</w:t>
      </w:r>
    </w:p>
    <w:bookmarkEnd w:id="33"/>
    <w:bookmarkStart w:id="34" w:name="primary-users-1"/>
    <w:p>
      <w:pPr>
        <w:pStyle w:val="Heading3"/>
      </w:pPr>
      <w:r>
        <w:t xml:space="preserve">Primary Users</w:t>
      </w:r>
    </w:p>
    <w:p>
      <w:pPr>
        <w:pStyle w:val="FirstParagraph"/>
      </w:pPr>
      <w:r>
        <w:t xml:space="preserve">Chwezi Core Systems platform operators responsible for managing the SaaS platform itself. Super admin users do not belong to any tenant and operate outside the tenant isolation boundary.</w:t>
      </w:r>
    </w:p>
    <w:bookmarkEnd w:id="34"/>
    <w:bookmarkStart w:id="35" w:name="key-capabilities-1"/>
    <w:p>
      <w:pPr>
        <w:pStyle w:val="Heading3"/>
      </w:pPr>
      <w:r>
        <w:t xml:space="preserve">Key Capabilities</w:t>
      </w:r>
    </w:p>
    <w:p>
      <w:pPr>
        <w:pStyle w:val="Compact"/>
        <w:numPr>
          <w:ilvl w:val="0"/>
          <w:numId w:val="1003"/>
        </w:numPr>
      </w:pPr>
      <w:r>
        <w:t xml:space="preserve">Tenant provisioning: create, configure, and onboard new tenants.</w:t>
      </w:r>
    </w:p>
    <w:p>
      <w:pPr>
        <w:pStyle w:val="Compact"/>
        <w:numPr>
          <w:ilvl w:val="0"/>
          <w:numId w:val="1003"/>
        </w:numPr>
      </w:pPr>
      <w:r>
        <w:t xml:space="preserve">Subscription management: assign subscription plans, activate or deactivate add-on modules, set billing cycles.</w:t>
      </w:r>
    </w:p>
    <w:p>
      <w:pPr>
        <w:pStyle w:val="Compact"/>
        <w:numPr>
          <w:ilvl w:val="0"/>
          <w:numId w:val="1003"/>
        </w:numPr>
      </w:pPr>
      <w:r>
        <w:t xml:space="preserve">Tenant lifecycle management: transition tenants through Trial → Active → Overdue → Suspended → Archived states.</w:t>
      </w:r>
    </w:p>
    <w:p>
      <w:pPr>
        <w:pStyle w:val="Compact"/>
        <w:numPr>
          <w:ilvl w:val="0"/>
          <w:numId w:val="1003"/>
        </w:numPr>
      </w:pPr>
      <w:r>
        <w:t xml:space="preserve">Billing and invoice generation for all tenants.</w:t>
      </w:r>
    </w:p>
    <w:p>
      <w:pPr>
        <w:pStyle w:val="Compact"/>
        <w:numPr>
          <w:ilvl w:val="0"/>
          <w:numId w:val="1003"/>
        </w:numPr>
      </w:pPr>
      <w:r>
        <w:t xml:space="preserve">Platform-wide monitoring: tenant activity, error rates, storage usage.</w:t>
      </w:r>
    </w:p>
    <w:p>
      <w:pPr>
        <w:pStyle w:val="Compact"/>
        <w:numPr>
          <w:ilvl w:val="0"/>
          <w:numId w:val="1003"/>
        </w:numPr>
      </w:pPr>
      <w:r>
        <w:t xml:space="preserve">Super admin user management: create and manage Chwezi operator accounts.</w:t>
      </w:r>
    </w:p>
    <w:p>
      <w:pPr>
        <w:pStyle w:val="Compact"/>
        <w:numPr>
          <w:ilvl w:val="0"/>
          <w:numId w:val="1003"/>
        </w:numPr>
      </w:pPr>
      <w:r>
        <w:t xml:space="preserve">Read-only access to tenant data for support escalations (access is logged in the audit trail).</w:t>
      </w:r>
    </w:p>
    <w:bookmarkEnd w:id="35"/>
    <w:bookmarkStart w:id="36" w:name="authentication-method-1"/>
    <w:p>
      <w:pPr>
        <w:pStyle w:val="Heading3"/>
      </w:pPr>
      <w:r>
        <w:t xml:space="preserve">Authentication Method</w:t>
      </w:r>
    </w:p>
    <w:p>
      <w:pPr>
        <w:pStyle w:val="FirstParagraph"/>
      </w:pPr>
      <w:r>
        <w:t xml:space="preserve">Dedicated super admin session (separate cookie scope from tenant sessions). Super admin credentials are stored in an isolated user table with no</w:t>
      </w:r>
      <w:r>
        <w:t xml:space="preserve"> </w:t>
      </w:r>
      <w:r>
        <w:rPr>
          <w:rStyle w:val="VerbatimChar"/>
        </w:rPr>
        <w:t xml:space="preserve">tenant_id</w:t>
      </w:r>
      <w:r>
        <w:t xml:space="preserve">. All super admin API calls route through</w:t>
      </w:r>
      <w:r>
        <w:t xml:space="preserve"> </w:t>
      </w:r>
      <w:r>
        <w:rPr>
          <w:rStyle w:val="VerbatimChar"/>
        </w:rPr>
        <w:t xml:space="preserve">/public/superadmin/api/</w:t>
      </w:r>
      <w:r>
        <w:t xml:space="preserve"> </w:t>
      </w:r>
      <w:r>
        <w:t xml:space="preserve">and enforce super admin session validation on every request.</w:t>
      </w:r>
    </w:p>
    <w:p>
      <w:r>
        <w:pict>
          <v:rect style="width:0;height:1.5pt" o:hralign="center" o:hrstd="t" o:hr="t"/>
        </w:pict>
      </w:r>
    </w:p>
    <w:bookmarkEnd w:id="36"/>
    <w:bookmarkEnd w:id="37"/>
    <w:bookmarkStart w:id="42" w:name="X1f666bee5fb9fbda0b6e241b2ba1d7e801db51d"/>
    <w:p>
      <w:pPr>
        <w:pStyle w:val="Heading2"/>
      </w:pPr>
      <w:r>
        <w:t xml:space="preserve">2.4 End-User Portal (</w:t>
      </w:r>
      <w:r>
        <w:rPr>
          <w:rStyle w:val="VerbatimChar"/>
        </w:rPr>
        <w:t xml:space="preserve">/public/portal/</w:t>
      </w:r>
      <w:r>
        <w:t xml:space="preserve">)</w:t>
      </w:r>
    </w:p>
    <w:bookmarkStart w:id="38" w:name="url-path-2"/>
    <w:p>
      <w:pPr>
        <w:pStyle w:val="Heading3"/>
      </w:pPr>
      <w:r>
        <w:t xml:space="preserve">URL Path</w:t>
      </w:r>
    </w:p>
    <w:p>
      <w:pPr>
        <w:pStyle w:val="FirstParagraph"/>
      </w:pPr>
      <w:r>
        <w:rPr>
          <w:rStyle w:val="VerbatimChar"/>
        </w:rPr>
        <w:t xml:space="preserve">/public/portal/</w:t>
      </w:r>
    </w:p>
    <w:bookmarkEnd w:id="38"/>
    <w:bookmarkStart w:id="39" w:name="primary-users-2"/>
    <w:p>
      <w:pPr>
        <w:pStyle w:val="Heading3"/>
      </w:pPr>
      <w:r>
        <w:t xml:space="preserve">Primary Users</w:t>
      </w:r>
    </w:p>
    <w:p>
      <w:pPr>
        <w:pStyle w:val="FirstParagraph"/>
      </w:pPr>
      <w:r>
        <w:t xml:space="preserve">Four classes of external or limited-access users who require read-only or self-service access to specific data:</w:t>
      </w:r>
    </w:p>
    <w:p>
      <w:pPr>
        <w:pStyle w:val="Compact"/>
        <w:numPr>
          <w:ilvl w:val="0"/>
          <w:numId w:val="1004"/>
        </w:numPr>
      </w:pPr>
      <w:r>
        <w:rPr>
          <w:i/>
          <w:iCs/>
        </w:rPr>
        <w:t xml:space="preserve">Employees</w:t>
      </w:r>
      <w:r>
        <w:t xml:space="preserve"> </w:t>
      </w:r>
      <w:r>
        <w:t xml:space="preserve">— access payslips, leave balances, leave applications, and attendance records via the Employee Self-Service (ESS) interface.</w:t>
      </w:r>
    </w:p>
    <w:p>
      <w:pPr>
        <w:pStyle w:val="Compact"/>
        <w:numPr>
          <w:ilvl w:val="0"/>
          <w:numId w:val="1004"/>
        </w:numPr>
      </w:pPr>
      <w:r>
        <w:rPr>
          <w:i/>
          <w:iCs/>
        </w:rPr>
        <w:t xml:space="preserve">Customers</w:t>
      </w:r>
      <w:r>
        <w:t xml:space="preserve"> </w:t>
      </w:r>
      <w:r>
        <w:t xml:space="preserve">— access account statements, invoice history, and outstanding balances.</w:t>
      </w:r>
    </w:p>
    <w:p>
      <w:pPr>
        <w:pStyle w:val="Compact"/>
        <w:numPr>
          <w:ilvl w:val="0"/>
          <w:numId w:val="1004"/>
        </w:numPr>
      </w:pPr>
      <w:r>
        <w:rPr>
          <w:i/>
          <w:iCs/>
        </w:rPr>
        <w:t xml:space="preserve">Agents</w:t>
      </w:r>
      <w:r>
        <w:t xml:space="preserve"> </w:t>
      </w:r>
      <w:r>
        <w:t xml:space="preserve">— access commission statements, target progress, and payment history via the Sales Agents portal.</w:t>
      </w:r>
    </w:p>
    <w:p>
      <w:pPr>
        <w:pStyle w:val="Compact"/>
        <w:numPr>
          <w:ilvl w:val="0"/>
          <w:numId w:val="1004"/>
        </w:numPr>
      </w:pPr>
      <w:r>
        <w:rPr>
          <w:i/>
          <w:iCs/>
        </w:rPr>
        <w:t xml:space="preserve">Farmers / Outgrowers</w:t>
      </w:r>
      <w:r>
        <w:t xml:space="preserve"> </w:t>
      </w:r>
      <w:r>
        <w:t xml:space="preserve">— access commodity intake records, input loan balances, and payment statements via the Cooperative Procurement farmer portal.</w:t>
      </w:r>
    </w:p>
    <w:bookmarkEnd w:id="39"/>
    <w:bookmarkStart w:id="40" w:name="key-capabilities-2"/>
    <w:p>
      <w:pPr>
        <w:pStyle w:val="Heading3"/>
      </w:pPr>
      <w:r>
        <w:t xml:space="preserve">Key Capabilities</w:t>
      </w:r>
    </w:p>
    <w:p>
      <w:pPr>
        <w:pStyle w:val="Compact"/>
        <w:numPr>
          <w:ilvl w:val="0"/>
          <w:numId w:val="1005"/>
        </w:numPr>
      </w:pPr>
      <w:r>
        <w:t xml:space="preserve">Read-only views of tenant data relevant to the authenticated end-user's identity.</w:t>
      </w:r>
    </w:p>
    <w:p>
      <w:pPr>
        <w:pStyle w:val="Compact"/>
        <w:numPr>
          <w:ilvl w:val="0"/>
          <w:numId w:val="1005"/>
        </w:numPr>
      </w:pPr>
      <w:r>
        <w:t xml:space="preserve">PDF download of payslips, statements, and commission summaries.</w:t>
      </w:r>
    </w:p>
    <w:p>
      <w:pPr>
        <w:pStyle w:val="Compact"/>
        <w:numPr>
          <w:ilvl w:val="0"/>
          <w:numId w:val="1005"/>
        </w:numPr>
      </w:pPr>
      <w:r>
        <w:t xml:space="preserve">Leave application submission (employees only).</w:t>
      </w:r>
    </w:p>
    <w:p>
      <w:pPr>
        <w:pStyle w:val="Compact"/>
        <w:numPr>
          <w:ilvl w:val="0"/>
          <w:numId w:val="1005"/>
        </w:numPr>
      </w:pPr>
      <w:r>
        <w:t xml:space="preserve">Responsive, mobile-optimised layout for low-bandwidth access.</w:t>
      </w:r>
    </w:p>
    <w:p>
      <w:pPr>
        <w:pStyle w:val="Compact"/>
        <w:numPr>
          <w:ilvl w:val="0"/>
          <w:numId w:val="1005"/>
        </w:numPr>
      </w:pPr>
      <w:r>
        <w:t xml:space="preserve">Localised currency and date formatting driven by the tenant's localisation profile.</w:t>
      </w:r>
    </w:p>
    <w:bookmarkEnd w:id="40"/>
    <w:bookmarkStart w:id="41" w:name="authentication-method-2"/>
    <w:p>
      <w:pPr>
        <w:pStyle w:val="Heading3"/>
      </w:pPr>
      <w:r>
        <w:t xml:space="preserve">Authentication Method</w:t>
      </w:r>
    </w:p>
    <w:p>
      <w:pPr>
        <w:pStyle w:val="FirstParagraph"/>
      </w:pPr>
      <w:r>
        <w:t xml:space="preserve">Dedicated portal session scoped to the end-user's identity class (employee, customer, agent, or farmer). Portal users authenticate with a credential set issued by the tenant. The portal session enforces the tenant context so that a portal user can only retrieve data belonging to their own tenant and their own identity record.</w:t>
      </w:r>
    </w:p>
    <w:bookmarkEnd w:id="41"/>
    <w:bookmarkEnd w:id="42"/>
    <w:bookmarkEnd w:id="43"/>
    <w:bookmarkStart w:id="52" w:name="middleware-stack"/>
    <w:p>
      <w:pPr>
        <w:pStyle w:val="Heading1"/>
      </w:pPr>
      <w:r>
        <w:t xml:space="preserve">Middleware Stack</w:t>
      </w:r>
    </w:p>
    <w:bookmarkStart w:id="44" w:name="Xce277a57138908fd87fb4d74b3db575ffb3e40f"/>
    <w:p>
      <w:pPr>
        <w:pStyle w:val="Heading2"/>
      </w:pPr>
      <w:r>
        <w:t xml:space="preserve">3.1 Request Processing Pipeline</w:t>
      </w:r>
    </w:p>
    <w:p>
      <w:pPr>
        <w:pStyle w:val="FirstParagraph"/>
      </w:pPr>
      <w:r>
        <w:t xml:space="preserve">Every page request to the Tenant Workspace (</w:t>
      </w:r>
      <w:r>
        <w:rPr>
          <w:rStyle w:val="VerbatimChar"/>
        </w:rPr>
        <w:t xml:space="preserve">/public/</w:t>
      </w:r>
      <w:r>
        <w:t xml:space="preserve">) passes through the following middleware layers in strict sequence before the page handler executes:</w:t>
      </w:r>
    </w:p>
    <w:p>
      <w:pPr>
        <w:pStyle w:val="SourceCode"/>
      </w:pPr>
      <w:r>
        <w:rPr>
          <w:rStyle w:val="VerbatimChar"/>
        </w:rPr>
        <w:t xml:space="preserve">EnsureAuthenticated</w:t>
      </w:r>
      <w:r>
        <w:br/>
      </w:r>
      <w:r>
        <w:rPr>
          <w:rStyle w:val="VerbatimChar"/>
        </w:rPr>
        <w:t xml:space="preserve">        │</w:t>
      </w:r>
      <w:r>
        <w:br/>
      </w:r>
      <w:r>
        <w:rPr>
          <w:rStyle w:val="VerbatimChar"/>
        </w:rPr>
        <w:t xml:space="preserve">        ▼</w:t>
      </w:r>
      <w:r>
        <w:br/>
      </w:r>
      <w:r>
        <w:rPr>
          <w:rStyle w:val="VerbatimChar"/>
        </w:rPr>
        <w:t xml:space="preserve">EnsureTenantSelected</w:t>
      </w:r>
      <w:r>
        <w:br/>
      </w:r>
      <w:r>
        <w:rPr>
          <w:rStyle w:val="VerbatimChar"/>
        </w:rPr>
        <w:t xml:space="preserve">        │</w:t>
      </w:r>
      <w:r>
        <w:br/>
      </w:r>
      <w:r>
        <w:rPr>
          <w:rStyle w:val="VerbatimChar"/>
        </w:rPr>
        <w:t xml:space="preserve">        ▼</w:t>
      </w:r>
      <w:r>
        <w:br/>
      </w:r>
      <w:r>
        <w:rPr>
          <w:rStyle w:val="VerbatimChar"/>
        </w:rPr>
        <w:t xml:space="preserve">EnsureTenantActive</w:t>
      </w:r>
      <w:r>
        <w:br/>
      </w:r>
      <w:r>
        <w:rPr>
          <w:rStyle w:val="VerbatimChar"/>
        </w:rPr>
        <w:t xml:space="preserve">        │</w:t>
      </w:r>
      <w:r>
        <w:br/>
      </w:r>
      <w:r>
        <w:rPr>
          <w:rStyle w:val="VerbatimChar"/>
        </w:rPr>
        <w:t xml:space="preserve">        ▼</w:t>
      </w:r>
      <w:r>
        <w:br/>
      </w:r>
      <w:r>
        <w:rPr>
          <w:rStyle w:val="VerbatimChar"/>
        </w:rPr>
        <w:t xml:space="preserve">EnsureBranchSelected</w:t>
      </w:r>
      <w:r>
        <w:br/>
      </w:r>
      <w:r>
        <w:rPr>
          <w:rStyle w:val="VerbatimChar"/>
        </w:rPr>
        <w:t xml:space="preserve">        │</w:t>
      </w:r>
      <w:r>
        <w:br/>
      </w:r>
      <w:r>
        <w:rPr>
          <w:rStyle w:val="VerbatimChar"/>
        </w:rPr>
        <w:t xml:space="preserve">        ▼</w:t>
      </w:r>
      <w:r>
        <w:br/>
      </w:r>
      <w:r>
        <w:rPr>
          <w:rStyle w:val="VerbatimChar"/>
        </w:rPr>
        <w:t xml:space="preserve">RequirePermission</w:t>
      </w:r>
      <w:r>
        <w:br/>
      </w:r>
      <w:r>
        <w:rPr>
          <w:rStyle w:val="VerbatimChar"/>
        </w:rPr>
        <w:t xml:space="preserve">        │</w:t>
      </w:r>
      <w:r>
        <w:br/>
      </w:r>
      <w:r>
        <w:rPr>
          <w:rStyle w:val="VerbatimChar"/>
        </w:rPr>
        <w:t xml:space="preserve">        ▼</w:t>
      </w:r>
      <w:r>
        <w:br/>
      </w:r>
      <w:r>
        <w:rPr>
          <w:rStyle w:val="VerbatimChar"/>
        </w:rPr>
        <w:t xml:space="preserve">   Page Handler</w:t>
      </w:r>
    </w:p>
    <w:p>
      <w:pPr>
        <w:pStyle w:val="FirstParagraph"/>
      </w:pPr>
      <w:r>
        <w:t xml:space="preserve">No page handler executes unless all five layers pass. A failure at any layer terminates the request and returns the appropriate response — no downstream layers run.</w:t>
      </w:r>
    </w:p>
    <w:p>
      <w:r>
        <w:pict>
          <v:rect style="width:0;height:1.5pt" o:hralign="center" o:hrstd="t" o:hr="t"/>
        </w:pict>
      </w:r>
    </w:p>
    <w:bookmarkEnd w:id="44"/>
    <w:bookmarkStart w:id="50" w:name="X704e40da5d854709408baf6e240af1cc0fedcae"/>
    <w:p>
      <w:pPr>
        <w:pStyle w:val="Heading2"/>
      </w:pPr>
      <w:r>
        <w:t xml:space="preserve">3.2 Layer Specifications</w:t>
      </w:r>
    </w:p>
    <w:bookmarkStart w:id="45" w:name="layer-1--ensureauthenticated"/>
    <w:p>
      <w:pPr>
        <w:pStyle w:val="Heading3"/>
      </w:pPr>
      <w:r>
        <w:t xml:space="preserve">Layer 1 — EnsureAuthenticated</w:t>
      </w:r>
    </w:p>
    <w:p>
      <w:pPr>
        <w:pStyle w:val="FirstParagraph"/>
      </w:pPr>
      <w:r>
        <w:rPr>
          <w:b/>
          <w:bCs/>
        </w:rPr>
        <w:t xml:space="preserve">What it checks:</w:t>
      </w:r>
      <w:r>
        <w:t xml:space="preserve"> </w:t>
      </w:r>
      <w:r>
        <w:t xml:space="preserve">Whether a valid, non-expired session exists for the requesting user (</w:t>
      </w:r>
      <w:r>
        <w:rPr>
          <w:rStyle w:val="VerbatimChar"/>
        </w:rPr>
        <w:t xml:space="preserve">$_SESSION['user_id']</w:t>
      </w:r>
      <w:r>
        <w:t xml:space="preserve"> </w:t>
      </w:r>
      <w:r>
        <w:t xml:space="preserve">is set and the session has not timed out).</w:t>
      </w:r>
    </w:p>
    <w:p>
      <w:pPr>
        <w:pStyle w:val="BodyText"/>
      </w:pPr>
      <w:r>
        <w:rPr>
          <w:b/>
          <w:bCs/>
        </w:rPr>
        <w:t xml:space="preserve">On failure:</w:t>
      </w:r>
      <w:r>
        <w:t xml:space="preserve"> </w:t>
      </w:r>
      <w:r>
        <w:t xml:space="preserve">Destroys the session, clears the session cookie, and redirects the user to the login page (</w:t>
      </w:r>
      <w:r>
        <w:rPr>
          <w:rStyle w:val="VerbatimChar"/>
        </w:rPr>
        <w:t xml:space="preserve">/public/login.php</w:t>
      </w:r>
      <w:r>
        <w:t xml:space="preserve">). The original requested URL is stored in</w:t>
      </w:r>
      <w:r>
        <w:t xml:space="preserve"> </w:t>
      </w:r>
      <w:r>
        <w:rPr>
          <w:rStyle w:val="VerbatimChar"/>
        </w:rPr>
        <w:t xml:space="preserve">$_SESSION['redirect_after_login']</w:t>
      </w:r>
      <w:r>
        <w:t xml:space="preserve"> </w:t>
      </w:r>
      <w:r>
        <w:t xml:space="preserve">so the user is returned to their intended destination after successful authentication.</w:t>
      </w:r>
    </w:p>
    <w:p>
      <w:pPr>
        <w:pStyle w:val="BodyText"/>
      </w:pPr>
      <w:r>
        <w:rPr>
          <w:b/>
          <w:bCs/>
        </w:rPr>
        <w:t xml:space="preserve">Data provided downstream:</w:t>
      </w:r>
      <w:r>
        <w:t xml:space="preserve"> </w:t>
      </w:r>
      <w:r>
        <w:rPr>
          <w:rStyle w:val="VerbatimChar"/>
        </w:rPr>
        <w:t xml:space="preserve">$_SESSION['user_id']</w:t>
      </w:r>
      <w:r>
        <w:t xml:space="preserve">,</w:t>
      </w:r>
      <w:r>
        <w:t xml:space="preserve"> </w:t>
      </w:r>
      <w:r>
        <w:rPr>
          <w:rStyle w:val="VerbatimChar"/>
        </w:rPr>
        <w:t xml:space="preserve">$_SESSION['user_role']</w:t>
      </w:r>
      <w:r>
        <w:t xml:space="preserve">,</w:t>
      </w:r>
      <w:r>
        <w:t xml:space="preserve"> </w:t>
      </w:r>
      <w:r>
        <w:rPr>
          <w:rStyle w:val="VerbatimChar"/>
        </w:rPr>
        <w:t xml:space="preserve">$_SESSION['user_permissions']</w:t>
      </w:r>
      <w:r>
        <w:t xml:space="preserve">, and</w:t>
      </w:r>
      <w:r>
        <w:t xml:space="preserve"> </w:t>
      </w:r>
      <w:r>
        <w:rPr>
          <w:rStyle w:val="VerbatimChar"/>
        </w:rPr>
        <w:t xml:space="preserve">$_SESSION['user_branches']</w:t>
      </w:r>
      <w:r>
        <w:t xml:space="preserve"> </w:t>
      </w:r>
      <w:r>
        <w:t xml:space="preserve">are available to all subsequent layers and the page handler.</w:t>
      </w:r>
    </w:p>
    <w:p>
      <w:r>
        <w:pict>
          <v:rect style="width:0;height:1.5pt" o:hralign="center" o:hrstd="t" o:hr="t"/>
        </w:pict>
      </w:r>
    </w:p>
    <w:bookmarkEnd w:id="45"/>
    <w:bookmarkStart w:id="46" w:name="layer-2--ensuretenantselected"/>
    <w:p>
      <w:pPr>
        <w:pStyle w:val="Heading3"/>
      </w:pPr>
      <w:r>
        <w:t xml:space="preserve">Layer 2 — EnsureTenantSelected</w:t>
      </w:r>
    </w:p>
    <w:p>
      <w:pPr>
        <w:pStyle w:val="FirstParagraph"/>
      </w:pPr>
      <w:r>
        <w:rPr>
          <w:b/>
          <w:bCs/>
        </w:rPr>
        <w:t xml:space="preserve">What it checks:</w:t>
      </w:r>
      <w:r>
        <w:t xml:space="preserve"> </w:t>
      </w:r>
      <w:r>
        <w:t xml:space="preserve">Whether</w:t>
      </w:r>
      <w:r>
        <w:t xml:space="preserve"> </w:t>
      </w:r>
      <w:r>
        <w:rPr>
          <w:rStyle w:val="VerbatimChar"/>
        </w:rPr>
        <w:t xml:space="preserve">$_SESSION['tenant_id']</w:t>
      </w:r>
      <w:r>
        <w:t xml:space="preserve"> </w:t>
      </w:r>
      <w:r>
        <w:t xml:space="preserve">is set. A tenant context must be established before any data operation can proceed.</w:t>
      </w:r>
    </w:p>
    <w:p>
      <w:pPr>
        <w:pStyle w:val="BodyText"/>
      </w:pPr>
      <w:r>
        <w:rPr>
          <w:b/>
          <w:bCs/>
        </w:rPr>
        <w:t xml:space="preserve">On failure:</w:t>
      </w:r>
      <w:r>
        <w:t xml:space="preserve"> </w:t>
      </w:r>
      <w:r>
        <w:t xml:space="preserve">Redirects the user to the tenant selection screen if their account is associated with more than one tenant, or initiates automatic tenant binding if their account has exactly 1 tenant association. If no tenant association exists, the session is destroyed and the user is redirected to the login page with an error notification.</w:t>
      </w:r>
    </w:p>
    <w:p>
      <w:pPr>
        <w:pStyle w:val="BodyText"/>
      </w:pPr>
      <w:r>
        <w:rPr>
          <w:b/>
          <w:bCs/>
        </w:rPr>
        <w:t xml:space="preserve">Data provided downstream:</w:t>
      </w:r>
      <w:r>
        <w:t xml:space="preserve"> </w:t>
      </w:r>
      <w:r>
        <w:rPr>
          <w:rStyle w:val="VerbatimChar"/>
        </w:rPr>
        <w:t xml:space="preserve">$_SESSION['tenant_id']</w:t>
      </w:r>
      <w:r>
        <w:t xml:space="preserve"> </w:t>
      </w:r>
      <w:r>
        <w:t xml:space="preserve">is confirmed as set. The</w:t>
      </w:r>
      <w:r>
        <w:t xml:space="preserve"> </w:t>
      </w:r>
      <w:r>
        <w:rPr>
          <w:rStyle w:val="VerbatimChar"/>
        </w:rPr>
        <w:t xml:space="preserve">TenantContext</w:t>
      </w:r>
      <w:r>
        <w:t xml:space="preserve"> </w:t>
      </w:r>
      <w:r>
        <w:t xml:space="preserve">object is populated with the tenant's configuration (currency, timezone, localisation profile, enabled modules, active branches) and injected into the dependency injection (DI) container for the duration of the request.</w:t>
      </w:r>
    </w:p>
    <w:p>
      <w:pPr>
        <w:pStyle w:val="BodyText"/>
      </w:pPr>
      <w:r>
        <w:rPr>
          <w:i/>
          <w:iCs/>
        </w:rPr>
        <w:t xml:space="preserve">Critical:</w:t>
      </w:r>
      <w:r>
        <w:t xml:space="preserve"> </w:t>
      </w:r>
      <w:r>
        <w:rPr>
          <w:rStyle w:val="VerbatimChar"/>
        </w:rPr>
        <w:t xml:space="preserve">tenant_id</w:t>
      </w:r>
      <w:r>
        <w:t xml:space="preserve"> </w:t>
      </w:r>
      <w:r>
        <w:t xml:space="preserve">is ALWAYS sourced from</w:t>
      </w:r>
      <w:r>
        <w:t xml:space="preserve"> </w:t>
      </w:r>
      <w:r>
        <w:rPr>
          <w:rStyle w:val="VerbatimChar"/>
        </w:rPr>
        <w:t xml:space="preserve">$_SESSION['tenant_id']</w:t>
      </w:r>
      <w:r>
        <w:t xml:space="preserve">. It is never read from</w:t>
      </w:r>
      <w:r>
        <w:t xml:space="preserve"> </w:t>
      </w:r>
      <w:r>
        <w:rPr>
          <w:rStyle w:val="VerbatimChar"/>
        </w:rPr>
        <w:t xml:space="preserve">$_GET</w:t>
      </w:r>
      <w:r>
        <w:t xml:space="preserve">,</w:t>
      </w:r>
      <w:r>
        <w:t xml:space="preserve"> </w:t>
      </w:r>
      <w:r>
        <w:rPr>
          <w:rStyle w:val="VerbatimChar"/>
        </w:rPr>
        <w:t xml:space="preserve">$_POST</w:t>
      </w:r>
      <w:r>
        <w:t xml:space="preserve">,</w:t>
      </w:r>
      <w:r>
        <w:t xml:space="preserve"> </w:t>
      </w:r>
      <w:r>
        <w:rPr>
          <w:rStyle w:val="VerbatimChar"/>
        </w:rPr>
        <w:t xml:space="preserve">$_COOKIE</w:t>
      </w:r>
      <w:r>
        <w:t xml:space="preserve">, or any other request parameter. Any attempt to override</w:t>
      </w:r>
      <w:r>
        <w:t xml:space="preserve"> </w:t>
      </w:r>
      <w:r>
        <w:rPr>
          <w:rStyle w:val="VerbatimChar"/>
        </w:rPr>
        <w:t xml:space="preserve">tenant_id</w:t>
      </w:r>
      <w:r>
        <w:t xml:space="preserve"> </w:t>
      </w:r>
      <w:r>
        <w:t xml:space="preserve">via a request parameter shall be silently ignored — the session value is authoritative.</w:t>
      </w:r>
    </w:p>
    <w:p>
      <w:r>
        <w:pict>
          <v:rect style="width:0;height:1.5pt" o:hralign="center" o:hrstd="t" o:hr="t"/>
        </w:pict>
      </w:r>
    </w:p>
    <w:bookmarkEnd w:id="46"/>
    <w:bookmarkStart w:id="47" w:name="layer-3--ensuretenantactive"/>
    <w:p>
      <w:pPr>
        <w:pStyle w:val="Heading3"/>
      </w:pPr>
      <w:r>
        <w:t xml:space="preserve">Layer 3 — EnsureTenantActive</w:t>
      </w:r>
    </w:p>
    <w:p>
      <w:pPr>
        <w:pStyle w:val="FirstParagraph"/>
      </w:pPr>
      <w:r>
        <w:rPr>
          <w:b/>
          <w:bCs/>
        </w:rPr>
        <w:t xml:space="preserve">What it checks:</w:t>
      </w:r>
      <w:r>
        <w:t xml:space="preserve"> </w:t>
      </w:r>
      <w:r>
        <w:t xml:space="preserve">Whether the tenant's lifecycle state permits login. The tenant's</w:t>
      </w:r>
      <w:r>
        <w:t xml:space="preserve"> </w:t>
      </w:r>
      <w:r>
        <w:rPr>
          <w:rStyle w:val="VerbatimChar"/>
        </w:rPr>
        <w:t xml:space="preserve">status</w:t>
      </w:r>
      <w:r>
        <w:t xml:space="preserve"> </w:t>
      </w:r>
      <w:r>
        <w:t xml:space="preserve">field must be one of:</w:t>
      </w:r>
      <w:r>
        <w:t xml:space="preserve"> </w:t>
      </w:r>
      <w:r>
        <w:rPr>
          <w:rStyle w:val="VerbatimChar"/>
        </w:rPr>
        <w:t xml:space="preserve">trial</w:t>
      </w:r>
      <w:r>
        <w:t xml:space="preserve">,</w:t>
      </w:r>
      <w:r>
        <w:t xml:space="preserve"> </w:t>
      </w:r>
      <w:r>
        <w:rPr>
          <w:rStyle w:val="VerbatimChar"/>
        </w:rPr>
        <w:t xml:space="preserve">active</w:t>
      </w:r>
      <w:r>
        <w:t xml:space="preserve">.</w:t>
      </w:r>
    </w:p>
    <w:p>
      <w:pPr>
        <w:pStyle w:val="BodyText"/>
      </w:pPr>
      <w:r>
        <w:rPr>
          <w:b/>
          <w:bCs/>
        </w:rPr>
        <w:t xml:space="preserve">On failure:</w:t>
      </w:r>
      <w:r>
        <w:t xml:space="preserve"> </w:t>
      </w:r>
      <w:r>
        <w:t xml:space="preserve">The behaviour depends on the tenant's lifecycle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Tenant State</w:t>
            </w:r>
          </w:p>
        </w:tc>
        <w:tc>
          <w:tcPr/>
          <w:p>
            <w:pPr>
              <w:pStyle w:val="Compact"/>
            </w:pPr>
            <w:r>
              <w:t xml:space="preserve">Response</w:t>
            </w:r>
          </w:p>
        </w:tc>
      </w:tr>
      <w:tr>
        <w:tc>
          <w:tcPr/>
          <w:p>
            <w:pPr>
              <w:pStyle w:val="Compact"/>
            </w:pPr>
            <w:r>
              <w:rPr>
                <w:rStyle w:val="VerbatimChar"/>
              </w:rPr>
              <w:t xml:space="preserve">overdue</w:t>
            </w:r>
          </w:p>
        </w:tc>
        <w:tc>
          <w:tcPr/>
          <w:p>
            <w:pPr>
              <w:pStyle w:val="Compact"/>
            </w:pPr>
            <w:r>
              <w:t xml:space="preserve">Redirects to a payment overdue notice page. The user cannot proceed until the outstanding balance is settled.</w:t>
            </w:r>
          </w:p>
        </w:tc>
      </w:tr>
      <w:tr>
        <w:tc>
          <w:tcPr/>
          <w:p>
            <w:pPr>
              <w:pStyle w:val="Compact"/>
            </w:pPr>
            <w:r>
              <w:rPr>
                <w:rStyle w:val="VerbatimChar"/>
              </w:rPr>
              <w:t xml:space="preserve">suspended</w:t>
            </w:r>
          </w:p>
        </w:tc>
        <w:tc>
          <w:tcPr/>
          <w:p>
            <w:pPr>
              <w:pStyle w:val="Compact"/>
            </w:pPr>
            <w:r>
              <w:t xml:space="preserve">Redirects to a suspension notice page with a contact prompt for the Chwezi support team.</w:t>
            </w:r>
          </w:p>
        </w:tc>
      </w:tr>
      <w:tr>
        <w:tc>
          <w:tcPr/>
          <w:p>
            <w:pPr>
              <w:pStyle w:val="Compact"/>
            </w:pPr>
            <w:r>
              <w:rPr>
                <w:rStyle w:val="VerbatimChar"/>
              </w:rPr>
              <w:t xml:space="preserve">archived</w:t>
            </w:r>
          </w:p>
        </w:tc>
        <w:tc>
          <w:tcPr/>
          <w:p>
            <w:pPr>
              <w:pStyle w:val="Compact"/>
            </w:pPr>
            <w:r>
              <w:t xml:space="preserve">Redirects to an archived account notice. No login is permitted.</w:t>
            </w:r>
          </w:p>
        </w:tc>
      </w:tr>
    </w:tbl>
    <w:p>
      <w:pPr>
        <w:pStyle w:val="BodyText"/>
      </w:pPr>
      <w:r>
        <w:rPr>
          <w:b/>
          <w:bCs/>
        </w:rPr>
        <w:t xml:space="preserve">Data provided downstream:</w:t>
      </w:r>
      <w:r>
        <w:t xml:space="preserve"> </w:t>
      </w:r>
      <w:r>
        <w:t xml:space="preserve">Confirmed that the tenant is in an active-access state. The</w:t>
      </w:r>
      <w:r>
        <w:t xml:space="preserve"> </w:t>
      </w:r>
      <w:r>
        <w:rPr>
          <w:rStyle w:val="VerbatimChar"/>
        </w:rPr>
        <w:t xml:space="preserve">TenantContext</w:t>
      </w:r>
      <w:r>
        <w:t xml:space="preserve"> </w:t>
      </w:r>
      <w:r>
        <w:t xml:space="preserve">object is enriched with the tenant's subscription plan and the list of activated module codes.</w:t>
      </w:r>
    </w:p>
    <w:p>
      <w:r>
        <w:pict>
          <v:rect style="width:0;height:1.5pt" o:hralign="center" o:hrstd="t" o:hr="t"/>
        </w:pict>
      </w:r>
    </w:p>
    <w:bookmarkEnd w:id="47"/>
    <w:bookmarkStart w:id="48" w:name="layer-4--ensurebranchselected"/>
    <w:p>
      <w:pPr>
        <w:pStyle w:val="Heading3"/>
      </w:pPr>
      <w:r>
        <w:t xml:space="preserve">Layer 4 — EnsureBranchSelected</w:t>
      </w:r>
    </w:p>
    <w:p>
      <w:pPr>
        <w:pStyle w:val="FirstParagraph"/>
      </w:pPr>
      <w:r>
        <w:rPr>
          <w:b/>
          <w:bCs/>
        </w:rPr>
        <w:t xml:space="preserve">What it checks:</w:t>
      </w:r>
      <w:r>
        <w:t xml:space="preserve"> </w:t>
      </w:r>
      <w:r>
        <w:t xml:space="preserve">Whether</w:t>
      </w:r>
      <w:r>
        <w:t xml:space="preserve"> </w:t>
      </w:r>
      <w:r>
        <w:rPr>
          <w:rStyle w:val="VerbatimChar"/>
        </w:rPr>
        <w:t xml:space="preserve">$_SESSION['branch_id']</w:t>
      </w:r>
      <w:r>
        <w:t xml:space="preserve"> </w:t>
      </w:r>
      <w:r>
        <w:t xml:space="preserve">is set and whether the branch belongs to the authenticated tenant.</w:t>
      </w:r>
    </w:p>
    <w:p>
      <w:pPr>
        <w:pStyle w:val="BodyText"/>
      </w:pPr>
      <w:r>
        <w:rPr>
          <w:b/>
          <w:bCs/>
        </w:rPr>
        <w:t xml:space="preserve">On failure:</w:t>
      </w:r>
      <w:r>
        <w:t xml:space="preserve"> </w:t>
      </w:r>
      <w:r>
        <w:t xml:space="preserve">Redirects the user to the branch selection screen. If the user's RBAC profile restricts them to specific branches, only those branches appear in the selection list. If the user is restricted to a single branch, the system auto-selects it and continues without displaying the selection screen.</w:t>
      </w:r>
    </w:p>
    <w:p>
      <w:pPr>
        <w:pStyle w:val="BodyText"/>
      </w:pPr>
      <w:r>
        <w:rPr>
          <w:b/>
          <w:bCs/>
        </w:rPr>
        <w:t xml:space="preserve">Data provided downstream:</w:t>
      </w:r>
      <w:r>
        <w:t xml:space="preserve"> </w:t>
      </w:r>
      <w:r>
        <w:rPr>
          <w:rStyle w:val="VerbatimChar"/>
        </w:rPr>
        <w:t xml:space="preserve">$_SESSION['branch_id']</w:t>
      </w:r>
      <w:r>
        <w:t xml:space="preserve"> </w:t>
      </w:r>
      <w:r>
        <w:t xml:space="preserve">is confirmed as set and validated against</w:t>
      </w:r>
      <w:r>
        <w:t xml:space="preserve"> </w:t>
      </w:r>
      <w:r>
        <w:rPr>
          <w:rStyle w:val="VerbatimChar"/>
        </w:rPr>
        <w:t xml:space="preserve">$_SESSION['tenant_id']</w:t>
      </w:r>
      <w:r>
        <w:t xml:space="preserve">. All subsequent data operations scope their queries to the selected branch unless the user's role grants cross-branch visibility (e.g., management reports).</w:t>
      </w:r>
    </w:p>
    <w:p>
      <w:r>
        <w:pict>
          <v:rect style="width:0;height:1.5pt" o:hralign="center" o:hrstd="t" o:hr="t"/>
        </w:pict>
      </w:r>
    </w:p>
    <w:bookmarkEnd w:id="48"/>
    <w:bookmarkStart w:id="49" w:name="layer-5--requirepermission"/>
    <w:p>
      <w:pPr>
        <w:pStyle w:val="Heading3"/>
      </w:pPr>
      <w:r>
        <w:t xml:space="preserve">Layer 5 — RequirePermission</w:t>
      </w:r>
    </w:p>
    <w:p>
      <w:pPr>
        <w:pStyle w:val="FirstParagraph"/>
      </w:pPr>
      <w:r>
        <w:rPr>
          <w:b/>
          <w:bCs/>
        </w:rPr>
        <w:t xml:space="preserve">What it checks:</w:t>
      </w:r>
      <w:r>
        <w:t xml:space="preserve"> </w:t>
      </w:r>
      <w:r>
        <w:t xml:space="preserve">Whether the authenticated user holds the specific permission code required by the requested page. Each page declares its required permission constant (e.g.,</w:t>
      </w:r>
      <w:r>
        <w:t xml:space="preserve"> </w:t>
      </w:r>
      <w:r>
        <w:rPr>
          <w:rStyle w:val="VerbatimChar"/>
        </w:rPr>
        <w:t xml:space="preserve">PERM_SALES_INVOICE_CREATE</w:t>
      </w:r>
      <w:r>
        <w:t xml:space="preserve">). The middleware resolves this constant against</w:t>
      </w:r>
      <w:r>
        <w:t xml:space="preserve"> </w:t>
      </w:r>
      <w:r>
        <w:rPr>
          <w:rStyle w:val="VerbatimChar"/>
        </w:rPr>
        <w:t xml:space="preserve">$_SESSION['user_permissions']</w:t>
      </w:r>
      <w:r>
        <w:t xml:space="preserve">.</w:t>
      </w:r>
    </w:p>
    <w:p>
      <w:pPr>
        <w:pStyle w:val="BodyText"/>
      </w:pPr>
      <w:r>
        <w:rPr>
          <w:b/>
          <w:bCs/>
        </w:rPr>
        <w:t xml:space="preserve">On failure:</w:t>
      </w:r>
      <w:r>
        <w:t xml:space="preserve"> </w:t>
      </w:r>
      <w:r>
        <w:t xml:space="preserve">Returns an HTTP 403 Forbidden response with a standardised "Access Denied" page. The user is not redirected to the login page — they remain authenticated but unauthorised for this specific resource.</w:t>
      </w:r>
    </w:p>
    <w:p>
      <w:pPr>
        <w:pStyle w:val="BodyText"/>
      </w:pPr>
      <w:r>
        <w:rPr>
          <w:b/>
          <w:bCs/>
        </w:rPr>
        <w:t xml:space="preserve">Data provided downstream:</w:t>
      </w:r>
      <w:r>
        <w:t xml:space="preserve"> </w:t>
      </w:r>
      <w:r>
        <w:t xml:space="preserve">Confirmed authorisation. The page handler receives the full request context and may proceed with data access and rendering.</w:t>
      </w:r>
    </w:p>
    <w:p>
      <w:r>
        <w:pict>
          <v:rect style="width:0;height:1.5pt" o:hralign="center" o:hrstd="t" o:hr="t"/>
        </w:pict>
      </w:r>
    </w:p>
    <w:bookmarkEnd w:id="49"/>
    <w:bookmarkEnd w:id="50"/>
    <w:bookmarkStart w:id="51" w:name="X5585cc1956af54b2482d5912ca72f17ecbb0471"/>
    <w:p>
      <w:pPr>
        <w:pStyle w:val="Heading2"/>
      </w:pPr>
      <w:r>
        <w:t xml:space="preserve">3.3 TenantContext Injection</w:t>
      </w:r>
    </w:p>
    <w:p>
      <w:pPr>
        <w:pStyle w:val="FirstParagraph"/>
      </w:pPr>
      <w:r>
        <w:t xml:space="preserve">The</w:t>
      </w:r>
      <w:r>
        <w:t xml:space="preserve"> </w:t>
      </w:r>
      <w:r>
        <w:rPr>
          <w:rStyle w:val="VerbatimChar"/>
        </w:rPr>
        <w:t xml:space="preserve">TenantContext</w:t>
      </w:r>
      <w:r>
        <w:t xml:space="preserve"> </w:t>
      </w:r>
      <w:r>
        <w:t xml:space="preserve">class is populated during the</w:t>
      </w:r>
      <w:r>
        <w:t xml:space="preserve"> </w:t>
      </w:r>
      <w:r>
        <w:rPr>
          <w:rStyle w:val="VerbatimChar"/>
        </w:rPr>
        <w:t xml:space="preserve">EnsureTenantSelected</w:t>
      </w:r>
      <w:r>
        <w:t xml:space="preserve"> </w:t>
      </w:r>
      <w:r>
        <w:t xml:space="preserve">and</w:t>
      </w:r>
      <w:r>
        <w:t xml:space="preserve"> </w:t>
      </w:r>
      <w:r>
        <w:rPr>
          <w:rStyle w:val="VerbatimChar"/>
        </w:rPr>
        <w:t xml:space="preserve">EnsureTenantActive</w:t>
      </w:r>
      <w:r>
        <w:t xml:space="preserve"> </w:t>
      </w:r>
      <w:r>
        <w:t xml:space="preserve">layers and registered as a singleton in the PHP-DI 7.0 container for the lifetime of the request. Every service in</w:t>
      </w:r>
      <w:r>
        <w:t xml:space="preserve"> </w:t>
      </w:r>
      <w:r>
        <w:rPr>
          <w:rStyle w:val="VerbatimChar"/>
        </w:rPr>
        <w:t xml:space="preserve">src/Services/[Domain]/</w:t>
      </w:r>
      <w:r>
        <w:t xml:space="preserve"> </w:t>
      </w:r>
      <w:r>
        <w:t xml:space="preserve">receives</w:t>
      </w:r>
      <w:r>
        <w:t xml:space="preserve"> </w:t>
      </w:r>
      <w:r>
        <w:rPr>
          <w:rStyle w:val="VerbatimChar"/>
        </w:rPr>
        <w:t xml:space="preserve">TenantContext</w:t>
      </w:r>
      <w:r>
        <w:t xml:space="preserve"> </w:t>
      </w:r>
      <w:r>
        <w:t xml:space="preserve">via constructor injection. The context exposes:</w:t>
      </w:r>
    </w:p>
    <w:p>
      <w:pPr>
        <w:pStyle w:val="Compact"/>
        <w:numPr>
          <w:ilvl w:val="0"/>
          <w:numId w:val="1006"/>
        </w:numPr>
      </w:pPr>
      <w:r>
        <w:rPr>
          <w:rStyle w:val="VerbatimChar"/>
        </w:rPr>
        <w:t xml:space="preserve">getTenantId()</w:t>
      </w:r>
      <w:r>
        <w:t xml:space="preserve"> </w:t>
      </w:r>
      <w:r>
        <w:t xml:space="preserve">— the authoritative</w:t>
      </w:r>
      <w:r>
        <w:t xml:space="preserve"> </w:t>
      </w:r>
      <w:r>
        <w:rPr>
          <w:rStyle w:val="VerbatimChar"/>
        </w:rPr>
        <w:t xml:space="preserve">tenant_id</w:t>
      </w:r>
      <w:r>
        <w:t xml:space="preserve"> </w:t>
      </w:r>
      <w:r>
        <w:t xml:space="preserve">for all SQL queries.</w:t>
      </w:r>
    </w:p>
    <w:p>
      <w:pPr>
        <w:pStyle w:val="Compact"/>
        <w:numPr>
          <w:ilvl w:val="0"/>
          <w:numId w:val="1006"/>
        </w:numPr>
      </w:pPr>
      <w:r>
        <w:rPr>
          <w:rStyle w:val="VerbatimChar"/>
        </w:rPr>
        <w:t xml:space="preserve">getCurrency()</w:t>
      </w:r>
      <w:r>
        <w:t xml:space="preserve"> </w:t>
      </w:r>
      <w:r>
        <w:t xml:space="preserve">— the tenant's configured currency code (ISO 4217).</w:t>
      </w:r>
    </w:p>
    <w:p>
      <w:pPr>
        <w:pStyle w:val="Compact"/>
        <w:numPr>
          <w:ilvl w:val="0"/>
          <w:numId w:val="1006"/>
        </w:numPr>
      </w:pPr>
      <w:r>
        <w:rPr>
          <w:rStyle w:val="VerbatimChar"/>
        </w:rPr>
        <w:t xml:space="preserve">getTimezone()</w:t>
      </w:r>
      <w:r>
        <w:t xml:space="preserve"> </w:t>
      </w:r>
      <w:r>
        <w:t xml:space="preserve">— the tenant's timezone identifier.</w:t>
      </w:r>
    </w:p>
    <w:p>
      <w:pPr>
        <w:pStyle w:val="Compact"/>
        <w:numPr>
          <w:ilvl w:val="0"/>
          <w:numId w:val="1006"/>
        </w:numPr>
      </w:pPr>
      <w:r>
        <w:rPr>
          <w:rStyle w:val="VerbatimChar"/>
        </w:rPr>
        <w:t xml:space="preserve">getLocalisationProfile()</w:t>
      </w:r>
      <w:r>
        <w:t xml:space="preserve"> </w:t>
      </w:r>
      <w:r>
        <w:t xml:space="preserve">— the full localisation configuration object.</w:t>
      </w:r>
    </w:p>
    <w:p>
      <w:pPr>
        <w:pStyle w:val="Compact"/>
        <w:numPr>
          <w:ilvl w:val="0"/>
          <w:numId w:val="1006"/>
        </w:numPr>
      </w:pPr>
      <w:r>
        <w:rPr>
          <w:rStyle w:val="VerbatimChar"/>
        </w:rPr>
        <w:t xml:space="preserve">isModuleActive(string $moduleCode)</w:t>
      </w:r>
      <w:r>
        <w:t xml:space="preserve"> </w:t>
      </w:r>
      <w:r>
        <w:t xml:space="preserve">— returns</w:t>
      </w:r>
      <w:r>
        <w:t xml:space="preserve"> </w:t>
      </w:r>
      <w:r>
        <w:rPr>
          <w:rStyle w:val="VerbatimChar"/>
        </w:rPr>
        <w:t xml:space="preserve">true</w:t>
      </w:r>
      <w:r>
        <w:t xml:space="preserve"> </w:t>
      </w:r>
      <w:r>
        <w:t xml:space="preserve">if the given module code is activated for this tenant.</w:t>
      </w:r>
    </w:p>
    <w:p>
      <w:pPr>
        <w:pStyle w:val="Compact"/>
        <w:numPr>
          <w:ilvl w:val="0"/>
          <w:numId w:val="1006"/>
        </w:numPr>
      </w:pPr>
      <w:r>
        <w:rPr>
          <w:rStyle w:val="VerbatimChar"/>
        </w:rPr>
        <w:t xml:space="preserve">getBranchId()</w:t>
      </w:r>
      <w:r>
        <w:t xml:space="preserve"> </w:t>
      </w:r>
      <w:r>
        <w:t xml:space="preserve">— the session-active branch identifier.</w:t>
      </w:r>
    </w:p>
    <w:p>
      <w:pPr>
        <w:pStyle w:val="FirstParagraph"/>
      </w:pPr>
      <w:r>
        <w:t xml:space="preserve">No service may construct or override a</w:t>
      </w:r>
      <w:r>
        <w:t xml:space="preserve"> </w:t>
      </w:r>
      <w:r>
        <w:rPr>
          <w:rStyle w:val="VerbatimChar"/>
        </w:rPr>
        <w:t xml:space="preserve">TenantContext</w:t>
      </w:r>
      <w:r>
        <w:t xml:space="preserve"> </w:t>
      </w:r>
      <w:r>
        <w:t xml:space="preserve">from request parameters. The only authorised source is the session-validated middleware pipeline.</w:t>
      </w:r>
    </w:p>
    <w:bookmarkEnd w:id="51"/>
    <w:bookmarkEnd w:id="52"/>
    <w:bookmarkStart w:id="60" w:name="service-layer-architecture"/>
    <w:p>
      <w:pPr>
        <w:pStyle w:val="Heading1"/>
      </w:pPr>
      <w:r>
        <w:t xml:space="preserve">Service Layer Architecture</w:t>
      </w:r>
    </w:p>
    <w:bookmarkStart w:id="53" w:name="X2c5fb3b248eec35d5e7d107852cc081da612304"/>
    <w:p>
      <w:pPr>
        <w:pStyle w:val="Heading2"/>
      </w:pPr>
      <w:r>
        <w:t xml:space="preserve">4.1 Principle</w:t>
      </w:r>
    </w:p>
    <w:p>
      <w:pPr>
        <w:pStyle w:val="FirstParagraph"/>
      </w:pPr>
      <w:r>
        <w:t xml:space="preserve">All business logic resides in the service layer. No page handler, API endpoint, or middleware layer shall contain domain logic directly. This separation ensures that business rules are testable in isolation (via PHPUnit 11.2), reusable across web and mobile entry points, and auditable as distinct units during code review.</w:t>
      </w:r>
    </w:p>
    <w:bookmarkEnd w:id="53"/>
    <w:bookmarkStart w:id="54" w:name="X38032187a2291f945b0bd1409a6d4867c469240"/>
    <w:p>
      <w:pPr>
        <w:pStyle w:val="Heading2"/>
      </w:pPr>
      <w:r>
        <w:t xml:space="preserve">4.2 Service Directory Structure</w:t>
      </w:r>
    </w:p>
    <w:p>
      <w:pPr>
        <w:pStyle w:val="FirstParagraph"/>
      </w:pPr>
      <w:r>
        <w:t xml:space="preserve">Services are organised by domain under</w:t>
      </w:r>
      <w:r>
        <w:t xml:space="preserve"> </w:t>
      </w:r>
      <w:r>
        <w:rPr>
          <w:rStyle w:val="VerbatimChar"/>
        </w:rPr>
        <w:t xml:space="preserve">src/Services/</w:t>
      </w:r>
      <w:r>
        <w:t xml:space="preserve">:</w:t>
      </w:r>
    </w:p>
    <w:p>
      <w:pPr>
        <w:pStyle w:val="SourceCode"/>
      </w:pPr>
      <w:r>
        <w:rPr>
          <w:rStyle w:val="VerbatimChar"/>
        </w:rPr>
        <w:t xml:space="preserve">src/</w:t>
      </w:r>
      <w:r>
        <w:br/>
      </w:r>
      <w:r>
        <w:rPr>
          <w:rStyle w:val="VerbatimChar"/>
        </w:rPr>
        <w:t xml:space="preserve">└── Services/</w:t>
      </w:r>
      <w:r>
        <w:br/>
      </w:r>
      <w:r>
        <w:rPr>
          <w:rStyle w:val="VerbatimChar"/>
        </w:rPr>
        <w:t xml:space="preserve">    ├── Accounting/</w:t>
      </w:r>
      <w:r>
        <w:br/>
      </w:r>
      <w:r>
        <w:rPr>
          <w:rStyle w:val="VerbatimChar"/>
        </w:rPr>
        <w:t xml:space="preserve">    │   ├── GeneralLedgerService.php</w:t>
      </w:r>
      <w:r>
        <w:br/>
      </w:r>
      <w:r>
        <w:rPr>
          <w:rStyle w:val="VerbatimChar"/>
        </w:rPr>
        <w:t xml:space="preserve">    │   ├── AccountsPayableService.php</w:t>
      </w:r>
      <w:r>
        <w:br/>
      </w:r>
      <w:r>
        <w:rPr>
          <w:rStyle w:val="VerbatimChar"/>
        </w:rPr>
        <w:t xml:space="preserve">    │   └── ...</w:t>
      </w:r>
      <w:r>
        <w:br/>
      </w:r>
      <w:r>
        <w:rPr>
          <w:rStyle w:val="VerbatimChar"/>
        </w:rPr>
        <w:t xml:space="preserve">    ├── Inventory/</w:t>
      </w:r>
      <w:r>
        <w:br/>
      </w:r>
      <w:r>
        <w:rPr>
          <w:rStyle w:val="VerbatimChar"/>
        </w:rPr>
        <w:t xml:space="preserve">    │   ├── StockService.php</w:t>
      </w:r>
      <w:r>
        <w:br/>
      </w:r>
      <w:r>
        <w:rPr>
          <w:rStyle w:val="VerbatimChar"/>
        </w:rPr>
        <w:t xml:space="preserve">    │   └── ...</w:t>
      </w:r>
      <w:r>
        <w:br/>
      </w:r>
      <w:r>
        <w:rPr>
          <w:rStyle w:val="VerbatimChar"/>
        </w:rPr>
        <w:t xml:space="preserve">    ├── Sales/</w:t>
      </w:r>
      <w:r>
        <w:br/>
      </w:r>
      <w:r>
        <w:rPr>
          <w:rStyle w:val="VerbatimChar"/>
        </w:rPr>
        <w:t xml:space="preserve">    │   ├── InvoiceService.php</w:t>
      </w:r>
      <w:r>
        <w:br/>
      </w:r>
      <w:r>
        <w:rPr>
          <w:rStyle w:val="VerbatimChar"/>
        </w:rPr>
        <w:t xml:space="preserve">    │   └── ...</w:t>
      </w:r>
      <w:r>
        <w:br/>
      </w:r>
      <w:r>
        <w:rPr>
          <w:rStyle w:val="VerbatimChar"/>
        </w:rPr>
        <w:t xml:space="preserve">    ├── Procurement/</w:t>
      </w:r>
      <w:r>
        <w:br/>
      </w:r>
      <w:r>
        <w:rPr>
          <w:rStyle w:val="VerbatimChar"/>
        </w:rPr>
        <w:t xml:space="preserve">    │   └── ...</w:t>
      </w:r>
      <w:r>
        <w:br/>
      </w:r>
      <w:r>
        <w:rPr>
          <w:rStyle w:val="VerbatimChar"/>
        </w:rPr>
        <w:t xml:space="preserve">    ├── HR/</w:t>
      </w:r>
      <w:r>
        <w:br/>
      </w:r>
      <w:r>
        <w:rPr>
          <w:rStyle w:val="VerbatimChar"/>
        </w:rPr>
        <w:t xml:space="preserve">    │   └── ...</w:t>
      </w:r>
      <w:r>
        <w:br/>
      </w:r>
      <w:r>
        <w:rPr>
          <w:rStyle w:val="VerbatimChar"/>
        </w:rPr>
        <w:t xml:space="preserve">    ├── Manufacturing/</w:t>
      </w:r>
      <w:r>
        <w:br/>
      </w:r>
      <w:r>
        <w:rPr>
          <w:rStyle w:val="VerbatimChar"/>
        </w:rPr>
        <w:t xml:space="preserve">    │   └── ...</w:t>
      </w:r>
      <w:r>
        <w:br/>
      </w:r>
      <w:r>
        <w:rPr>
          <w:rStyle w:val="VerbatimChar"/>
        </w:rPr>
        <w:t xml:space="preserve">    ├── Cooperative/</w:t>
      </w:r>
      <w:r>
        <w:br/>
      </w:r>
      <w:r>
        <w:rPr>
          <w:rStyle w:val="VerbatimChar"/>
        </w:rPr>
        <w:t xml:space="preserve">    │   └── ...</w:t>
      </w:r>
      <w:r>
        <w:br/>
      </w:r>
      <w:r>
        <w:rPr>
          <w:rStyle w:val="VerbatimChar"/>
        </w:rPr>
        <w:t xml:space="preserve">    ├── Auth/</w:t>
      </w:r>
      <w:r>
        <w:br/>
      </w:r>
      <w:r>
        <w:rPr>
          <w:rStyle w:val="VerbatimChar"/>
        </w:rPr>
        <w:t xml:space="preserve">    │   └── ...</w:t>
      </w:r>
      <w:r>
        <w:br/>
      </w:r>
      <w:r>
        <w:rPr>
          <w:rStyle w:val="VerbatimChar"/>
        </w:rPr>
        <w:t xml:space="preserve">    └── Platform/</w:t>
      </w:r>
      <w:r>
        <w:br/>
      </w:r>
      <w:r>
        <w:rPr>
          <w:rStyle w:val="VerbatimChar"/>
        </w:rPr>
        <w:t xml:space="preserve">        ├── TenantContext.php</w:t>
      </w:r>
      <w:r>
        <w:br/>
      </w:r>
      <w:r>
        <w:rPr>
          <w:rStyle w:val="VerbatimChar"/>
        </w:rPr>
        <w:t xml:space="preserve">        ├── ModuleGate.php</w:t>
      </w:r>
      <w:r>
        <w:br/>
      </w:r>
      <w:r>
        <w:rPr>
          <w:rStyle w:val="VerbatimChar"/>
        </w:rPr>
        <w:t xml:space="preserve">        └── ...</w:t>
      </w:r>
    </w:p>
    <w:p>
      <w:pPr>
        <w:pStyle w:val="FirstParagraph"/>
      </w:pPr>
      <w:r>
        <w:t xml:space="preserve">Each domain directory maps directly to the corresponding module code. Services within a domain directory may call other services within the same domain. Cross-domain calls (e.g.,</w:t>
      </w:r>
      <w:r>
        <w:t xml:space="preserve"> </w:t>
      </w:r>
      <w:r>
        <w:rPr>
          <w:rStyle w:val="VerbatimChar"/>
        </w:rPr>
        <w:t xml:space="preserve">InvoiceService</w:t>
      </w:r>
      <w:r>
        <w:t xml:space="preserve"> </w:t>
      </w:r>
      <w:r>
        <w:t xml:space="preserve">calling</w:t>
      </w:r>
      <w:r>
        <w:t xml:space="preserve"> </w:t>
      </w:r>
      <w:r>
        <w:rPr>
          <w:rStyle w:val="VerbatimChar"/>
        </w:rPr>
        <w:t xml:space="preserve">GeneralLedgerService</w:t>
      </w:r>
      <w:r>
        <w:t xml:space="preserve"> </w:t>
      </w:r>
      <w:r>
        <w:t xml:space="preserve">to post a receivable) are explicitly modelled as inter-service dependencies registered in the container.</w:t>
      </w:r>
    </w:p>
    <w:bookmarkEnd w:id="54"/>
    <w:bookmarkStart w:id="55" w:name="X074b9be54397036c88c5485102f7b689671f019"/>
    <w:p>
      <w:pPr>
        <w:pStyle w:val="Heading2"/>
      </w:pPr>
      <w:r>
        <w:t xml:space="preserve">4.3 Dependency Injection Container</w:t>
      </w:r>
    </w:p>
    <w:p>
      <w:pPr>
        <w:pStyle w:val="FirstParagraph"/>
      </w:pPr>
      <w:r>
        <w:t xml:space="preserve">All services are registered in</w:t>
      </w:r>
      <w:r>
        <w:t xml:space="preserve"> </w:t>
      </w:r>
      <w:r>
        <w:rPr>
          <w:rStyle w:val="VerbatimChar"/>
        </w:rPr>
        <w:t xml:space="preserve">bootstrap/container.php</w:t>
      </w:r>
      <w:r>
        <w:t xml:space="preserve"> </w:t>
      </w:r>
      <w:r>
        <w:t xml:space="preserve">using PHP-DI 7.0. The container is the single authorised mechanism for resolving service instances. Direct</w:t>
      </w:r>
      <w:r>
        <w:t xml:space="preserve"> </w:t>
      </w:r>
      <w:r>
        <w:rPr>
          <w:rStyle w:val="VerbatimChar"/>
        </w:rPr>
        <w:t xml:space="preserve">new ServiceClass()</w:t>
      </w:r>
      <w:r>
        <w:t xml:space="preserve"> </w:t>
      </w:r>
      <w:r>
        <w:t xml:space="preserve">instantiation outside the container is prohibited.</w:t>
      </w:r>
    </w:p>
    <w:p>
      <w:pPr>
        <w:pStyle w:val="BodyText"/>
      </w:pPr>
      <w:r>
        <w:t xml:space="preserve">Registration follows the constructor injection pattern:</w:t>
      </w:r>
    </w:p>
    <w:p>
      <w:pPr>
        <w:pStyle w:val="SourceCode"/>
      </w:pPr>
      <w:r>
        <w:rPr>
          <w:rStyle w:val="CommentTok"/>
        </w:rPr>
        <w:t xml:space="preserve">// bootstrap/container.php (illustrative — prospective)</w:t>
      </w:r>
      <w:r>
        <w:br/>
      </w:r>
      <w:r>
        <w:rPr>
          <w:rStyle w:val="VariableTok"/>
        </w:rPr>
        <w:t xml:space="preserve">$container</w:t>
      </w:r>
      <w:r>
        <w:rPr>
          <w:rStyle w:val="NormalTok"/>
        </w:rPr>
        <w:t xml:space="preserve">-&gt;set(InvoiceService::</w:t>
      </w:r>
      <w:r>
        <w:rPr>
          <w:rStyle w:val="KeywordTok"/>
        </w:rPr>
        <w:t xml:space="preserve">class</w:t>
      </w:r>
      <w:r>
        <w:rPr>
          <w:rStyle w:val="OtherTok"/>
        </w:rPr>
        <w:t xml:space="preserve">,</w:t>
      </w:r>
      <w:r>
        <w:rPr>
          <w:rStyle w:val="NormalTok"/>
        </w:rPr>
        <w:t xml:space="preserve"> </w:t>
      </w:r>
      <w:r>
        <w:rPr>
          <w:rStyle w:val="KeywordTok"/>
        </w:rPr>
        <w:t xml:space="preserve">function</w:t>
      </w:r>
      <w:r>
        <w:rPr>
          <w:rStyle w:val="NormalTok"/>
        </w:rPr>
        <w:t xml:space="preserve"> (Container </w:t>
      </w:r>
      <w:r>
        <w:rPr>
          <w:rStyle w:val="VariableTok"/>
        </w:rPr>
        <w:t xml:space="preserve">$c</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InvoiceService(</w:t>
      </w:r>
      <w:r>
        <w:br/>
      </w:r>
      <w:r>
        <w:rPr>
          <w:rStyle w:val="NormalTok"/>
        </w:rPr>
        <w:t xml:space="preserve">        </w:t>
      </w:r>
      <w:r>
        <w:rPr>
          <w:rStyle w:val="VariableTok"/>
        </w:rPr>
        <w:t xml:space="preserve">$c</w:t>
      </w:r>
      <w:r>
        <w:rPr>
          <w:rStyle w:val="NormalTok"/>
        </w:rPr>
        <w:t xml:space="preserve">-&gt;get(TenantContext::</w:t>
      </w:r>
      <w:r>
        <w:rPr>
          <w:rStyle w:val="KeywordTok"/>
        </w:rPr>
        <w:t xml:space="preserve">class</w:t>
      </w:r>
      <w:r>
        <w:rPr>
          <w:rStyle w:val="NormalTok"/>
        </w:rPr>
        <w:t xml:space="preserve">)</w:t>
      </w:r>
      <w:r>
        <w:rPr>
          <w:rStyle w:val="OtherTok"/>
        </w:rPr>
        <w:t xml:space="preserve">,</w:t>
      </w:r>
      <w:r>
        <w:br/>
      </w:r>
      <w:r>
        <w:rPr>
          <w:rStyle w:val="NormalTok"/>
        </w:rPr>
        <w:t xml:space="preserve">        </w:t>
      </w:r>
      <w:r>
        <w:rPr>
          <w:rStyle w:val="VariableTok"/>
        </w:rPr>
        <w:t xml:space="preserve">$c</w:t>
      </w:r>
      <w:r>
        <w:rPr>
          <w:rStyle w:val="NormalTok"/>
        </w:rPr>
        <w:t xml:space="preserve">-&gt;get(GeneralLedgerService::</w:t>
      </w:r>
      <w:r>
        <w:rPr>
          <w:rStyle w:val="KeywordTok"/>
        </w:rPr>
        <w:t xml:space="preserve">class</w:t>
      </w:r>
      <w:r>
        <w:rPr>
          <w:rStyle w:val="NormalTok"/>
        </w:rPr>
        <w:t xml:space="preserve">)</w:t>
      </w:r>
      <w:r>
        <w:rPr>
          <w:rStyle w:val="OtherTok"/>
        </w:rPr>
        <w:t xml:space="preserve">,</w:t>
      </w:r>
      <w:r>
        <w:br/>
      </w:r>
      <w:r>
        <w:rPr>
          <w:rStyle w:val="NormalTok"/>
        </w:rPr>
        <w:t xml:space="preserve">        </w:t>
      </w:r>
      <w:r>
        <w:rPr>
          <w:rStyle w:val="VariableTok"/>
        </w:rPr>
        <w:t xml:space="preserve">$c</w:t>
      </w:r>
      <w:r>
        <w:rPr>
          <w:rStyle w:val="NormalTok"/>
        </w:rPr>
        <w:t xml:space="preserve">-&gt;get(</w:t>
      </w:r>
      <w:r>
        <w:rPr>
          <w:rStyle w:val="BuiltInTok"/>
        </w:rPr>
        <w:t xml:space="preserve">PDO</w:t>
      </w:r>
      <w:r>
        <w:rPr>
          <w:rStyle w:val="NormalTok"/>
        </w:rPr>
        <w:t xml:space="preserve">::</w:t>
      </w:r>
      <w:r>
        <w:rPr>
          <w:rStyle w:val="KeywordTok"/>
        </w:rPr>
        <w:t xml:space="preserve">class</w:t>
      </w:r>
      <w:r>
        <w:rPr>
          <w:rStyle w:val="NormalTok"/>
        </w:rPr>
        <w:t xml:space="preserve">)</w:t>
      </w:r>
      <w:r>
        <w:br/>
      </w:r>
      <w:r>
        <w:rPr>
          <w:rStyle w:val="NormalTok"/>
        </w:rPr>
        <w:t xml:space="preserve">    )</w:t>
      </w:r>
      <w:r>
        <w:rPr>
          <w:rStyle w:val="OtherTok"/>
        </w:rPr>
        <w:t xml:space="preserve">;</w:t>
      </w:r>
      <w:r>
        <w:br/>
      </w:r>
      <w:r>
        <w:rPr>
          <w:rStyle w:val="NormalTok"/>
        </w:rPr>
        <w:t xml:space="preserve">})</w:t>
      </w:r>
      <w:r>
        <w:rPr>
          <w:rStyle w:val="OtherTok"/>
        </w:rPr>
        <w:t xml:space="preserve">;</w:t>
      </w:r>
    </w:p>
    <w:p>
      <w:pPr>
        <w:pStyle w:val="FirstParagraph"/>
      </w:pPr>
      <w:r>
        <w:t xml:space="preserve">Services are injected into:</w:t>
      </w:r>
    </w:p>
    <w:p>
      <w:pPr>
        <w:pStyle w:val="Compact"/>
        <w:numPr>
          <w:ilvl w:val="0"/>
          <w:numId w:val="1007"/>
        </w:numPr>
      </w:pPr>
      <w:r>
        <w:t xml:space="preserve">API endpoint files under</w:t>
      </w:r>
      <w:r>
        <w:t xml:space="preserve"> </w:t>
      </w:r>
      <w:r>
        <w:rPr>
          <w:rStyle w:val="VerbatimChar"/>
        </w:rPr>
        <w:t xml:space="preserve">public/api/[domain]/endpoint.php</w:t>
      </w:r>
      <w:r>
        <w:t xml:space="preserve"> </w:t>
      </w:r>
      <w:r>
        <w:t xml:space="preserve">— resolved from the container at the top of each file.</w:t>
      </w:r>
    </w:p>
    <w:p>
      <w:pPr>
        <w:pStyle w:val="Compact"/>
        <w:numPr>
          <w:ilvl w:val="0"/>
          <w:numId w:val="1007"/>
        </w:numPr>
      </w:pPr>
      <w:r>
        <w:t xml:space="preserve">Page handler files under</w:t>
      </w:r>
      <w:r>
        <w:t xml:space="preserve"> </w:t>
      </w:r>
      <w:r>
        <w:rPr>
          <w:rStyle w:val="VerbatimChar"/>
        </w:rPr>
        <w:t xml:space="preserve">public/[domain]/page.php</w:t>
      </w:r>
      <w:r>
        <w:t xml:space="preserve"> </w:t>
      </w:r>
      <w:r>
        <w:t xml:space="preserve">— resolved from the container at the top of each file.</w:t>
      </w:r>
    </w:p>
    <w:bookmarkEnd w:id="55"/>
    <w:bookmarkStart w:id="56" w:name="X63584c3aa19875a83028862586dfe0bbf9b942e"/>
    <w:p>
      <w:pPr>
        <w:pStyle w:val="Heading2"/>
      </w:pPr>
      <w:r>
        <w:t xml:space="preserve">4.4 TenantContext Injection into Services</w:t>
      </w:r>
    </w:p>
    <w:p>
      <w:pPr>
        <w:pStyle w:val="FirstParagraph"/>
      </w:pPr>
      <w:r>
        <w:t xml:space="preserve">Every service that accesses operational data shall receive</w:t>
      </w:r>
      <w:r>
        <w:t xml:space="preserve"> </w:t>
      </w:r>
      <w:r>
        <w:rPr>
          <w:rStyle w:val="VerbatimChar"/>
        </w:rPr>
        <w:t xml:space="preserve">TenantContext</w:t>
      </w:r>
      <w:r>
        <w:t xml:space="preserve"> </w:t>
      </w:r>
      <w:r>
        <w:t xml:space="preserve">as the first constructor parameter. The service uses</w:t>
      </w:r>
      <w:r>
        <w:t xml:space="preserve"> </w:t>
      </w:r>
      <w:r>
        <w:rPr>
          <w:rStyle w:val="VerbatimChar"/>
        </w:rPr>
        <w:t xml:space="preserve">$this-&gt;tenantContext-&gt;getTenantId()</w:t>
      </w:r>
      <w:r>
        <w:t xml:space="preserve"> </w:t>
      </w:r>
      <w:r>
        <w:t xml:space="preserve">as the value for the</w:t>
      </w:r>
      <w:r>
        <w:t xml:space="preserve"> </w:t>
      </w:r>
      <w:r>
        <w:rPr>
          <w:rStyle w:val="VerbatimChar"/>
        </w:rPr>
        <w:t xml:space="preserve">tenant_id</w:t>
      </w:r>
      <w:r>
        <w:t xml:space="preserve"> </w:t>
      </w:r>
      <w:r>
        <w:t xml:space="preserve">clause on every SQL query. No service shall accept a</w:t>
      </w:r>
      <w:r>
        <w:t xml:space="preserve"> </w:t>
      </w:r>
      <w:r>
        <w:rPr>
          <w:rStyle w:val="VerbatimChar"/>
        </w:rPr>
        <w:t xml:space="preserve">tenant_id</w:t>
      </w:r>
      <w:r>
        <w:t xml:space="preserve"> </w:t>
      </w:r>
      <w:r>
        <w:t xml:space="preserve">parameter from a caller — the tenant identity is always derived from the injected context.</w:t>
      </w:r>
    </w:p>
    <w:p>
      <w:pPr>
        <w:pStyle w:val="SourceCode"/>
      </w:pPr>
      <w:r>
        <w:rPr>
          <w:rStyle w:val="CommentTok"/>
        </w:rPr>
        <w:t xml:space="preserve">// Illustrative service constructor (prospective)</w:t>
      </w:r>
      <w:r>
        <w:br/>
      </w:r>
      <w:r>
        <w:rPr>
          <w:rStyle w:val="KeywordTok"/>
        </w:rPr>
        <w:t xml:space="preserve">class</w:t>
      </w:r>
      <w:r>
        <w:rPr>
          <w:rStyle w:val="NormalTok"/>
        </w:rPr>
        <w:t xml:space="preserve"> InvoiceService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t>
      </w:r>
      <w:r>
        <w:rPr>
          <w:rStyle w:val="BuiltInTok"/>
        </w:rPr>
        <w:t xml:space="preserve">__construct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TenantContext </w:t>
      </w:r>
      <w:r>
        <w:rPr>
          <w:rStyle w:val="VariableTok"/>
        </w:rPr>
        <w:t xml:space="preserve">$tenantContext</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GeneralLedgerService </w:t>
      </w:r>
      <w:r>
        <w:rPr>
          <w:rStyle w:val="VariableTok"/>
        </w:rPr>
        <w:t xml:space="preserve">$gl</w:t>
      </w:r>
      <w:r>
        <w:rPr>
          <w:rStyle w:val="Othe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readonly</w:t>
      </w:r>
      <w:r>
        <w:rPr>
          <w:rStyle w:val="NormalTok"/>
        </w:rPr>
        <w:t xml:space="preserve"> </w:t>
      </w:r>
      <w:r>
        <w:rPr>
          <w:rStyle w:val="BuiltInTok"/>
        </w:rPr>
        <w:t xml:space="preserve">PDO</w:t>
      </w:r>
      <w:r>
        <w:rPr>
          <w:rStyle w:val="NormalTok"/>
        </w:rPr>
        <w:t xml:space="preserve"> </w:t>
      </w:r>
      <w:r>
        <w:rPr>
          <w:rStyle w:val="VariableTok"/>
        </w:rPr>
        <w:t xml:space="preserve">$pdo</w:t>
      </w:r>
      <w:r>
        <w:br/>
      </w:r>
      <w:r>
        <w:rPr>
          <w:rStyle w:val="NormalTok"/>
        </w:rPr>
        <w:t xml:space="preserve">    ) {}</w:t>
      </w:r>
      <w:r>
        <w:br/>
      </w:r>
      <w:r>
        <w:rPr>
          <w:rStyle w:val="NormalTok"/>
        </w:rPr>
        <w:t xml:space="preserve">}</w:t>
      </w:r>
    </w:p>
    <w:bookmarkEnd w:id="56"/>
    <w:bookmarkStart w:id="57" w:name="Xd51abc367bc778e17648c585e695bc1313e6f8b"/>
    <w:p>
      <w:pPr>
        <w:pStyle w:val="Heading2"/>
      </w:pPr>
      <w:r>
        <w:t xml:space="preserve">4.5 ApiResponse Standard</w:t>
      </w:r>
    </w:p>
    <w:p>
      <w:pPr>
        <w:pStyle w:val="FirstParagraph"/>
      </w:pPr>
      <w:r>
        <w:t xml:space="preserve">All REST API endpoints shall return responses using the</w:t>
      </w:r>
      <w:r>
        <w:t xml:space="preserve"> </w:t>
      </w:r>
      <w:r>
        <w:rPr>
          <w:rStyle w:val="VerbatimChar"/>
        </w:rPr>
        <w:t xml:space="preserve">ApiResponse</w:t>
      </w:r>
      <w:r>
        <w:t xml:space="preserve"> </w:t>
      </w:r>
      <w:r>
        <w:t xml:space="preserve">class. The class enforces the standardised JSON envelope defined in Section 9:</w:t>
      </w:r>
    </w:p>
    <w:p>
      <w:pPr>
        <w:pStyle w:val="SourceCode"/>
      </w:pPr>
      <w:r>
        <w:rPr>
          <w:rStyle w:val="VerbatimChar"/>
        </w:rPr>
        <w:t xml:space="preserve">{ "success": bool, "data": {}, "error": {} }</w:t>
      </w:r>
    </w:p>
    <w:p>
      <w:pPr>
        <w:pStyle w:val="FirstParagraph"/>
      </w:pPr>
      <w:r>
        <w:rPr>
          <w:rStyle w:val="VerbatimChar"/>
        </w:rPr>
        <w:t xml:space="preserve">ApiResponse</w:t>
      </w:r>
      <w:r>
        <w:t xml:space="preserve"> </w:t>
      </w:r>
      <w:r>
        <w:t xml:space="preserve">provides the following static factory methods:</w:t>
      </w:r>
    </w:p>
    <w:p>
      <w:pPr>
        <w:pStyle w:val="Compact"/>
        <w:numPr>
          <w:ilvl w:val="0"/>
          <w:numId w:val="1008"/>
        </w:numPr>
      </w:pPr>
      <w:r>
        <w:rPr>
          <w:rStyle w:val="VerbatimChar"/>
        </w:rPr>
        <w:t xml:space="preserve">ApiResponse::success(mixed $data, int $httpCode = 200)</w:t>
      </w:r>
      <w:r>
        <w:t xml:space="preserve"> </w:t>
      </w:r>
      <w:r>
        <w:t xml:space="preserve">— returns a success envelope.</w:t>
      </w:r>
    </w:p>
    <w:p>
      <w:pPr>
        <w:pStyle w:val="Compact"/>
        <w:numPr>
          <w:ilvl w:val="0"/>
          <w:numId w:val="1008"/>
        </w:numPr>
      </w:pPr>
      <w:r>
        <w:rPr>
          <w:rStyle w:val="VerbatimChar"/>
        </w:rPr>
        <w:t xml:space="preserve">ApiResponse::error(string $message, string $code, int $httpCode)</w:t>
      </w:r>
      <w:r>
        <w:t xml:space="preserve"> </w:t>
      </w:r>
      <w:r>
        <w:t xml:space="preserve">— returns an error envelope.</w:t>
      </w:r>
    </w:p>
    <w:p>
      <w:pPr>
        <w:pStyle w:val="FirstParagraph"/>
      </w:pPr>
      <w:r>
        <w:t xml:space="preserve">No endpoint shall write raw</w:t>
      </w:r>
      <w:r>
        <w:t xml:space="preserve"> </w:t>
      </w:r>
      <w:r>
        <w:rPr>
          <w:rStyle w:val="VerbatimChar"/>
        </w:rPr>
        <w:t xml:space="preserve">echo json_encode(...)</w:t>
      </w:r>
      <w:r>
        <w:t xml:space="preserve"> </w:t>
      </w:r>
      <w:r>
        <w:t xml:space="preserve">output. All output is routed through</w:t>
      </w:r>
      <w:r>
        <w:t xml:space="preserve"> </w:t>
      </w:r>
      <w:r>
        <w:rPr>
          <w:rStyle w:val="VerbatimChar"/>
        </w:rPr>
        <w:t xml:space="preserve">ApiResponse</w:t>
      </w:r>
      <w:r>
        <w:t xml:space="preserve">.</w:t>
      </w:r>
    </w:p>
    <w:bookmarkEnd w:id="57"/>
    <w:bookmarkStart w:id="58" w:name="X128dd57b8cf0196e5e9b8c1853bb3d00b8bb46d"/>
    <w:p>
      <w:pPr>
        <w:pStyle w:val="Heading2"/>
      </w:pPr>
      <w:r>
        <w:t xml:space="preserve">4.6 JavaScript Architecture</w:t>
      </w:r>
    </w:p>
    <w:p>
      <w:pPr>
        <w:pStyle w:val="FirstParagraph"/>
      </w:pPr>
      <w:r>
        <w:t xml:space="preserve">Each page that requires client-side behaviour shall have exactly 1 dedicated JavaScript file at</w:t>
      </w:r>
      <w:r>
        <w:t xml:space="preserve"> </w:t>
      </w:r>
      <w:r>
        <w:rPr>
          <w:rStyle w:val="VerbatimChar"/>
        </w:rPr>
        <w:t xml:space="preserve">public/js/[page-name].js</w:t>
      </w:r>
      <w:r>
        <w:t xml:space="preserve">. Inline</w:t>
      </w:r>
      <w:r>
        <w:t xml:space="preserve"> </w:t>
      </w:r>
      <w:r>
        <w:rPr>
          <w:rStyle w:val="VerbatimChar"/>
        </w:rPr>
        <w:t xml:space="preserve">&lt;script&gt;</w:t>
      </w:r>
      <w:r>
        <w:t xml:space="preserve"> </w:t>
      </w:r>
      <w:r>
        <w:t xml:space="preserve">blocks in PHP page files are prohibited.</w:t>
      </w:r>
    </w:p>
    <w:p>
      <w:pPr>
        <w:pStyle w:val="BodyText"/>
      </w:pPr>
      <w:r>
        <w:t xml:space="preserve">JavaScript files shall reference API endpoints using relative paths (e.g.,</w:t>
      </w:r>
      <w:r>
        <w:t xml:space="preserve"> </w:t>
      </w:r>
      <w:r>
        <w:rPr>
          <w:rStyle w:val="VerbatimChar"/>
        </w:rPr>
        <w:t xml:space="preserve">./api/invoices/create.php</w:t>
      </w:r>
      <w:r>
        <w:t xml:space="preserve">). Absolute URL construction in JavaScript is prohibited, as it breaks multi-path deployments.</w:t>
      </w:r>
    </w:p>
    <w:p>
      <w:pPr>
        <w:pStyle w:val="BodyText"/>
      </w:pPr>
      <w:r>
        <w:t xml:space="preserve">All AJAX calls made from page JavaScript shall include the</w:t>
      </w:r>
      <w:r>
        <w:t xml:space="preserve"> </w:t>
      </w:r>
      <w:r>
        <w:rPr>
          <w:rStyle w:val="VerbatimChar"/>
        </w:rPr>
        <w:t xml:space="preserve">X-CSRF-Token</w:t>
      </w:r>
      <w:r>
        <w:t xml:space="preserve"> </w:t>
      </w:r>
      <w:r>
        <w:t xml:space="preserve">header populated from the session token injected into the page by the PHP renderer.</w:t>
      </w:r>
    </w:p>
    <w:bookmarkEnd w:id="58"/>
    <w:bookmarkStart w:id="59" w:name="X842f760413cbc424ad55e228b5234cd7f6d62e8"/>
    <w:p>
      <w:pPr>
        <w:pStyle w:val="Heading2"/>
      </w:pPr>
      <w:r>
        <w:t xml:space="preserve">4.7 Database Access Standards</w:t>
      </w:r>
    </w:p>
    <w:p>
      <w:pPr>
        <w:pStyle w:val="FirstParagraph"/>
      </w:pPr>
      <w:r>
        <w:t xml:space="preserve">All database access shall use PHP Data Objects (PDO) with prepared statements. Raw SQL string concatenation is prohibited. This applies to all service classes, stored procedure calls, and any direct PDO usage in API endpoints.</w:t>
      </w:r>
    </w:p>
    <w:p>
      <w:pPr>
        <w:pStyle w:val="SourceCode"/>
      </w:pPr>
      <w:r>
        <w:rPr>
          <w:rStyle w:val="CommentTok"/>
        </w:rPr>
        <w:t xml:space="preserve">// Required pattern (prospective):</w:t>
      </w:r>
      <w:r>
        <w:br/>
      </w:r>
      <w:r>
        <w:rPr>
          <w:rStyle w:val="VariableTok"/>
        </w:rPr>
        <w:t xml:space="preserve">$stmt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w:t>
      </w:r>
      <w:r>
        <w:rPr>
          <w:rStyle w:val="BuiltInTok"/>
        </w:rPr>
        <w:t xml:space="preserve">pdo</w:t>
      </w:r>
      <w:r>
        <w:rPr>
          <w:rStyle w:val="NormalTok"/>
        </w:rPr>
        <w:t xml:space="preserve">-&gt;prepare(</w:t>
      </w:r>
      <w:r>
        <w:br/>
      </w:r>
      <w:r>
        <w:rPr>
          <w:rStyle w:val="NormalTok"/>
        </w:rPr>
        <w:t xml:space="preserve">    </w:t>
      </w:r>
      <w:r>
        <w:rPr>
          <w:rStyle w:val="StringTok"/>
        </w:rPr>
        <w:t xml:space="preserve">'SELECT * FROM invoices WHERE tenant_id = ? AND id = ?'</w:t>
      </w:r>
      <w:r>
        <w:br/>
      </w:r>
      <w:r>
        <w:rPr>
          <w:rStyle w:val="NormalTok"/>
        </w:rPr>
        <w:t xml:space="preserve">)</w:t>
      </w:r>
      <w:r>
        <w:rPr>
          <w:rStyle w:val="OtherTok"/>
        </w:rPr>
        <w:t xml:space="preserve">;</w:t>
      </w:r>
      <w:r>
        <w:br/>
      </w:r>
      <w:r>
        <w:rPr>
          <w:rStyle w:val="VariableTok"/>
        </w:rPr>
        <w:t xml:space="preserve">$stmt</w:t>
      </w:r>
      <w:r>
        <w:rPr>
          <w:rStyle w:val="NormalTok"/>
        </w:rPr>
        <w:t xml:space="preserve">-&gt;execute([</w:t>
      </w:r>
      <w:r>
        <w:rPr>
          <w:rStyle w:val="VariableTok"/>
        </w:rPr>
        <w:t xml:space="preserve">$this</w:t>
      </w:r>
      <w:r>
        <w:rPr>
          <w:rStyle w:val="NormalTok"/>
        </w:rPr>
        <w:t xml:space="preserve">-&gt;tenantContext-&gt;getTenantId()</w:t>
      </w:r>
      <w:r>
        <w:rPr>
          <w:rStyle w:val="OtherTok"/>
        </w:rPr>
        <w:t xml:space="preserve">,</w:t>
      </w:r>
      <w:r>
        <w:rPr>
          <w:rStyle w:val="NormalTok"/>
        </w:rPr>
        <w:t xml:space="preserve"> </w:t>
      </w:r>
      <w:r>
        <w:rPr>
          <w:rStyle w:val="VariableTok"/>
        </w:rPr>
        <w:t xml:space="preserve">$invoiceId</w:t>
      </w:r>
      <w:r>
        <w:rPr>
          <w:rStyle w:val="NormalTok"/>
        </w:rPr>
        <w:t xml:space="preserve">])</w:t>
      </w:r>
      <w:r>
        <w:rPr>
          <w:rStyle w:val="OtherTok"/>
        </w:rPr>
        <w:t xml:space="preserve">;</w:t>
      </w:r>
    </w:p>
    <w:p>
      <w:pPr>
        <w:pStyle w:val="FirstParagraph"/>
      </w:pPr>
      <w:r>
        <w:t xml:space="preserve">Stored procedures in MySQL 9.1 are used for complex multi-step operations (General Ledger posting, sequential document numbering, account mapping). Stored procedure calls shall also use PDO prepared statement syntax (</w:t>
      </w:r>
      <w:r>
        <w:rPr>
          <w:rStyle w:val="VerbatimChar"/>
        </w:rPr>
        <w:t xml:space="preserve">CALL procedure_name(?, ?)</w:t>
      </w:r>
      <w:r>
        <w:t xml:space="preserve">) and shall never interpolate values into the call string.</w:t>
      </w:r>
    </w:p>
    <w:bookmarkEnd w:id="59"/>
    <w:bookmarkEnd w:id="60"/>
    <w:bookmarkStart w:id="68" w:name="multi-tenancy-design"/>
    <w:p>
      <w:pPr>
        <w:pStyle w:val="Heading1"/>
      </w:pPr>
      <w:r>
        <w:t xml:space="preserve">Multi-Tenancy Design</w:t>
      </w:r>
    </w:p>
    <w:bookmarkStart w:id="61" w:name="Xaa9e2b940e5c2448ecd46634d4cba740fe818d0"/>
    <w:p>
      <w:pPr>
        <w:pStyle w:val="Heading2"/>
      </w:pPr>
      <w:r>
        <w:t xml:space="preserve">5.1 Architecture Pattern: Shared Database, Row-Level Isolation</w:t>
      </w:r>
    </w:p>
    <w:p>
      <w:pPr>
        <w:pStyle w:val="FirstParagraph"/>
      </w:pPr>
      <w:r>
        <w:t xml:space="preserve">Longhorn ERP adopts a shared-database multi-tenancy model. All tenants reside in the same MySQL 9.1 database instance. Tenant data isolation is enforced at the application layer through:</w:t>
      </w:r>
    </w:p>
    <w:p>
      <w:pPr>
        <w:pStyle w:val="Compact"/>
        <w:numPr>
          <w:ilvl w:val="0"/>
          <w:numId w:val="1009"/>
        </w:numPr>
      </w:pPr>
      <w:r>
        <w:t xml:space="preserve">A</w:t>
      </w:r>
      <w:r>
        <w:t xml:space="preserve"> </w:t>
      </w:r>
      <w:r>
        <w:rPr>
          <w:rStyle w:val="VerbatimChar"/>
        </w:rPr>
        <w:t xml:space="preserve">tenant_id</w:t>
      </w:r>
      <w:r>
        <w:t xml:space="preserve"> </w:t>
      </w:r>
      <w:r>
        <w:t xml:space="preserve">foreign key on every operational table.</w:t>
      </w:r>
    </w:p>
    <w:p>
      <w:pPr>
        <w:pStyle w:val="Compact"/>
        <w:numPr>
          <w:ilvl w:val="0"/>
          <w:numId w:val="1009"/>
        </w:numPr>
      </w:pPr>
      <w:r>
        <w:t xml:space="preserve">The middleware pipeline, which populates</w:t>
      </w:r>
      <w:r>
        <w:t xml:space="preserve"> </w:t>
      </w:r>
      <w:r>
        <w:rPr>
          <w:rStyle w:val="VerbatimChar"/>
        </w:rPr>
        <w:t xml:space="preserve">TenantContext</w:t>
      </w:r>
      <w:r>
        <w:t xml:space="preserve"> </w:t>
      </w:r>
      <w:r>
        <w:t xml:space="preserve">from the authenticated session before any page handler or service executes.</w:t>
      </w:r>
    </w:p>
    <w:p>
      <w:pPr>
        <w:pStyle w:val="Compact"/>
        <w:numPr>
          <w:ilvl w:val="0"/>
          <w:numId w:val="1009"/>
        </w:numPr>
      </w:pPr>
      <w:r>
        <w:t xml:space="preserve">The convention that every SQL query against an operational table includes a</w:t>
      </w:r>
      <w:r>
        <w:t xml:space="preserve"> </w:t>
      </w:r>
      <w:r>
        <w:rPr>
          <w:rStyle w:val="VerbatimChar"/>
        </w:rPr>
        <w:t xml:space="preserve">WHERE tenant_id = ?</w:t>
      </w:r>
      <w:r>
        <w:t xml:space="preserve"> </w:t>
      </w:r>
      <w:r>
        <w:t xml:space="preserve">clause parameterised from</w:t>
      </w:r>
      <w:r>
        <w:t xml:space="preserve"> </w:t>
      </w:r>
      <w:r>
        <w:rPr>
          <w:rStyle w:val="VerbatimChar"/>
        </w:rPr>
        <w:t xml:space="preserve">$this-&gt;tenantContext-&gt;getTenantId()</w:t>
      </w:r>
      <w:r>
        <w:t xml:space="preserve">.</w:t>
      </w:r>
    </w:p>
    <w:p>
      <w:pPr>
        <w:pStyle w:val="FirstParagraph"/>
      </w:pPr>
      <w:r>
        <w:t xml:space="preserve">This approach was selected for operational simplicity and cost efficiency (see ADR-001 in Section 12).</w:t>
      </w:r>
    </w:p>
    <w:bookmarkEnd w:id="61"/>
    <w:bookmarkStart w:id="62" w:name="X6cd3aefb32463eb3c9958728c98d2c9473343f9"/>
    <w:p>
      <w:pPr>
        <w:pStyle w:val="Heading2"/>
      </w:pPr>
      <w:r>
        <w:t xml:space="preserve">5.2 The</w:t>
      </w:r>
      <w:r>
        <w:t xml:space="preserve"> </w:t>
      </w:r>
      <w:r>
        <w:rPr>
          <w:rStyle w:val="VerbatimChar"/>
        </w:rPr>
        <w:t xml:space="preserve">tenant_id</w:t>
      </w:r>
      <w:r>
        <w:t xml:space="preserve"> </w:t>
      </w:r>
      <w:r>
        <w:t xml:space="preserve">Rule</w:t>
      </w:r>
    </w:p>
    <w:p>
      <w:pPr>
        <w:pStyle w:val="FirstParagraph"/>
      </w:pPr>
      <w:r>
        <w:rPr>
          <w:i/>
          <w:iCs/>
        </w:rPr>
        <w:t xml:space="preserve">The</w:t>
      </w:r>
      <w:r>
        <w:rPr>
          <w:i/>
          <w:iCs/>
        </w:rPr>
        <w:t xml:space="preserve"> </w:t>
      </w:r>
      <w:r>
        <w:rPr>
          <w:rStyle w:val="VerbatimChar"/>
          <w:i/>
          <w:iCs/>
        </w:rPr>
        <w:t xml:space="preserve">tenant_id</w:t>
      </w:r>
      <w:r>
        <w:rPr>
          <w:i/>
          <w:iCs/>
        </w:rPr>
        <w:t xml:space="preserve"> </w:t>
      </w:r>
      <w:r>
        <w:rPr>
          <w:i/>
          <w:iCs/>
        </w:rPr>
        <w:t xml:space="preserve">value used in any SQL query shall always be sourced from</w:t>
      </w:r>
      <w:r>
        <w:rPr>
          <w:i/>
          <w:iCs/>
        </w:rPr>
        <w:t xml:space="preserve"> </w:t>
      </w:r>
      <w:r>
        <w:rPr>
          <w:rStyle w:val="VerbatimChar"/>
          <w:i/>
          <w:iCs/>
        </w:rPr>
        <w:t xml:space="preserve">$_SESSION['tenant_id']</w:t>
      </w:r>
      <w:r>
        <w:rPr>
          <w:i/>
          <w:iCs/>
        </w:rPr>
        <w:t xml:space="preserve"> </w:t>
      </w:r>
      <w:r>
        <w:rPr>
          <w:i/>
          <w:iCs/>
        </w:rPr>
        <w:t xml:space="preserve">as provided by the</w:t>
      </w:r>
      <w:r>
        <w:rPr>
          <w:i/>
          <w:iCs/>
        </w:rPr>
        <w:t xml:space="preserve"> </w:t>
      </w:r>
      <w:r>
        <w:rPr>
          <w:rStyle w:val="VerbatimChar"/>
          <w:i/>
          <w:iCs/>
        </w:rPr>
        <w:t xml:space="preserve">TenantContext</w:t>
      </w:r>
      <w:r>
        <w:rPr>
          <w:i/>
          <w:iCs/>
        </w:rPr>
        <w:t xml:space="preserve"> </w:t>
      </w:r>
      <w:r>
        <w:rPr>
          <w:i/>
          <w:iCs/>
        </w:rPr>
        <w:t xml:space="preserve">object. It shall never be sourced from</w:t>
      </w:r>
      <w:r>
        <w:rPr>
          <w:i/>
          <w:iCs/>
        </w:rPr>
        <w:t xml:space="preserve"> </w:t>
      </w:r>
      <w:r>
        <w:rPr>
          <w:rStyle w:val="VerbatimChar"/>
          <w:i/>
          <w:iCs/>
        </w:rPr>
        <w:t xml:space="preserve">$_GET</w:t>
      </w:r>
      <w:r>
        <w:rPr>
          <w:i/>
          <w:iCs/>
        </w:rPr>
        <w:t xml:space="preserve">,</w:t>
      </w:r>
      <w:r>
        <w:rPr>
          <w:i/>
          <w:iCs/>
        </w:rPr>
        <w:t xml:space="preserve"> </w:t>
      </w:r>
      <w:r>
        <w:rPr>
          <w:rStyle w:val="VerbatimChar"/>
          <w:i/>
          <w:iCs/>
        </w:rPr>
        <w:t xml:space="preserve">$_POST</w:t>
      </w:r>
      <w:r>
        <w:rPr>
          <w:i/>
          <w:iCs/>
        </w:rPr>
        <w:t xml:space="preserve">,</w:t>
      </w:r>
      <w:r>
        <w:rPr>
          <w:i/>
          <w:iCs/>
        </w:rPr>
        <w:t xml:space="preserve"> </w:t>
      </w:r>
      <w:r>
        <w:rPr>
          <w:rStyle w:val="VerbatimChar"/>
          <w:i/>
          <w:iCs/>
        </w:rPr>
        <w:t xml:space="preserve">$_COOKIE</w:t>
      </w:r>
      <w:r>
        <w:rPr>
          <w:i/>
          <w:iCs/>
        </w:rPr>
        <w:t xml:space="preserve">, request headers, URL path parameters, or any other client-supplied input.</w:t>
      </w:r>
    </w:p>
    <w:p>
      <w:pPr>
        <w:pStyle w:val="BodyText"/>
      </w:pPr>
      <w:r>
        <w:t xml:space="preserve">Violation of this rule is a Critical severity defect (NFR-SEC-001). The</w:t>
      </w:r>
      <w:r>
        <w:t xml:space="preserve"> </w:t>
      </w:r>
      <w:r>
        <w:rPr>
          <w:rStyle w:val="VerbatimChar"/>
        </w:rPr>
        <w:t xml:space="preserve">TenantContext</w:t>
      </w:r>
      <w:r>
        <w:t xml:space="preserve"> </w:t>
      </w:r>
      <w:r>
        <w:t xml:space="preserve">class is the single authorised accessor.</w:t>
      </w:r>
    </w:p>
    <w:bookmarkEnd w:id="62"/>
    <w:bookmarkStart w:id="63" w:name="Xe1ede0cbd1c4a5bf9136472de34085d510e811e"/>
    <w:p>
      <w:pPr>
        <w:pStyle w:val="Heading2"/>
      </w:pPr>
      <w:r>
        <w:t xml:space="preserve">5.3 Cross-Tenant Access Attempts</w:t>
      </w:r>
    </w:p>
    <w:p>
      <w:pPr>
        <w:pStyle w:val="FirstParagraph"/>
      </w:pPr>
      <w:r>
        <w:t xml:space="preserve">When a request attempts to retrieve a record that exists but belongs to a different tenant, the system shall return HTTP 404 Not Found rather than HTTP 403 Forbidden. This behaviour prevents tenant enumeration: an attacker cannot distinguish "this record exists but belongs to another tenant" from "this record does not exist."</w:t>
      </w:r>
    </w:p>
    <w:p>
      <w:pPr>
        <w:pStyle w:val="BodyText"/>
      </w:pPr>
      <w:r>
        <w:t xml:space="preserve">All such events are logged in the audit trail with a</w:t>
      </w:r>
      <w:r>
        <w:t xml:space="preserve"> </w:t>
      </w:r>
      <w:r>
        <w:rPr>
          <w:rStyle w:val="VerbatimChar"/>
        </w:rPr>
        <w:t xml:space="preserve">CROSS_TENANT_ATTEMPT</w:t>
      </w:r>
      <w:r>
        <w:t xml:space="preserve"> </w:t>
      </w:r>
      <w:r>
        <w:t xml:space="preserve">event type, regardless of whether the attempt was malicious or the result of a misconfigured request.</w:t>
      </w:r>
    </w:p>
    <w:bookmarkEnd w:id="63"/>
    <w:bookmarkStart w:id="64" w:name="X118e4e592981523834d81895d8369cd839197e2"/>
    <w:p>
      <w:pPr>
        <w:pStyle w:val="Heading2"/>
      </w:pPr>
      <w:r>
        <w:t xml:space="preserve">5.4 Module-Level Gating</w:t>
      </w:r>
    </w:p>
    <w:p>
      <w:pPr>
        <w:pStyle w:val="FirstParagraph"/>
      </w:pPr>
      <w:r>
        <w:t xml:space="preserve">Every page belonging to an add-on module shall call</w:t>
      </w:r>
      <w:r>
        <w:t xml:space="preserve"> </w:t>
      </w:r>
      <w:r>
        <w:rPr>
          <w:rStyle w:val="VerbatimChar"/>
        </w:rPr>
        <w:t xml:space="preserve">requireModuleAccess('MODULE_CODE')</w:t>
      </w:r>
      <w:r>
        <w:t xml:space="preserve"> </w:t>
      </w:r>
      <w:r>
        <w:t xml:space="preserve">as the first operation in the page handler, after the middleware pipeline completes. If the module is not active for the current tenant, the function redirects the user to the module upgrade/activation page. The check uses</w:t>
      </w:r>
      <w:r>
        <w:t xml:space="preserve"> </w:t>
      </w:r>
      <w:r>
        <w:rPr>
          <w:rStyle w:val="VerbatimChar"/>
        </w:rPr>
        <w:t xml:space="preserve">TenantContext::isModuleActive(string $moduleCode)</w:t>
      </w:r>
      <w:r>
        <w:t xml:space="preserve"> </w:t>
      </w:r>
      <w:r>
        <w:t xml:space="preserve">internally.</w:t>
      </w:r>
    </w:p>
    <w:p>
      <w:pPr>
        <w:pStyle w:val="BodyText"/>
      </w:pPr>
      <w:r>
        <w:t xml:space="preserve">Core modules (ACCOUNTING, INVENTORY, SALES, PROCUREMENT, USER_MGMT, AUDIT) are always active for all tenants and do not require</w:t>
      </w:r>
      <w:r>
        <w:t xml:space="preserve"> </w:t>
      </w:r>
      <w:r>
        <w:rPr>
          <w:rStyle w:val="VerbatimChar"/>
        </w:rPr>
        <w:t xml:space="preserve">requireModuleAccess</w:t>
      </w:r>
      <w:r>
        <w:t xml:space="preserve"> </w:t>
      </w:r>
      <w:r>
        <w:t xml:space="preserve">gating, but the function is idempotent for these codes and will not block access if called.</w:t>
      </w:r>
    </w:p>
    <w:bookmarkEnd w:id="64"/>
    <w:bookmarkStart w:id="65" w:name="Xb01a2f914ec8873d5d4d981cfec6ebf348906fc"/>
    <w:p>
      <w:pPr>
        <w:pStyle w:val="Heading2"/>
      </w:pPr>
      <w:r>
        <w:t xml:space="preserve">5.5 Tenant Lifecycle States</w:t>
      </w:r>
    </w:p>
    <w:p>
      <w:pPr>
        <w:pStyle w:val="FirstParagraph"/>
      </w:pPr>
      <w:r>
        <w:t xml:space="preserve">The tenant lifecycle is a finite state machine with the following states and transitions:</w:t>
      </w:r>
    </w:p>
    <w:p>
      <w:pPr>
        <w:pStyle w:val="SourceCode"/>
      </w:pPr>
      <w:r>
        <w:rPr>
          <w:rStyle w:val="VerbatimChar"/>
        </w:rPr>
        <w:t xml:space="preserve">Trial ──────────────────────────────────────▶ Active</w:t>
      </w:r>
      <w:r>
        <w:br/>
      </w:r>
      <w:r>
        <w:rPr>
          <w:rStyle w:val="VerbatimChar"/>
        </w:rPr>
        <w:t xml:space="preserve">  │                                              │</w:t>
      </w:r>
      <w:r>
        <w:br/>
      </w:r>
      <w:r>
        <w:rPr>
          <w:rStyle w:val="VerbatimChar"/>
        </w:rPr>
        <w:t xml:space="preserve">  │ (payment not received by trial end)          │ (payment not received by due date)</w:t>
      </w:r>
      <w:r>
        <w:br/>
      </w:r>
      <w:r>
        <w:rPr>
          <w:rStyle w:val="VerbatimChar"/>
        </w:rPr>
        <w:t xml:space="preserve">  ▼                                              ▼</w:t>
      </w:r>
      <w:r>
        <w:br/>
      </w:r>
      <w:r>
        <w:rPr>
          <w:rStyle w:val="VerbatimChar"/>
        </w:rPr>
        <w:t xml:space="preserve">Suspended ◀────────────────────────────── Overdue</w:t>
      </w:r>
      <w:r>
        <w:br/>
      </w:r>
      <w:r>
        <w:rPr>
          <w:rStyle w:val="VerbatimChar"/>
        </w:rPr>
        <w:t xml:space="preserve">  │               (manually by Chwezi)          │</w:t>
      </w:r>
      <w:r>
        <w:br/>
      </w:r>
      <w:r>
        <w:rPr>
          <w:rStyle w:val="VerbatimChar"/>
        </w:rPr>
        <w:t xml:space="preserve">  │                                              │ (paid)</w:t>
      </w:r>
      <w:r>
        <w:br/>
      </w:r>
      <w:r>
        <w:rPr>
          <w:rStyle w:val="VerbatimChar"/>
        </w:rPr>
        <w:t xml:space="preserve">  ▼                                              ▼</w:t>
      </w:r>
      <w:r>
        <w:br/>
      </w:r>
      <w:r>
        <w:rPr>
          <w:rStyle w:val="VerbatimChar"/>
        </w:rPr>
        <w:t xml:space="preserve">Archived                                      Active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pPr>
            <w:r>
              <w:t xml:space="preserve">Login Permitted</w:t>
            </w:r>
          </w:p>
        </w:tc>
        <w:tc>
          <w:tcPr/>
          <w:p>
            <w:pPr>
              <w:pStyle w:val="Compact"/>
            </w:pPr>
            <w:r>
              <w:t xml:space="preserve">Data Access</w:t>
            </w:r>
          </w:p>
        </w:tc>
        <w:tc>
          <w:tcPr/>
          <w:p>
            <w:pPr>
              <w:pStyle w:val="Compact"/>
            </w:pPr>
            <w:r>
              <w:t xml:space="preserve">Billing</w:t>
            </w:r>
          </w:p>
        </w:tc>
      </w:tr>
      <w:tr>
        <w:tc>
          <w:tcPr/>
          <w:p>
            <w:pPr>
              <w:pStyle w:val="Compact"/>
            </w:pPr>
            <w:r>
              <w:rPr>
                <w:rStyle w:val="VerbatimChar"/>
              </w:rPr>
              <w:t xml:space="preserve">trial</w:t>
            </w:r>
          </w:p>
        </w:tc>
        <w:tc>
          <w:tcPr/>
          <w:p>
            <w:pPr>
              <w:pStyle w:val="Compact"/>
            </w:pPr>
            <w:r>
              <w:t xml:space="preserve">Yes</w:t>
            </w:r>
          </w:p>
        </w:tc>
        <w:tc>
          <w:tcPr/>
          <w:p>
            <w:pPr>
              <w:pStyle w:val="Compact"/>
            </w:pPr>
            <w:r>
              <w:t xml:space="preserve">Full</w:t>
            </w:r>
          </w:p>
        </w:tc>
        <w:tc>
          <w:tcPr/>
          <w:p>
            <w:pPr>
              <w:pStyle w:val="Compact"/>
            </w:pPr>
            <w:r>
              <w:t xml:space="preserve">No charge</w:t>
            </w:r>
          </w:p>
        </w:tc>
      </w:tr>
      <w:tr>
        <w:tc>
          <w:tcPr/>
          <w:p>
            <w:pPr>
              <w:pStyle w:val="Compact"/>
            </w:pPr>
            <w:r>
              <w:rPr>
                <w:rStyle w:val="VerbatimChar"/>
              </w:rPr>
              <w:t xml:space="preserve">active</w:t>
            </w:r>
          </w:p>
        </w:tc>
        <w:tc>
          <w:tcPr/>
          <w:p>
            <w:pPr>
              <w:pStyle w:val="Compact"/>
            </w:pPr>
            <w:r>
              <w:t xml:space="preserve">Yes</w:t>
            </w:r>
          </w:p>
        </w:tc>
        <w:tc>
          <w:tcPr/>
          <w:p>
            <w:pPr>
              <w:pStyle w:val="Compact"/>
            </w:pPr>
            <w:r>
              <w:t xml:space="preserve">Full</w:t>
            </w:r>
          </w:p>
        </w:tc>
        <w:tc>
          <w:tcPr/>
          <w:p>
            <w:pPr>
              <w:pStyle w:val="Compact"/>
            </w:pPr>
            <w:r>
              <w:t xml:space="preserve">Charged</w:t>
            </w:r>
          </w:p>
        </w:tc>
      </w:tr>
      <w:tr>
        <w:tc>
          <w:tcPr/>
          <w:p>
            <w:pPr>
              <w:pStyle w:val="Compact"/>
            </w:pPr>
            <w:r>
              <w:rPr>
                <w:rStyle w:val="VerbatimChar"/>
              </w:rPr>
              <w:t xml:space="preserve">overdue</w:t>
            </w:r>
          </w:p>
        </w:tc>
        <w:tc>
          <w:tcPr/>
          <w:p>
            <w:pPr>
              <w:pStyle w:val="Compact"/>
            </w:pPr>
            <w:r>
              <w:t xml:space="preserve">Blocked (notice shown)</w:t>
            </w:r>
          </w:p>
        </w:tc>
        <w:tc>
          <w:tcPr/>
          <w:p>
            <w:pPr>
              <w:pStyle w:val="Compact"/>
            </w:pPr>
            <w:r>
              <w:t xml:space="preserve">Read-only export only</w:t>
            </w:r>
          </w:p>
        </w:tc>
        <w:tc>
          <w:tcPr/>
          <w:p>
            <w:pPr>
              <w:pStyle w:val="Compact"/>
            </w:pPr>
            <w:r>
              <w:t xml:space="preserve">Overdue</w:t>
            </w:r>
          </w:p>
        </w:tc>
      </w:tr>
      <w:tr>
        <w:tc>
          <w:tcPr/>
          <w:p>
            <w:pPr>
              <w:pStyle w:val="Compact"/>
            </w:pPr>
            <w:r>
              <w:rPr>
                <w:rStyle w:val="VerbatimChar"/>
              </w:rPr>
              <w:t xml:space="preserve">suspended</w:t>
            </w:r>
          </w:p>
        </w:tc>
        <w:tc>
          <w:tcPr/>
          <w:p>
            <w:pPr>
              <w:pStyle w:val="Compact"/>
            </w:pPr>
            <w:r>
              <w:t xml:space="preserve">Blocked (notice shown)</w:t>
            </w:r>
          </w:p>
        </w:tc>
        <w:tc>
          <w:tcPr/>
          <w:p>
            <w:pPr>
              <w:pStyle w:val="Compact"/>
            </w:pPr>
            <w:r>
              <w:t xml:space="preserve">None</w:t>
            </w:r>
          </w:p>
        </w:tc>
        <w:tc>
          <w:tcPr/>
          <w:p>
            <w:pPr>
              <w:pStyle w:val="Compact"/>
            </w:pPr>
            <w:r>
              <w:t xml:space="preserve">Suspended</w:t>
            </w:r>
          </w:p>
        </w:tc>
      </w:tr>
      <w:tr>
        <w:tc>
          <w:tcPr/>
          <w:p>
            <w:pPr>
              <w:pStyle w:val="Compact"/>
            </w:pPr>
            <w:r>
              <w:rPr>
                <w:rStyle w:val="VerbatimChar"/>
              </w:rPr>
              <w:t xml:space="preserve">archived</w:t>
            </w:r>
          </w:p>
        </w:tc>
        <w:tc>
          <w:tcPr/>
          <w:p>
            <w:pPr>
              <w:pStyle w:val="Compact"/>
            </w:pPr>
            <w:r>
              <w:t xml:space="preserve">Blocked</w:t>
            </w:r>
          </w:p>
        </w:tc>
        <w:tc>
          <w:tcPr/>
          <w:p>
            <w:pPr>
              <w:pStyle w:val="Compact"/>
            </w:pPr>
            <w:r>
              <w:t xml:space="preserve">None</w:t>
            </w:r>
          </w:p>
        </w:tc>
        <w:tc>
          <w:tcPr/>
          <w:p>
            <w:pPr>
              <w:pStyle w:val="Compact"/>
            </w:pPr>
            <w:r>
              <w:t xml:space="preserve">Closed</w:t>
            </w:r>
          </w:p>
        </w:tc>
      </w:tr>
    </w:tbl>
    <w:p>
      <w:pPr>
        <w:pStyle w:val="BodyText"/>
      </w:pPr>
      <w:r>
        <w:t xml:space="preserve">Tenant lifecycle transitions are initiated from the Super Admin Panel and are recorded in the platform audit log.</w:t>
      </w:r>
    </w:p>
    <w:bookmarkEnd w:id="65"/>
    <w:bookmarkStart w:id="66" w:name="X862daf9995b40a4acb129fce7f7be72efec5674"/>
    <w:p>
      <w:pPr>
        <w:pStyle w:val="Heading2"/>
      </w:pPr>
      <w:r>
        <w:t xml:space="preserve">5.6 Per-Tenant Configuration</w:t>
      </w:r>
    </w:p>
    <w:p>
      <w:pPr>
        <w:pStyle w:val="FirstParagraph"/>
      </w:pPr>
      <w:r>
        <w:t xml:space="preserve">Each tenant record carries a configuration profile that governs all jurisdiction-specific and business-specific behaviour. The configuration profile includes:</w:t>
      </w:r>
    </w:p>
    <w:p>
      <w:pPr>
        <w:pStyle w:val="Compact"/>
        <w:numPr>
          <w:ilvl w:val="0"/>
          <w:numId w:val="1010"/>
        </w:numPr>
      </w:pPr>
      <w:r>
        <w:rPr>
          <w:b/>
          <w:bCs/>
        </w:rPr>
        <w:t xml:space="preserve">Currency:</w:t>
      </w:r>
      <w:r>
        <w:t xml:space="preserve"> </w:t>
      </w:r>
      <w:r>
        <w:t xml:space="preserve">ISO 4217 currency code (e.g.,</w:t>
      </w:r>
      <w:r>
        <w:t xml:space="preserve"> </w:t>
      </w:r>
      <w:r>
        <w:rPr>
          <w:rStyle w:val="VerbatimChar"/>
        </w:rPr>
        <w:t xml:space="preserve">UGX</w:t>
      </w:r>
      <w:r>
        <w:t xml:space="preserve">,</w:t>
      </w:r>
      <w:r>
        <w:t xml:space="preserve"> </w:t>
      </w:r>
      <w:r>
        <w:rPr>
          <w:rStyle w:val="VerbatimChar"/>
        </w:rPr>
        <w:t xml:space="preserve">KES</w:t>
      </w:r>
      <w:r>
        <w:t xml:space="preserve">,</w:t>
      </w:r>
      <w:r>
        <w:t xml:space="preserve"> </w:t>
      </w:r>
      <w:r>
        <w:rPr>
          <w:rStyle w:val="VerbatimChar"/>
        </w:rPr>
        <w:t xml:space="preserve">TZS</w:t>
      </w:r>
      <w:r>
        <w:t xml:space="preserve">).</w:t>
      </w:r>
    </w:p>
    <w:p>
      <w:pPr>
        <w:pStyle w:val="Compact"/>
        <w:numPr>
          <w:ilvl w:val="0"/>
          <w:numId w:val="1010"/>
        </w:numPr>
      </w:pPr>
      <w:r>
        <w:rPr>
          <w:b/>
          <w:bCs/>
        </w:rPr>
        <w:t xml:space="preserve">Timezone:</w:t>
      </w:r>
      <w:r>
        <w:t xml:space="preserve"> </w:t>
      </w:r>
      <w:r>
        <w:t xml:space="preserve">IANA timezone identifier (e.g.,</w:t>
      </w:r>
      <w:r>
        <w:t xml:space="preserve"> </w:t>
      </w:r>
      <w:r>
        <w:rPr>
          <w:rStyle w:val="VerbatimChar"/>
        </w:rPr>
        <w:t xml:space="preserve">Africa/Kampala</w:t>
      </w:r>
      <w:r>
        <w:t xml:space="preserve">).</w:t>
      </w:r>
    </w:p>
    <w:p>
      <w:pPr>
        <w:pStyle w:val="Compact"/>
        <w:numPr>
          <w:ilvl w:val="0"/>
          <w:numId w:val="1010"/>
        </w:numPr>
      </w:pPr>
      <w:r>
        <w:rPr>
          <w:b/>
          <w:bCs/>
        </w:rPr>
        <w:t xml:space="preserve">Chart of Accounts (COA):</w:t>
      </w:r>
      <w:r>
        <w:t xml:space="preserve"> </w:t>
      </w:r>
      <w:r>
        <w:t xml:space="preserve">The COA starter template applied at tenant provisioning, customisable post-provisioning.</w:t>
      </w:r>
    </w:p>
    <w:p>
      <w:pPr>
        <w:pStyle w:val="Compact"/>
        <w:numPr>
          <w:ilvl w:val="0"/>
          <w:numId w:val="1010"/>
        </w:numPr>
      </w:pPr>
      <w:r>
        <w:rPr>
          <w:b/>
          <w:bCs/>
        </w:rPr>
        <w:t xml:space="preserve">Roles and permissions:</w:t>
      </w:r>
      <w:r>
        <w:t xml:space="preserve"> </w:t>
      </w:r>
      <w:r>
        <w:t xml:space="preserve">Tenant-defined roles built on top of the platform RBAC framework.</w:t>
      </w:r>
    </w:p>
    <w:p>
      <w:pPr>
        <w:pStyle w:val="Compact"/>
        <w:numPr>
          <w:ilvl w:val="0"/>
          <w:numId w:val="1010"/>
        </w:numPr>
      </w:pPr>
      <w:r>
        <w:rPr>
          <w:b/>
          <w:bCs/>
        </w:rPr>
        <w:t xml:space="preserve">Branches:</w:t>
      </w:r>
      <w:r>
        <w:t xml:space="preserve"> </w:t>
      </w:r>
      <w:r>
        <w:t xml:space="preserve">One or more branches with individual location data, contact details, and branch-level configuration.</w:t>
      </w:r>
    </w:p>
    <w:p>
      <w:pPr>
        <w:pStyle w:val="Compact"/>
        <w:numPr>
          <w:ilvl w:val="0"/>
          <w:numId w:val="1010"/>
        </w:numPr>
      </w:pPr>
      <w:r>
        <w:rPr>
          <w:b/>
          <w:bCs/>
        </w:rPr>
        <w:t xml:space="preserve">Enabled modules:</w:t>
      </w:r>
      <w:r>
        <w:t xml:space="preserve"> </w:t>
      </w:r>
      <w:r>
        <w:t xml:space="preserve">The set of module codes active for this tenant under their current subscription plan.</w:t>
      </w:r>
    </w:p>
    <w:p>
      <w:pPr>
        <w:pStyle w:val="Compact"/>
        <w:numPr>
          <w:ilvl w:val="0"/>
          <w:numId w:val="1010"/>
        </w:numPr>
      </w:pPr>
      <w:r>
        <w:rPr>
          <w:b/>
          <w:bCs/>
        </w:rPr>
        <w:t xml:space="preserve">Localisation profile:</w:t>
      </w:r>
      <w:r>
        <w:t xml:space="preserve"> </w:t>
      </w:r>
      <w:r>
        <w:t xml:space="preserve">See Section 10 for the full localisation profile specification.</w:t>
      </w:r>
    </w:p>
    <w:p>
      <w:pPr>
        <w:pStyle w:val="FirstParagraph"/>
      </w:pPr>
      <w:r>
        <w:t xml:space="preserve">Configuration is managed via the Tenant Workspace settings area and the Super Admin Panel. Configuration changes take effect on the next page load (no application restart required).</w:t>
      </w:r>
    </w:p>
    <w:bookmarkEnd w:id="66"/>
    <w:bookmarkStart w:id="67" w:name="Xf07ac8af26e4b67f0b107c2c56323c06de625e8"/>
    <w:p>
      <w:pPr>
        <w:pStyle w:val="Heading2"/>
      </w:pPr>
      <w:r>
        <w:t xml:space="preserve">5.7 Data Schema Convention</w:t>
      </w:r>
    </w:p>
    <w:p>
      <w:pPr>
        <w:pStyle w:val="FirstParagraph"/>
      </w:pPr>
      <w:r>
        <w:t xml:space="preserve">Every operational table in the Longhorn ERP schema follows this convention:</w:t>
      </w:r>
    </w:p>
    <w:p>
      <w:pPr>
        <w:pStyle w:val="SourceCode"/>
      </w:pPr>
      <w:r>
        <w:rPr>
          <w:rStyle w:val="CommentTok"/>
        </w:rPr>
        <w:t xml:space="preserve">-- Illustrative table structure (prospective)</w:t>
      </w:r>
      <w:r>
        <w:br/>
      </w:r>
      <w:r>
        <w:rPr>
          <w:rStyle w:val="KeywordTok"/>
        </w:rPr>
        <w:t xml:space="preserve">CREATE</w:t>
      </w:r>
      <w:r>
        <w:rPr>
          <w:rStyle w:val="NormalTok"/>
        </w:rPr>
        <w:t xml:space="preserve"> </w:t>
      </w:r>
      <w:r>
        <w:rPr>
          <w:rStyle w:val="KeywordTok"/>
        </w:rPr>
        <w:t xml:space="preserve">TABLE</w:t>
      </w:r>
      <w:r>
        <w:rPr>
          <w:rStyle w:val="NormalTok"/>
        </w:rPr>
        <w:t xml:space="preserve"> invoices (</w:t>
      </w:r>
      <w:r>
        <w:br/>
      </w:r>
      <w:r>
        <w:rPr>
          <w:rStyle w:val="NormalTok"/>
        </w:rPr>
        <w:t xml:space="preserve">    </w:t>
      </w:r>
      <w:r>
        <w:rPr>
          <w:rStyle w:val="KeywordTok"/>
        </w:rPr>
        <w:t xml:space="preserve">id</w:t>
      </w:r>
      <w:r>
        <w:rPr>
          <w:rStyle w:val="NormalTok"/>
        </w:rPr>
        <w:t xml:space="preserve">          BIGINT UNSIGNED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tenant_id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branch_id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domain columns ...</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created_by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w:t>
      </w:r>
      <w:r>
        <w:br/>
      </w:r>
      <w:r>
        <w:rPr>
          <w:rStyle w:val="NormalTok"/>
        </w:rPr>
        <w:t xml:space="preserve">    </w:t>
      </w:r>
      <w:r>
        <w:rPr>
          <w:rStyle w:val="KeywordTok"/>
        </w:rPr>
        <w:t xml:space="preserve">INDEX</w:t>
      </w:r>
      <w:r>
        <w:rPr>
          <w:rStyle w:val="NormalTok"/>
        </w:rPr>
        <w:t xml:space="preserve"> idx_tenant (tenant_id),</w:t>
      </w:r>
      <w:r>
        <w:br/>
      </w:r>
      <w:r>
        <w:rPr>
          <w:rStyle w:val="NormalTok"/>
        </w:rPr>
        <w:t xml:space="preserve">    </w:t>
      </w:r>
      <w:r>
        <w:rPr>
          <w:rStyle w:val="KeywordTok"/>
        </w:rPr>
        <w:t xml:space="preserve">CONSTRAINT</w:t>
      </w:r>
      <w:r>
        <w:rPr>
          <w:rStyle w:val="NormalTok"/>
        </w:rPr>
        <w:t xml:space="preserve"> fk_invoice_tenant </w:t>
      </w:r>
      <w:r>
        <w:rPr>
          <w:rStyle w:val="KeywordTok"/>
        </w:rPr>
        <w:t xml:space="preserve">FOREIGN</w:t>
      </w:r>
      <w:r>
        <w:rPr>
          <w:rStyle w:val="NormalTok"/>
        </w:rPr>
        <w:t xml:space="preserve"> </w:t>
      </w:r>
      <w:r>
        <w:rPr>
          <w:rStyle w:val="KeywordTok"/>
        </w:rPr>
        <w:t xml:space="preserve">KEY</w:t>
      </w:r>
      <w:r>
        <w:rPr>
          <w:rStyle w:val="NormalTok"/>
        </w:rPr>
        <w:t xml:space="preserve"> (tenant_id) </w:t>
      </w:r>
      <w:r>
        <w:rPr>
          <w:rStyle w:val="KeywordTok"/>
        </w:rPr>
        <w:t xml:space="preserve">REFERENCES</w:t>
      </w:r>
      <w:r>
        <w:rPr>
          <w:rStyle w:val="NormalTok"/>
        </w:rPr>
        <w:t xml:space="preserve"> tenants(</w:t>
      </w:r>
      <w:r>
        <w:rPr>
          <w:rStyle w:val="KeywordTok"/>
        </w:rPr>
        <w:t xml:space="preserve">id</w:t>
      </w:r>
      <w:r>
        <w:rPr>
          <w:rStyle w:val="NormalTok"/>
        </w:rPr>
        <w:t xml:space="preserve">)</w:t>
      </w:r>
      <w:r>
        <w:br/>
      </w:r>
      <w:r>
        <w:rPr>
          <w:rStyle w:val="NormalTok"/>
        </w:rPr>
        <w:t xml:space="preserve">);</w:t>
      </w:r>
    </w:p>
    <w:p>
      <w:pPr>
        <w:pStyle w:val="FirstParagraph"/>
      </w:pPr>
      <w:r>
        <w:t xml:space="preserve">The</w:t>
      </w:r>
      <w:r>
        <w:t xml:space="preserve"> </w:t>
      </w:r>
      <w:r>
        <w:rPr>
          <w:rStyle w:val="VerbatimChar"/>
        </w:rPr>
        <w:t xml:space="preserve">tenant_id</w:t>
      </w:r>
      <w:r>
        <w:t xml:space="preserve"> </w:t>
      </w:r>
      <w:r>
        <w:t xml:space="preserve">column is indexed on all operational tables to ensure that tenant-scoped queries execute with a predictable execution plan that does not degrade as the number of tenants grows.</w:t>
      </w:r>
    </w:p>
    <w:bookmarkEnd w:id="67"/>
    <w:bookmarkEnd w:id="68"/>
    <w:bookmarkStart w:id="77" w:name="security-architecture"/>
    <w:p>
      <w:pPr>
        <w:pStyle w:val="Heading1"/>
      </w:pPr>
      <w:r>
        <w:t xml:space="preserve">Security Architecture</w:t>
      </w:r>
    </w:p>
    <w:bookmarkStart w:id="69" w:name="X2b4d19dface0bd64065274bdc59058dda5fbca1"/>
    <w:p>
      <w:pPr>
        <w:pStyle w:val="Heading2"/>
      </w:pPr>
      <w:r>
        <w:t xml:space="preserve">6.1 Security Model Overview</w:t>
      </w:r>
    </w:p>
    <w:p>
      <w:pPr>
        <w:pStyle w:val="FirstParagraph"/>
      </w:pPr>
      <w:r>
        <w:t xml:space="preserve">The Longhorn ERP security model addresses four threat surfaces: web browser clients, mobile native clients, the REST API, and the shared-database multi-tenant data layer. Each surface has a distinct authentication and authorisation mechanism. The model is designed to satisfy OWASP Top 10 (2021), NIST SP 800-63B authentication assurance levels, and the Uganda Data Protection and Privacy Act 2019.</w:t>
      </w:r>
    </w:p>
    <w:bookmarkEnd w:id="69"/>
    <w:bookmarkStart w:id="70" w:name="X427f17792d8710b097b593476e6cf06e16e303f"/>
    <w:p>
      <w:pPr>
        <w:pStyle w:val="Heading2"/>
      </w:pPr>
      <w:r>
        <w:t xml:space="preserve">6.2 Web Authentication</w:t>
      </w:r>
    </w:p>
    <w:p>
      <w:pPr>
        <w:pStyle w:val="FirstParagraph"/>
      </w:pPr>
      <w:r>
        <w:rPr>
          <w:b/>
          <w:bCs/>
        </w:rPr>
        <w:t xml:space="preserve">Mechanism:</w:t>
      </w:r>
      <w:r>
        <w:t xml:space="preserve"> </w:t>
      </w:r>
      <w:r>
        <w:t xml:space="preserve">Session-based authentication.</w:t>
      </w:r>
    </w:p>
    <w:p>
      <w:pPr>
        <w:pStyle w:val="BodyText"/>
      </w:pPr>
      <w:r>
        <w:rPr>
          <w:b/>
          <w:bCs/>
        </w:rPr>
        <w:t xml:space="preserve">Session cookie:</w:t>
      </w:r>
      <w:r>
        <w:t xml:space="preserve"> </w:t>
      </w:r>
      <w:r>
        <w:rPr>
          <w:rStyle w:val="VerbatimChar"/>
        </w:rPr>
        <w:t xml:space="preserve">LONGHORN_ERP_SESSION</w:t>
      </w:r>
    </w:p>
    <w:p>
      <w:pPr>
        <w:pStyle w:val="BodyText"/>
      </w:pPr>
      <w:r>
        <w:rPr>
          <w:b/>
          <w:bCs/>
        </w:rPr>
        <w:t xml:space="preserve">Cookie attributes: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HttpOnly</w:t>
            </w:r>
          </w:p>
        </w:tc>
        <w:tc>
          <w:tcPr/>
          <w:p>
            <w:pPr>
              <w:pStyle w:val="Compact"/>
            </w:pPr>
            <w:r>
              <w:rPr>
                <w:rStyle w:val="VerbatimChar"/>
              </w:rPr>
              <w:t xml:space="preserve">true</w:t>
            </w:r>
          </w:p>
        </w:tc>
        <w:tc>
          <w:tcPr/>
          <w:p>
            <w:pPr>
              <w:pStyle w:val="Compact"/>
            </w:pPr>
            <w:r>
              <w:t xml:space="preserve">Prevents JavaScript access; mitigates XSS token theft.</w:t>
            </w:r>
          </w:p>
        </w:tc>
      </w:tr>
      <w:tr>
        <w:tc>
          <w:tcPr/>
          <w:p>
            <w:pPr>
              <w:pStyle w:val="Compact"/>
            </w:pPr>
            <w:r>
              <w:rPr>
                <w:rStyle w:val="VerbatimChar"/>
              </w:rPr>
              <w:t xml:space="preserve">SameSite</w:t>
            </w:r>
          </w:p>
        </w:tc>
        <w:tc>
          <w:tcPr/>
          <w:p>
            <w:pPr>
              <w:pStyle w:val="Compact"/>
            </w:pPr>
            <w:r>
              <w:rPr>
                <w:rStyle w:val="VerbatimChar"/>
              </w:rPr>
              <w:t xml:space="preserve">Strict</w:t>
            </w:r>
          </w:p>
        </w:tc>
        <w:tc>
          <w:tcPr/>
          <w:p>
            <w:pPr>
              <w:pStyle w:val="Compact"/>
            </w:pPr>
            <w:r>
              <w:t xml:space="preserve">Prevents cross-site request forgery (CSRF) via browser-level enforcement.</w:t>
            </w:r>
          </w:p>
        </w:tc>
      </w:tr>
      <w:tr>
        <w:tc>
          <w:tcPr/>
          <w:p>
            <w:pPr>
              <w:pStyle w:val="Compact"/>
            </w:pPr>
            <w:r>
              <w:rPr>
                <w:rStyle w:val="VerbatimChar"/>
              </w:rPr>
              <w:t xml:space="preserve">Secure</w:t>
            </w:r>
          </w:p>
        </w:tc>
        <w:tc>
          <w:tcPr/>
          <w:p>
            <w:pPr>
              <w:pStyle w:val="Compact"/>
            </w:pPr>
            <w:r>
              <w:rPr>
                <w:rStyle w:val="VerbatimChar"/>
              </w:rPr>
              <w:t xml:space="preserve">true</w:t>
            </w:r>
            <w:r>
              <w:t xml:space="preserve"> </w:t>
            </w:r>
            <w:r>
              <w:t xml:space="preserve">(production)</w:t>
            </w:r>
          </w:p>
        </w:tc>
        <w:tc>
          <w:tcPr/>
          <w:p>
            <w:pPr>
              <w:pStyle w:val="Compact"/>
            </w:pPr>
            <w:r>
              <w:t xml:space="preserve">Transmits cookie only over TLS.</w:t>
            </w:r>
          </w:p>
        </w:tc>
      </w:tr>
      <w:tr>
        <w:tc>
          <w:tcPr/>
          <w:p>
            <w:pPr>
              <w:pStyle w:val="Compact"/>
            </w:pPr>
            <w:r>
              <w:rPr>
                <w:rStyle w:val="VerbatimChar"/>
              </w:rPr>
              <w:t xml:space="preserve">Path</w:t>
            </w:r>
          </w:p>
        </w:tc>
        <w:tc>
          <w:tcPr/>
          <w:p>
            <w:pPr>
              <w:pStyle w:val="Compact"/>
            </w:pPr>
            <w:r>
              <w:rPr>
                <w:rStyle w:val="VerbatimChar"/>
              </w:rPr>
              <w:t xml:space="preserve">/public/</w:t>
            </w:r>
          </w:p>
        </w:tc>
        <w:tc>
          <w:tcPr/>
          <w:p>
            <w:pPr>
              <w:pStyle w:val="Compact"/>
            </w:pPr>
            <w:r>
              <w:t xml:space="preserve">Scopes cookie to the tenant workspace path.</w:t>
            </w:r>
          </w:p>
        </w:tc>
      </w:tr>
    </w:tbl>
    <w:p>
      <w:pPr>
        <w:pStyle w:val="BodyText"/>
      </w:pPr>
      <w:r>
        <w:rPr>
          <w:b/>
          <w:bCs/>
        </w:rPr>
        <w:t xml:space="preserve">Session invalidation:</w:t>
      </w:r>
      <w:r>
        <w:t xml:space="preserve"> </w:t>
      </w:r>
      <w:r>
        <w:t xml:space="preserve">The system shall invalidate all active sessions for a user within 5 seconds of an administrator disabling that user's account (NFR-SEC-003).</w:t>
      </w:r>
    </w:p>
    <w:p>
      <w:pPr>
        <w:pStyle w:val="BodyText"/>
      </w:pPr>
      <w:r>
        <w:rPr>
          <w:b/>
          <w:bCs/>
        </w:rPr>
        <w:t xml:space="preserve">Two-factor authentication (2FA):</w:t>
      </w:r>
      <w:r>
        <w:t xml:space="preserve"> </w:t>
      </w:r>
      <w:r>
        <w:t xml:space="preserve">Supported via time-based one-time password (TOTP) per NIST SP 800-63B AAL2. 2FA enforcement is configurable per tenant role.</w:t>
      </w:r>
    </w:p>
    <w:bookmarkEnd w:id="70"/>
    <w:bookmarkStart w:id="71" w:name="X3dd99e9d91f2fb26a8e3a21a9904b010ed13a4a"/>
    <w:p>
      <w:pPr>
        <w:pStyle w:val="Heading2"/>
      </w:pPr>
      <w:r>
        <w:t xml:space="preserve">6.3 Mobile Authentication</w:t>
      </w:r>
    </w:p>
    <w:p>
      <w:pPr>
        <w:pStyle w:val="FirstParagraph"/>
      </w:pPr>
      <w:r>
        <w:rPr>
          <w:b/>
          <w:bCs/>
        </w:rPr>
        <w:t xml:space="preserve">Mechanism:</w:t>
      </w:r>
      <w:r>
        <w:t xml:space="preserve"> </w:t>
      </w:r>
      <w:r>
        <w:t xml:space="preserve">JSON Web Token (JWT) Bearer token using the</w:t>
      </w:r>
      <w:r>
        <w:t xml:space="preserve"> </w:t>
      </w:r>
      <w:r>
        <w:rPr>
          <w:rStyle w:val="VerbatimChar"/>
        </w:rPr>
        <w:t xml:space="preserve">firebase/php-jwt</w:t>
      </w:r>
      <w:r>
        <w:t xml:space="preserve"> </w:t>
      </w:r>
      <w:r>
        <w:t xml:space="preserve">7.0 library.</w:t>
      </w:r>
    </w:p>
    <w:p>
      <w:pPr>
        <w:pStyle w:val="BodyText"/>
      </w:pPr>
      <w:r>
        <w:rPr>
          <w:b/>
          <w:bCs/>
        </w:rPr>
        <w:t xml:space="preserve">JWT claims: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Key</w:t>
            </w:r>
          </w:p>
        </w:tc>
        <w:tc>
          <w:tcPr/>
          <w:p>
            <w:pPr>
              <w:pStyle w:val="Compact"/>
            </w:pPr>
            <w:r>
              <w:t xml:space="preserve">Description</w:t>
            </w:r>
          </w:p>
        </w:tc>
      </w:tr>
      <w:tr>
        <w:tc>
          <w:tcPr/>
          <w:p>
            <w:pPr>
              <w:pStyle w:val="Compact"/>
            </w:pPr>
            <w:r>
              <w:t xml:space="preserve">Tenant identifier</w:t>
            </w:r>
          </w:p>
        </w:tc>
        <w:tc>
          <w:tcPr/>
          <w:p>
            <w:pPr>
              <w:pStyle w:val="Compact"/>
            </w:pPr>
            <w:r>
              <w:rPr>
                <w:rStyle w:val="VerbatimChar"/>
              </w:rPr>
              <w:t xml:space="preserve">tid</w:t>
            </w:r>
          </w:p>
        </w:tc>
        <w:tc>
          <w:tcPr/>
          <w:p>
            <w:pPr>
              <w:pStyle w:val="Compact"/>
            </w:pPr>
            <w:r>
              <w:t xml:space="preserve">The tenant's unique identifier.</w:t>
            </w:r>
          </w:p>
        </w:tc>
      </w:tr>
      <w:tr>
        <w:tc>
          <w:tcPr/>
          <w:p>
            <w:pPr>
              <w:pStyle w:val="Compact"/>
            </w:pPr>
            <w:r>
              <w:t xml:space="preserve">User identifier</w:t>
            </w:r>
          </w:p>
        </w:tc>
        <w:tc>
          <w:tcPr/>
          <w:p>
            <w:pPr>
              <w:pStyle w:val="Compact"/>
            </w:pPr>
            <w:r>
              <w:rPr>
                <w:rStyle w:val="VerbatimChar"/>
              </w:rPr>
              <w:t xml:space="preserve">uid</w:t>
            </w:r>
          </w:p>
        </w:tc>
        <w:tc>
          <w:tcPr/>
          <w:p>
            <w:pPr>
              <w:pStyle w:val="Compact"/>
            </w:pPr>
            <w:r>
              <w:t xml:space="preserve">The authenticated user's identifier.</w:t>
            </w:r>
          </w:p>
        </w:tc>
      </w:tr>
      <w:tr>
        <w:tc>
          <w:tcPr/>
          <w:p>
            <w:pPr>
              <w:pStyle w:val="Compact"/>
            </w:pPr>
            <w:r>
              <w:t xml:space="preserve">Role</w:t>
            </w:r>
          </w:p>
        </w:tc>
        <w:tc>
          <w:tcPr/>
          <w:p>
            <w:pPr>
              <w:pStyle w:val="Compact"/>
            </w:pPr>
            <w:r>
              <w:rPr>
                <w:rStyle w:val="VerbatimChar"/>
              </w:rPr>
              <w:t xml:space="preserve">role</w:t>
            </w:r>
          </w:p>
        </w:tc>
        <w:tc>
          <w:tcPr/>
          <w:p>
            <w:pPr>
              <w:pStyle w:val="Compact"/>
            </w:pPr>
            <w:r>
              <w:t xml:space="preserve">The user's primary role code.</w:t>
            </w:r>
          </w:p>
        </w:tc>
      </w:tr>
      <w:tr>
        <w:tc>
          <w:tcPr/>
          <w:p>
            <w:pPr>
              <w:pStyle w:val="Compact"/>
            </w:pPr>
            <w:r>
              <w:t xml:space="preserve">Active modules</w:t>
            </w:r>
          </w:p>
        </w:tc>
        <w:tc>
          <w:tcPr/>
          <w:p>
            <w:pPr>
              <w:pStyle w:val="Compact"/>
            </w:pPr>
            <w:r>
              <w:rPr>
                <w:rStyle w:val="VerbatimChar"/>
              </w:rPr>
              <w:t xml:space="preserve">modules</w:t>
            </w:r>
          </w:p>
        </w:tc>
        <w:tc>
          <w:tcPr/>
          <w:p>
            <w:pPr>
              <w:pStyle w:val="Compact"/>
            </w:pPr>
            <w:r>
              <w:t xml:space="preserve">Array of module codes active for the tenant.</w:t>
            </w:r>
          </w:p>
        </w:tc>
      </w:tr>
      <w:tr>
        <w:tc>
          <w:tcPr/>
          <w:p>
            <w:pPr>
              <w:pStyle w:val="Compact"/>
            </w:pPr>
            <w:r>
              <w:t xml:space="preserve">Expiry</w:t>
            </w:r>
          </w:p>
        </w:tc>
        <w:tc>
          <w:tcPr/>
          <w:p>
            <w:pPr>
              <w:pStyle w:val="Compact"/>
            </w:pPr>
            <w:r>
              <w:rPr>
                <w:rStyle w:val="VerbatimChar"/>
              </w:rPr>
              <w:t xml:space="preserve">exp</w:t>
            </w:r>
          </w:p>
        </w:tc>
        <w:tc>
          <w:tcPr/>
          <w:p>
            <w:pPr>
              <w:pStyle w:val="Compact"/>
            </w:pPr>
            <w:r>
              <w:t xml:space="preserve">Standard JWT expiry timestamp.</w:t>
            </w:r>
          </w:p>
        </w:tc>
      </w:tr>
    </w:tbl>
    <w:p>
      <w:pPr>
        <w:pStyle w:val="BodyText"/>
      </w:pPr>
      <w:r>
        <w:rPr>
          <w:b/>
          <w:bCs/>
        </w:rPr>
        <w:t xml:space="preserve">Refresh rotation:</w:t>
      </w:r>
      <w:r>
        <w:t xml:space="preserve"> </w:t>
      </w:r>
      <w:r>
        <w:t xml:space="preserve">Access tokens expire in 15 minutes. Refresh tokens expire in 30 days and rotate on each use (the old refresh token is immediately invalidated). Refresh token records are stored server-side so that a compromised refresh token can be revoked.</w:t>
      </w:r>
    </w:p>
    <w:p>
      <w:pPr>
        <w:pStyle w:val="BodyText"/>
      </w:pPr>
      <w:r>
        <w:rPr>
          <w:b/>
          <w:bCs/>
        </w:rPr>
        <w:t xml:space="preserve">Token revocation:</w:t>
      </w:r>
      <w:r>
        <w:t xml:space="preserve"> </w:t>
      </w:r>
      <w:r>
        <w:t xml:space="preserve">Revoked token identifiers are stored in a blocklist table checked on every authenticated API request.</w:t>
      </w:r>
    </w:p>
    <w:bookmarkEnd w:id="71"/>
    <w:bookmarkStart w:id="72" w:name="Xd9708d713f481f984754e3ea3c4fa35f997dbc3"/>
    <w:p>
      <w:pPr>
        <w:pStyle w:val="Heading2"/>
      </w:pPr>
      <w:r>
        <w:t xml:space="preserve">6.4 CSRF Protection</w:t>
      </w:r>
    </w:p>
    <w:p>
      <w:pPr>
        <w:pStyle w:val="FirstParagraph"/>
      </w:pPr>
      <w:r>
        <w:t xml:space="preserve">All state-changing web requests (HTTP POST, PUT, DELETE, and PATCH to</w:t>
      </w:r>
      <w:r>
        <w:t xml:space="preserve"> </w:t>
      </w:r>
      <w:r>
        <w:rPr>
          <w:rStyle w:val="VerbatimChar"/>
        </w:rPr>
        <w:t xml:space="preserve">/public/api/</w:t>
      </w:r>
      <w:r>
        <w:t xml:space="preserve">) must include a valid</w:t>
      </w:r>
      <w:r>
        <w:t xml:space="preserve"> </w:t>
      </w:r>
      <w:r>
        <w:rPr>
          <w:rStyle w:val="VerbatimChar"/>
        </w:rPr>
        <w:t xml:space="preserve">X-CSRF-Token</w:t>
      </w:r>
      <w:r>
        <w:t xml:space="preserve"> </w:t>
      </w:r>
      <w:r>
        <w:t xml:space="preserve">header. The token is a cryptographically random value tied to the user's session, generated at session creation and regenerated after each successful authentication.</w:t>
      </w:r>
    </w:p>
    <w:p>
      <w:pPr>
        <w:pStyle w:val="BodyText"/>
      </w:pPr>
      <w:r>
        <w:t xml:space="preserve">The CSRF token is injected into each page by the PHP renderer as a JavaScript variable. All page-level JavaScript files read this variable and include the header on every AJAX request. Requests missing or bearing an invalid CSRF token are rejected with HTTP 403.</w:t>
      </w:r>
    </w:p>
    <w:p>
      <w:pPr>
        <w:pStyle w:val="BodyText"/>
      </w:pPr>
      <w:r>
        <w:t xml:space="preserve">CSRF protection does not apply to the Mobile API (</w:t>
      </w:r>
      <w:r>
        <w:rPr>
          <w:rStyle w:val="VerbatimChar"/>
        </w:rPr>
        <w:t xml:space="preserve">/public/api/mobile/v1/</w:t>
      </w:r>
      <w:r>
        <w:t xml:space="preserve">) because mobile clients are stateless and authenticate via JWT Bearer token, which is inherently CSRF-resistant.</w:t>
      </w:r>
    </w:p>
    <w:bookmarkEnd w:id="72"/>
    <w:bookmarkStart w:id="73" w:name="X64db6619c1d86b31479c05f877802d35155c0fc"/>
    <w:p>
      <w:pPr>
        <w:pStyle w:val="Heading2"/>
      </w:pPr>
      <w:r>
        <w:t xml:space="preserve">6.5 Rate Limiting</w:t>
      </w:r>
    </w:p>
    <w:p>
      <w:pPr>
        <w:pStyle w:val="FirstParagraph"/>
      </w:pPr>
      <w:r>
        <w:t xml:space="preserve">Rate limiting uses a token bucket algorithm applied at two granularities: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 Type</w:t>
            </w:r>
          </w:p>
        </w:tc>
        <w:tc>
          <w:tcPr/>
          <w:p>
            <w:pPr>
              <w:pStyle w:val="Compact"/>
            </w:pPr>
            <w:r>
              <w:t xml:space="preserve">Scope</w:t>
            </w:r>
          </w:p>
        </w:tc>
        <w:tc>
          <w:tcPr/>
          <w:p>
            <w:pPr>
              <w:pStyle w:val="Compact"/>
            </w:pPr>
            <w:r>
              <w:t xml:space="preserve">Default Limit</w:t>
            </w:r>
          </w:p>
        </w:tc>
      </w:tr>
      <w:tr>
        <w:tc>
          <w:tcPr/>
          <w:p>
            <w:pPr>
              <w:pStyle w:val="Compact"/>
            </w:pPr>
            <w:r>
              <w:t xml:space="preserve">Per-tenant</w:t>
            </w:r>
          </w:p>
        </w:tc>
        <w:tc>
          <w:tcPr/>
          <w:p>
            <w:pPr>
              <w:pStyle w:val="Compact"/>
            </w:pPr>
            <w:r>
              <w:t xml:space="preserve">All requests from a single</w:t>
            </w:r>
            <w:r>
              <w:t xml:space="preserve"> </w:t>
            </w:r>
            <w:r>
              <w:rPr>
                <w:rStyle w:val="VerbatimChar"/>
              </w:rPr>
              <w:t xml:space="preserve">tenant_id</w:t>
            </w:r>
          </w:p>
        </w:tc>
        <w:tc>
          <w:tcPr/>
          <w:p>
            <w:pPr>
              <w:pStyle w:val="Compact"/>
            </w:pPr>
            <w:r>
              <w:t xml:space="preserve">Configurable per subscription plan</w:t>
            </w:r>
          </w:p>
        </w:tc>
      </w:tr>
      <w:tr>
        <w:tc>
          <w:tcPr/>
          <w:p>
            <w:pPr>
              <w:pStyle w:val="Compact"/>
            </w:pPr>
            <w:r>
              <w:t xml:space="preserve">Per-user</w:t>
            </w:r>
          </w:p>
        </w:tc>
        <w:tc>
          <w:tcPr/>
          <w:p>
            <w:pPr>
              <w:pStyle w:val="Compact"/>
            </w:pPr>
            <w:r>
              <w:t xml:space="preserve">All requests from a single</w:t>
            </w:r>
            <w:r>
              <w:t xml:space="preserve"> </w:t>
            </w:r>
            <w:r>
              <w:rPr>
                <w:rStyle w:val="VerbatimChar"/>
              </w:rPr>
              <w:t xml:space="preserve">user_id</w:t>
            </w:r>
          </w:p>
        </w:tc>
        <w:tc>
          <w:tcPr/>
          <w:p>
            <w:pPr>
              <w:pStyle w:val="Compact"/>
            </w:pPr>
            <w:r>
              <w:t xml:space="preserve">300 requests per minute</w:t>
            </w:r>
          </w:p>
        </w:tc>
      </w:tr>
    </w:tbl>
    <w:p>
      <w:pPr>
        <w:pStyle w:val="BodyText"/>
      </w:pPr>
      <w:r>
        <w:t xml:space="preserve">When a limit is exceeded, the system returns HTTP 429 Too Many Requests with a</w:t>
      </w:r>
      <w:r>
        <w:t xml:space="preserve"> </w:t>
      </w:r>
      <w:r>
        <w:rPr>
          <w:rStyle w:val="VerbatimChar"/>
        </w:rPr>
        <w:t xml:space="preserve">Retry-After</w:t>
      </w:r>
      <w:r>
        <w:t xml:space="preserve"> </w:t>
      </w:r>
      <w:r>
        <w:t xml:space="preserve">header. Rate limit counters shall be stored in a sub-millisecond key-value store (e.g., Redis or APCu) and shall reset on the rolling window boundary.</w:t>
      </w:r>
    </w:p>
    <w:bookmarkEnd w:id="73"/>
    <w:bookmarkStart w:id="74" w:name="Xee8d6346a83a7ce37baf9530bf1a7fa676fa2c4"/>
    <w:p>
      <w:pPr>
        <w:pStyle w:val="Heading2"/>
      </w:pPr>
      <w:r>
        <w:t xml:space="preserve">6.6 Audit Log Immutability</w:t>
      </w:r>
    </w:p>
    <w:p>
      <w:pPr>
        <w:pStyle w:val="FirstParagraph"/>
      </w:pPr>
      <w:r>
        <w:t xml:space="preserve">The audit log is INSERT-only (NFR-SEC-002). No</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statement shall be executed against the</w:t>
      </w:r>
      <w:r>
        <w:t xml:space="preserve"> </w:t>
      </w:r>
      <w:r>
        <w:rPr>
          <w:rStyle w:val="VerbatimChar"/>
        </w:rPr>
        <w:t xml:space="preserve">audit_log</w:t>
      </w:r>
      <w:r>
        <w:t xml:space="preserve"> </w:t>
      </w:r>
      <w:r>
        <w:t xml:space="preserve">table by any code path, including super administrator operations. The MySQL 9.1 user account used by the application shall be granted only</w:t>
      </w:r>
      <w:r>
        <w:t xml:space="preserve"> </w:t>
      </w:r>
      <w:r>
        <w:rPr>
          <w:rStyle w:val="VerbatimChar"/>
        </w:rPr>
        <w:t xml:space="preserve">INSERT</w:t>
      </w:r>
      <w:r>
        <w:t xml:space="preserve"> </w:t>
      </w:r>
      <w:r>
        <w:t xml:space="preserve">and</w:t>
      </w:r>
      <w:r>
        <w:t xml:space="preserve"> </w:t>
      </w:r>
      <w:r>
        <w:rPr>
          <w:rStyle w:val="VerbatimChar"/>
        </w:rPr>
        <w:t xml:space="preserve">SELECT</w:t>
      </w:r>
      <w:r>
        <w:t xml:space="preserve"> </w:t>
      </w:r>
      <w:r>
        <w:t xml:space="preserve">privileges on</w:t>
      </w:r>
      <w:r>
        <w:t xml:space="preserve"> </w:t>
      </w:r>
      <w:r>
        <w:rPr>
          <w:rStyle w:val="VerbatimChar"/>
        </w:rPr>
        <w:t xml:space="preserve">audit_log</w:t>
      </w:r>
      <w:r>
        <w:t xml:space="preserve"> </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privileges are withheld at the database level.</w:t>
      </w:r>
    </w:p>
    <w:p>
      <w:pPr>
        <w:pStyle w:val="BodyText"/>
      </w:pPr>
      <w:r>
        <w:t xml:space="preserve">Every Create, Read (sensitive), Update, Delete (CRUD), and approval action shall generate an audit log entry recording:</w:t>
      </w:r>
    </w:p>
    <w:p>
      <w:pPr>
        <w:pStyle w:val="Compact"/>
        <w:numPr>
          <w:ilvl w:val="0"/>
          <w:numId w:val="1011"/>
        </w:numPr>
      </w:pPr>
      <w:r>
        <w:rPr>
          <w:rStyle w:val="VerbatimChar"/>
        </w:rPr>
        <w:t xml:space="preserve">tenant_id</w:t>
      </w:r>
      <w:r>
        <w:t xml:space="preserve">,</w:t>
      </w:r>
      <w:r>
        <w:t xml:space="preserve"> </w:t>
      </w:r>
      <w:r>
        <w:rPr>
          <w:rStyle w:val="VerbatimChar"/>
        </w:rPr>
        <w:t xml:space="preserve">branch_id</w:t>
      </w:r>
      <w:r>
        <w:t xml:space="preserve">,</w:t>
      </w:r>
      <w:r>
        <w:t xml:space="preserve"> </w:t>
      </w:r>
      <w:r>
        <w:rPr>
          <w:rStyle w:val="VerbatimChar"/>
        </w:rPr>
        <w:t xml:space="preserve">user_id</w:t>
      </w:r>
    </w:p>
    <w:p>
      <w:pPr>
        <w:pStyle w:val="Compact"/>
        <w:numPr>
          <w:ilvl w:val="0"/>
          <w:numId w:val="1011"/>
        </w:numPr>
      </w:pPr>
      <w:r>
        <w:t xml:space="preserve">Event type, affected entity type, affected entity identifier</w:t>
      </w:r>
    </w:p>
    <w:p>
      <w:pPr>
        <w:pStyle w:val="Compact"/>
        <w:numPr>
          <w:ilvl w:val="0"/>
          <w:numId w:val="1011"/>
        </w:numPr>
      </w:pPr>
      <w:r>
        <w:t xml:space="preserve">Old values (JSON), new values (JSON)</w:t>
      </w:r>
    </w:p>
    <w:p>
      <w:pPr>
        <w:pStyle w:val="Compact"/>
        <w:numPr>
          <w:ilvl w:val="0"/>
          <w:numId w:val="1011"/>
        </w:numPr>
      </w:pPr>
      <w:r>
        <w:t xml:space="preserve">Client IP address</w:t>
      </w:r>
    </w:p>
    <w:p>
      <w:pPr>
        <w:pStyle w:val="Compact"/>
        <w:numPr>
          <w:ilvl w:val="0"/>
          <w:numId w:val="1011"/>
        </w:numPr>
      </w:pPr>
      <w:r>
        <w:t xml:space="preserve">Timestamp (UTC)</w:t>
      </w:r>
    </w:p>
    <w:p>
      <w:pPr>
        <w:pStyle w:val="FirstParagraph"/>
      </w:pPr>
      <w:r>
        <w:t xml:space="preserve">Audit records shall be retained for a minimum of 7 years per the AUDIT module specification, satisfying Uganda Companies Act requirements.</w:t>
      </w:r>
    </w:p>
    <w:bookmarkEnd w:id="74"/>
    <w:bookmarkStart w:id="75" w:name="X5dff0e5729024260e24acad75f8e0c26b9b9ef8"/>
    <w:p>
      <w:pPr>
        <w:pStyle w:val="Heading2"/>
      </w:pPr>
      <w:r>
        <w:t xml:space="preserve">6.7 Transport and Storage Encryption</w:t>
      </w:r>
    </w:p>
    <w:p>
      <w:pPr>
        <w:pStyle w:val="Compact"/>
        <w:numPr>
          <w:ilvl w:val="0"/>
          <w:numId w:val="1012"/>
        </w:numPr>
      </w:pPr>
      <w:r>
        <w:rPr>
          <w:b/>
          <w:bCs/>
        </w:rPr>
        <w:t xml:space="preserve">In transit:</w:t>
      </w:r>
      <w:r>
        <w:t xml:space="preserve"> </w:t>
      </w:r>
      <w:r>
        <w:t xml:space="preserve">TLS 1.3 for all external connections (browser, mobile app, webhook callbacks).</w:t>
      </w:r>
    </w:p>
    <w:p>
      <w:pPr>
        <w:pStyle w:val="Compact"/>
        <w:numPr>
          <w:ilvl w:val="0"/>
          <w:numId w:val="1012"/>
        </w:numPr>
      </w:pPr>
      <w:r>
        <w:rPr>
          <w:b/>
          <w:bCs/>
        </w:rPr>
        <w:t xml:space="preserve">At rest:</w:t>
      </w:r>
      <w:r>
        <w:t xml:space="preserve"> </w:t>
      </w:r>
      <w:r>
        <w:t xml:space="preserve">AES-256 encryption for sensitive fields. Fields subject to field-level encryption include: user passwords (bcrypt, cost factor ≥ 12), API keys, mobile money gateway credentials, SMTP passwords, and any Personally Identifiable Information (PII) fields flagged in the database schema.</w:t>
      </w:r>
    </w:p>
    <w:p>
      <w:pPr>
        <w:pStyle w:val="Compact"/>
        <w:numPr>
          <w:ilvl w:val="0"/>
          <w:numId w:val="1012"/>
        </w:numPr>
      </w:pPr>
      <w:r>
        <w:rPr>
          <w:b/>
          <w:bCs/>
        </w:rPr>
        <w:t xml:space="preserve">Database backups</w:t>
      </w:r>
      <w:r>
        <w:t xml:space="preserve"> </w:t>
      </w:r>
      <w:r>
        <w:t xml:space="preserve">shall be encrypted using AES-256 before writing to storage.</w:t>
      </w:r>
    </w:p>
    <w:bookmarkEnd w:id="75"/>
    <w:bookmarkStart w:id="76" w:name="X1151bf6ce627d36d3701b79ed3909371a29dfda"/>
    <w:p>
      <w:pPr>
        <w:pStyle w:val="Heading2"/>
      </w:pPr>
      <w:r>
        <w:t xml:space="preserve">6.8 OWASP Top 10 Compliance Requirements</w:t>
      </w:r>
    </w:p>
    <w:p>
      <w:pPr>
        <w:pStyle w:val="FirstParagraph"/>
      </w:pPr>
      <w:r>
        <w:t xml:space="preserve">The following requirements are derived from NFR-SEC-001 through NFR-SEC-003 and the OWASP Top 10 (2021) standard: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OWASP Risk</w:t>
            </w:r>
          </w:p>
        </w:tc>
        <w:tc>
          <w:tcPr/>
          <w:p>
            <w:pPr>
              <w:pStyle w:val="Compact"/>
            </w:pPr>
            <w:r>
              <w:t xml:space="preserve">Mitigation</w:t>
            </w:r>
          </w:p>
        </w:tc>
      </w:tr>
      <w:tr>
        <w:tc>
          <w:tcPr/>
          <w:p>
            <w:pPr>
              <w:pStyle w:val="Compact"/>
            </w:pPr>
            <w:r>
              <w:t xml:space="preserve">A01 — Broken Access Control</w:t>
            </w:r>
          </w:p>
        </w:tc>
        <w:tc>
          <w:tcPr/>
          <w:p>
            <w:pPr>
              <w:pStyle w:val="Compact"/>
            </w:pPr>
            <w:r>
              <w:t xml:space="preserve">Middleware pipeline enforces</w:t>
            </w:r>
            <w:r>
              <w:t xml:space="preserve"> </w:t>
            </w:r>
            <w:r>
              <w:rPr>
                <w:rStyle w:val="VerbatimChar"/>
              </w:rPr>
              <w:t xml:space="preserve">RequirePermission</w:t>
            </w:r>
            <w:r>
              <w:t xml:space="preserve"> </w:t>
            </w:r>
            <w:r>
              <w:t xml:space="preserve">on every request;</w:t>
            </w:r>
            <w:r>
              <w:t xml:space="preserve"> </w:t>
            </w:r>
            <w:r>
              <w:rPr>
                <w:rStyle w:val="VerbatimChar"/>
              </w:rPr>
              <w:t xml:space="preserve">tenant_id</w:t>
            </w:r>
            <w:r>
              <w:t xml:space="preserve"> </w:t>
            </w:r>
            <w:r>
              <w:t xml:space="preserve">from session only; cross-tenant returns 404.</w:t>
            </w:r>
          </w:p>
        </w:tc>
      </w:tr>
      <w:tr>
        <w:tc>
          <w:tcPr/>
          <w:p>
            <w:pPr>
              <w:pStyle w:val="Compact"/>
            </w:pPr>
            <w:r>
              <w:t xml:space="preserve">A02 — Cryptographic Failures</w:t>
            </w:r>
          </w:p>
        </w:tc>
        <w:tc>
          <w:tcPr/>
          <w:p>
            <w:pPr>
              <w:pStyle w:val="Compact"/>
            </w:pPr>
            <w:r>
              <w:t xml:space="preserve">TLS 1.3 in transit; AES-256 at rest; bcrypt (cost ≥ 12) for passwords; no MD5 or SHA-1.</w:t>
            </w:r>
          </w:p>
        </w:tc>
      </w:tr>
      <w:tr>
        <w:tc>
          <w:tcPr/>
          <w:p>
            <w:pPr>
              <w:pStyle w:val="Compact"/>
            </w:pPr>
            <w:r>
              <w:t xml:space="preserve">A03 — Injection</w:t>
            </w:r>
          </w:p>
        </w:tc>
        <w:tc>
          <w:tcPr/>
          <w:p>
            <w:pPr>
              <w:pStyle w:val="Compact"/>
            </w:pPr>
            <w:r>
              <w:t xml:space="preserve">PDO prepared statements only; no raw SQL concatenation; output HTML-escaped via</w:t>
            </w:r>
            <w:r>
              <w:t xml:space="preserve"> </w:t>
            </w:r>
            <w:r>
              <w:rPr>
                <w:rStyle w:val="VerbatimChar"/>
              </w:rPr>
              <w:t xml:space="preserve">htmlspecialchars()</w:t>
            </w:r>
            <w:r>
              <w:t xml:space="preserve">.</w:t>
            </w:r>
          </w:p>
        </w:tc>
      </w:tr>
      <w:tr>
        <w:tc>
          <w:tcPr/>
          <w:p>
            <w:pPr>
              <w:pStyle w:val="Compact"/>
            </w:pPr>
            <w:r>
              <w:t xml:space="preserve">A04 — Insecure Design</w:t>
            </w:r>
          </w:p>
        </w:tc>
        <w:tc>
          <w:tcPr/>
          <w:p>
            <w:pPr>
              <w:pStyle w:val="Compact"/>
            </w:pPr>
            <w:r>
              <w:t xml:space="preserve">Service layer enforces business rule validation via</w:t>
            </w:r>
            <w:r>
              <w:t xml:space="preserve"> </w:t>
            </w:r>
            <w:r>
              <w:rPr>
                <w:rStyle w:val="VerbatimChar"/>
              </w:rPr>
              <w:t xml:space="preserve">respect/validation</w:t>
            </w:r>
            <w:r>
              <w:t xml:space="preserve"> </w:t>
            </w:r>
            <w:r>
              <w:t xml:space="preserve">2.3; no trust of client-supplied data.</w:t>
            </w:r>
          </w:p>
        </w:tc>
      </w:tr>
      <w:tr>
        <w:tc>
          <w:tcPr/>
          <w:p>
            <w:pPr>
              <w:pStyle w:val="Compact"/>
            </w:pPr>
            <w:r>
              <w:t xml:space="preserve">A05 — Security Misconfiguration</w:t>
            </w:r>
          </w:p>
        </w:tc>
        <w:tc>
          <w:tcPr/>
          <w:p>
            <w:pPr>
              <w:pStyle w:val="Compact"/>
            </w:pPr>
            <w:r>
              <w:rPr>
                <w:rStyle w:val="VerbatimChar"/>
              </w:rPr>
              <w:t xml:space="preserve">.env</w:t>
            </w:r>
            <w:r>
              <w:t xml:space="preserve"> </w:t>
            </w:r>
            <w:r>
              <w:t xml:space="preserve">via</w:t>
            </w:r>
            <w:r>
              <w:t xml:space="preserve"> </w:t>
            </w:r>
            <w:r>
              <w:rPr>
                <w:rStyle w:val="VerbatimChar"/>
              </w:rPr>
              <w:t xml:space="preserve">vlucas/phpdotenv</w:t>
            </w:r>
            <w:r>
              <w:t xml:space="preserve"> </w:t>
            </w:r>
            <w:r>
              <w:t xml:space="preserve">5.6; no credentials in source code; error details suppressed in production.</w:t>
            </w:r>
          </w:p>
        </w:tc>
      </w:tr>
      <w:tr>
        <w:tc>
          <w:tcPr/>
          <w:p>
            <w:pPr>
              <w:pStyle w:val="Compact"/>
            </w:pPr>
            <w:r>
              <w:t xml:space="preserve">A06 — Vulnerable Components</w:t>
            </w:r>
          </w:p>
        </w:tc>
        <w:tc>
          <w:tcPr/>
          <w:p>
            <w:pPr>
              <w:pStyle w:val="Compact"/>
            </w:pPr>
            <w:r>
              <w:t xml:space="preserve">Composer dependency audit in CI pipeline; PHPStan 1.11 static analysis enforced.</w:t>
            </w:r>
          </w:p>
        </w:tc>
      </w:tr>
      <w:tr>
        <w:tc>
          <w:tcPr/>
          <w:p>
            <w:pPr>
              <w:pStyle w:val="Compact"/>
            </w:pPr>
            <w:r>
              <w:t xml:space="preserve">A07 — Authentication Failures</w:t>
            </w:r>
          </w:p>
        </w:tc>
        <w:tc>
          <w:tcPr/>
          <w:p>
            <w:pPr>
              <w:pStyle w:val="Compact"/>
            </w:pPr>
            <w:r>
              <w:t xml:space="preserve">NIST SP 800-63B AAL2 for admin roles; 2FA support; session invalidation within 5 seconds of account disable (NFR-SEC-003).</w:t>
            </w:r>
          </w:p>
        </w:tc>
      </w:tr>
      <w:tr>
        <w:tc>
          <w:tcPr/>
          <w:p>
            <w:pPr>
              <w:pStyle w:val="Compact"/>
            </w:pPr>
            <w:r>
              <w:t xml:space="preserve">A08 — Software Integrity Failures</w:t>
            </w:r>
          </w:p>
        </w:tc>
        <w:tc>
          <w:tcPr/>
          <w:p>
            <w:pPr>
              <w:pStyle w:val="Compact"/>
            </w:pPr>
            <w:r>
              <w:t xml:space="preserve">Composer lock file committed; no</w:t>
            </w:r>
            <w:r>
              <w:t xml:space="preserve"> </w:t>
            </w:r>
            <w:r>
              <w:rPr>
                <w:rStyle w:val="VerbatimChar"/>
              </w:rPr>
              <w:t xml:space="preserve">--no-verify</w:t>
            </w:r>
            <w:r>
              <w:t xml:space="preserve"> </w:t>
            </w:r>
            <w:r>
              <w:t xml:space="preserve">bypasses in deployment scripts.</w:t>
            </w:r>
          </w:p>
        </w:tc>
      </w:tr>
      <w:tr>
        <w:tc>
          <w:tcPr/>
          <w:p>
            <w:pPr>
              <w:pStyle w:val="Compact"/>
            </w:pPr>
            <w:r>
              <w:t xml:space="preserve">A09 — Logging Failures</w:t>
            </w:r>
          </w:p>
        </w:tc>
        <w:tc>
          <w:tcPr/>
          <w:p>
            <w:pPr>
              <w:pStyle w:val="Compact"/>
            </w:pPr>
            <w:r>
              <w:t xml:space="preserve">Immutable INSERT-only audit log; all CRUD and approval events logged (NFR-SEC-002).</w:t>
            </w:r>
          </w:p>
        </w:tc>
      </w:tr>
      <w:tr>
        <w:tc>
          <w:tcPr/>
          <w:p>
            <w:pPr>
              <w:pStyle w:val="Compact"/>
            </w:pPr>
            <w:r>
              <w:t xml:space="preserve">A10 — SSRF</w:t>
            </w:r>
          </w:p>
        </w:tc>
        <w:tc>
          <w:tcPr/>
          <w:p>
            <w:pPr>
              <w:pStyle w:val="Compact"/>
            </w:pPr>
            <w:r>
              <w:t xml:space="preserve">Outbound HTTP calls (integrations) use an allowlist of permitted external domains.</w:t>
            </w:r>
          </w:p>
        </w:tc>
      </w:tr>
    </w:tbl>
    <w:bookmarkEnd w:id="76"/>
    <w:bookmarkEnd w:id="77"/>
    <w:bookmarkStart w:id="87" w:name="module-system"/>
    <w:p>
      <w:pPr>
        <w:pStyle w:val="Heading1"/>
      </w:pPr>
      <w:r>
        <w:t xml:space="preserve">Module System</w:t>
      </w:r>
    </w:p>
    <w:bookmarkStart w:id="80" w:name="X2a47caec73e11f80420771298155dd0765aa930"/>
    <w:p>
      <w:pPr>
        <w:pStyle w:val="Heading2"/>
      </w:pPr>
      <w:r>
        <w:t xml:space="preserve">7.1 Module Registry</w:t>
      </w:r>
    </w:p>
    <w:p>
      <w:pPr>
        <w:pStyle w:val="FirstParagraph"/>
      </w:pPr>
      <w:r>
        <w:t xml:space="preserve">The module system uses two database tables to manage the global module catalogue and per-tenant activation:</w:t>
      </w:r>
    </w:p>
    <w:bookmarkStart w:id="78" w:name="module_registry-table"/>
    <w:p>
      <w:pPr>
        <w:pStyle w:val="Heading3"/>
      </w:pPr>
      <w:r>
        <w:rPr>
          <w:rStyle w:val="VerbatimChar"/>
        </w:rPr>
        <w:t xml:space="preserve">module_registry</w:t>
      </w:r>
      <w:r>
        <w:t xml:space="preserve"> </w:t>
      </w:r>
      <w:r>
        <w:t xml:space="preserve">Table</w:t>
      </w:r>
    </w:p>
    <w:p>
      <w:pPr>
        <w:pStyle w:val="FirstParagraph"/>
      </w:pPr>
      <w:r>
        <w:t xml:space="preserve">The</w:t>
      </w:r>
      <w:r>
        <w:t xml:space="preserve"> </w:t>
      </w:r>
      <w:r>
        <w:rPr>
          <w:rStyle w:val="VerbatimChar"/>
        </w:rPr>
        <w:t xml:space="preserve">module_registry</w:t>
      </w:r>
      <w:r>
        <w:t xml:space="preserve"> </w:t>
      </w:r>
      <w:r>
        <w:t xml:space="preserve">table is the global catalogue of all modules available on the platform. It is seeded at deployment time and updated by Chwezi operators when new modules are released. Tenants cannot modify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code</w:t>
            </w:r>
          </w:p>
        </w:tc>
        <w:tc>
          <w:tcPr/>
          <w:p>
            <w:pPr>
              <w:pStyle w:val="Compact"/>
            </w:pPr>
            <w:r>
              <w:rPr>
                <w:rStyle w:val="VerbatimChar"/>
              </w:rPr>
              <w:t xml:space="preserve">VARCHAR(50) PK</w:t>
            </w:r>
          </w:p>
        </w:tc>
        <w:tc>
          <w:tcPr/>
          <w:p>
            <w:pPr>
              <w:pStyle w:val="Compact"/>
            </w:pPr>
            <w:r>
              <w:t xml:space="preserve">Unique module identifier (e.g.,</w:t>
            </w:r>
            <w:r>
              <w:t xml:space="preserve"> </w:t>
            </w:r>
            <w:r>
              <w:rPr>
                <w:rStyle w:val="VerbatimChar"/>
              </w:rPr>
              <w:t xml:space="preserve">HR_PAYROLL</w:t>
            </w:r>
            <w:r>
              <w:t xml:space="preserve">).</w:t>
            </w:r>
          </w:p>
        </w:tc>
      </w:tr>
      <w:tr>
        <w:tc>
          <w:tcPr/>
          <w:p>
            <w:pPr>
              <w:pStyle w:val="Compact"/>
            </w:pPr>
            <w:r>
              <w:rPr>
                <w:rStyle w:val="VerbatimChar"/>
              </w:rPr>
              <w:t xml:space="preserve">name</w:t>
            </w:r>
          </w:p>
        </w:tc>
        <w:tc>
          <w:tcPr/>
          <w:p>
            <w:pPr>
              <w:pStyle w:val="Compact"/>
            </w:pPr>
            <w:r>
              <w:rPr>
                <w:rStyle w:val="VerbatimChar"/>
              </w:rPr>
              <w:t xml:space="preserve">VARCHAR(100)</w:t>
            </w:r>
          </w:p>
        </w:tc>
        <w:tc>
          <w:tcPr/>
          <w:p>
            <w:pPr>
              <w:pStyle w:val="Compact"/>
            </w:pPr>
            <w:r>
              <w:t xml:space="preserve">Human-readable module name.</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Brief capability summary.</w:t>
            </w:r>
          </w:p>
        </w:tc>
      </w:tr>
      <w:tr>
        <w:tc>
          <w:tcPr/>
          <w:p>
            <w:pPr>
              <w:pStyle w:val="Compact"/>
            </w:pPr>
            <w:r>
              <w:rPr>
                <w:rStyle w:val="VerbatimChar"/>
              </w:rPr>
              <w:t xml:space="preserve">is_core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the module is always active;</w:t>
            </w:r>
            <w:r>
              <w:t xml:space="preserve"> </w:t>
            </w:r>
            <w:r>
              <w:rPr>
                <w:rStyle w:val="VerbatimChar"/>
              </w:rPr>
              <w:t xml:space="preserve">0</w:t>
            </w:r>
            <w:r>
              <w:t xml:space="preserve"> </w:t>
            </w:r>
            <w:r>
              <w:t xml:space="preserve">if it is an add-on.</w:t>
            </w:r>
          </w:p>
        </w:tc>
      </w:tr>
      <w:tr>
        <w:tc>
          <w:tcPr/>
          <w:p>
            <w:pPr>
              <w:pStyle w:val="Compact"/>
            </w:pPr>
            <w:r>
              <w:rPr>
                <w:rStyle w:val="VerbatimChar"/>
              </w:rPr>
              <w:t xml:space="preserve">dependencies</w:t>
            </w:r>
          </w:p>
        </w:tc>
        <w:tc>
          <w:tcPr/>
          <w:p>
            <w:pPr>
              <w:pStyle w:val="Compact"/>
            </w:pPr>
            <w:r>
              <w:rPr>
                <w:rStyle w:val="VerbatimChar"/>
              </w:rPr>
              <w:t xml:space="preserve">JSON</w:t>
            </w:r>
          </w:p>
        </w:tc>
        <w:tc>
          <w:tcPr/>
          <w:p>
            <w:pPr>
              <w:pStyle w:val="Compact"/>
            </w:pPr>
            <w:r>
              <w:t xml:space="preserve">Array of module codes that must be active before this module can be activated.</w:t>
            </w: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the module is available for activation on the platform.</w:t>
            </w:r>
          </w:p>
        </w:tc>
      </w:tr>
    </w:tbl>
    <w:bookmarkEnd w:id="78"/>
    <w:bookmarkStart w:id="79" w:name="tenant_modules-table"/>
    <w:p>
      <w:pPr>
        <w:pStyle w:val="Heading3"/>
      </w:pPr>
      <w:r>
        <w:rPr>
          <w:rStyle w:val="VerbatimChar"/>
        </w:rPr>
        <w:t xml:space="preserve">tenant_modules</w:t>
      </w:r>
      <w:r>
        <w:t xml:space="preserve"> </w:t>
      </w:r>
      <w:r>
        <w:t xml:space="preserve">Table</w:t>
      </w:r>
    </w:p>
    <w:p>
      <w:pPr>
        <w:pStyle w:val="FirstParagraph"/>
      </w:pPr>
      <w:r>
        <w:t xml:space="preserve">The</w:t>
      </w:r>
      <w:r>
        <w:t xml:space="preserve"> </w:t>
      </w:r>
      <w:r>
        <w:rPr>
          <w:rStyle w:val="VerbatimChar"/>
        </w:rPr>
        <w:t xml:space="preserve">tenant_modules</w:t>
      </w:r>
      <w:r>
        <w:t xml:space="preserve"> </w:t>
      </w:r>
      <w:r>
        <w:t xml:space="preserve">table records which modules are active for each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rPr>
                <w:rStyle w:val="VerbatimChar"/>
              </w:rPr>
              <w:t xml:space="preserve">BIGINT UNSIGNED PK</w:t>
            </w:r>
          </w:p>
        </w:tc>
        <w:tc>
          <w:tcPr/>
          <w:p>
            <w:pPr>
              <w:pStyle w:val="Compact"/>
            </w:pPr>
            <w:r>
              <w:t xml:space="preserve">Auto-increment identifier.</w:t>
            </w:r>
          </w:p>
        </w:tc>
      </w:tr>
      <w:tr>
        <w:tc>
          <w:tcPr/>
          <w:p>
            <w:pPr>
              <w:pStyle w:val="Compact"/>
            </w:pPr>
            <w:r>
              <w:rPr>
                <w:rStyle w:val="VerbatimChar"/>
              </w:rPr>
              <w:t xml:space="preserve">tenant_id</w:t>
            </w:r>
          </w:p>
        </w:tc>
        <w:tc>
          <w:tcPr/>
          <w:p>
            <w:pPr>
              <w:pStyle w:val="Compact"/>
            </w:pPr>
            <w:r>
              <w:rPr>
                <w:rStyle w:val="VerbatimChar"/>
              </w:rPr>
              <w:t xml:space="preserve">INT UNSIGNED FK</w:t>
            </w:r>
          </w:p>
        </w:tc>
        <w:tc>
          <w:tcPr/>
          <w:p>
            <w:pPr>
              <w:pStyle w:val="Compact"/>
            </w:pPr>
            <w:r>
              <w:t xml:space="preserve">References</w:t>
            </w:r>
            <w:r>
              <w:t xml:space="preserve"> </w:t>
            </w:r>
            <w:r>
              <w:rPr>
                <w:rStyle w:val="VerbatimChar"/>
              </w:rPr>
              <w:t xml:space="preserve">tenants(id)</w:t>
            </w:r>
            <w:r>
              <w:t xml:space="preserve">.</w:t>
            </w:r>
          </w:p>
        </w:tc>
      </w:tr>
      <w:tr>
        <w:tc>
          <w:tcPr/>
          <w:p>
            <w:pPr>
              <w:pStyle w:val="Compact"/>
            </w:pPr>
            <w:r>
              <w:rPr>
                <w:rStyle w:val="VerbatimChar"/>
              </w:rPr>
              <w:t xml:space="preserve">module_code</w:t>
            </w:r>
          </w:p>
        </w:tc>
        <w:tc>
          <w:tcPr/>
          <w:p>
            <w:pPr>
              <w:pStyle w:val="Compact"/>
            </w:pPr>
            <w:r>
              <w:rPr>
                <w:rStyle w:val="VerbatimChar"/>
              </w:rPr>
              <w:t xml:space="preserve">VARCHAR(50) FK</w:t>
            </w:r>
          </w:p>
        </w:tc>
        <w:tc>
          <w:tcPr/>
          <w:p>
            <w:pPr>
              <w:pStyle w:val="Compact"/>
            </w:pPr>
            <w:r>
              <w:t xml:space="preserve">References</w:t>
            </w:r>
            <w:r>
              <w:t xml:space="preserve"> </w:t>
            </w:r>
            <w:r>
              <w:rPr>
                <w:rStyle w:val="VerbatimChar"/>
              </w:rPr>
              <w:t xml:space="preserve">module_registry(code)</w:t>
            </w:r>
            <w:r>
              <w:t xml:space="preserve">.</w:t>
            </w:r>
          </w:p>
        </w:tc>
      </w:tr>
      <w:tr>
        <w:tc>
          <w:tcPr/>
          <w:p>
            <w:pPr>
              <w:pStyle w:val="Compact"/>
            </w:pPr>
            <w:r>
              <w:rPr>
                <w:rStyle w:val="VerbatimChar"/>
              </w:rPr>
              <w:t xml:space="preserve">activated_at</w:t>
            </w:r>
          </w:p>
        </w:tc>
        <w:tc>
          <w:tcPr/>
          <w:p>
            <w:pPr>
              <w:pStyle w:val="Compact"/>
            </w:pPr>
            <w:r>
              <w:rPr>
                <w:rStyle w:val="VerbatimChar"/>
              </w:rPr>
              <w:t xml:space="preserve">DATETIME</w:t>
            </w:r>
          </w:p>
        </w:tc>
        <w:tc>
          <w:tcPr/>
          <w:p>
            <w:pPr>
              <w:pStyle w:val="Compact"/>
            </w:pPr>
            <w:r>
              <w:t xml:space="preserve">Timestamp of activation.</w:t>
            </w:r>
          </w:p>
        </w:tc>
      </w:tr>
      <w:tr>
        <w:tc>
          <w:tcPr/>
          <w:p>
            <w:pPr>
              <w:pStyle w:val="Compact"/>
            </w:pPr>
            <w:r>
              <w:rPr>
                <w:rStyle w:val="VerbatimChar"/>
              </w:rPr>
              <w:t xml:space="preserve">activated_by</w:t>
            </w:r>
          </w:p>
        </w:tc>
        <w:tc>
          <w:tcPr/>
          <w:p>
            <w:pPr>
              <w:pStyle w:val="Compact"/>
            </w:pPr>
            <w:r>
              <w:rPr>
                <w:rStyle w:val="VerbatimChar"/>
              </w:rPr>
              <w:t xml:space="preserve">INT UNSIGNED</w:t>
            </w:r>
          </w:p>
        </w:tc>
        <w:tc>
          <w:tcPr/>
          <w:p>
            <w:pPr>
              <w:pStyle w:val="Compact"/>
            </w:pPr>
            <w:r>
              <w:t xml:space="preserve">Super admin user who activated the module.</w:t>
            </w:r>
          </w:p>
        </w:tc>
      </w:tr>
      <w:tr>
        <w:tc>
          <w:tcPr/>
          <w:p>
            <w:pPr>
              <w:pStyle w:val="Compact"/>
            </w:pPr>
            <w:r>
              <w:rPr>
                <w:rStyle w:val="VerbatimChar"/>
              </w:rPr>
              <w:t xml:space="preserve">is_active</w:t>
            </w:r>
          </w:p>
        </w:tc>
        <w:tc>
          <w:tcPr/>
          <w:p>
            <w:pPr>
              <w:pStyle w:val="Compact"/>
            </w:pPr>
            <w:r>
              <w:rPr>
                <w:rStyle w:val="VerbatimChar"/>
              </w:rPr>
              <w:t xml:space="preserve">TINYINT(1)</w:t>
            </w:r>
          </w:p>
        </w:tc>
        <w:tc>
          <w:tcPr/>
          <w:p>
            <w:pPr>
              <w:pStyle w:val="Compact"/>
            </w:pPr>
            <w:r>
              <w:rPr>
                <w:rStyle w:val="VerbatimChar"/>
              </w:rPr>
              <w:t xml:space="preserve">1</w:t>
            </w:r>
            <w:r>
              <w:t xml:space="preserve"> </w:t>
            </w:r>
            <w:r>
              <w:t xml:space="preserve">if currently active;</w:t>
            </w:r>
            <w:r>
              <w:t xml:space="preserve"> </w:t>
            </w:r>
            <w:r>
              <w:rPr>
                <w:rStyle w:val="VerbatimChar"/>
              </w:rPr>
              <w:t xml:space="preserve">0</w:t>
            </w:r>
            <w:r>
              <w:t xml:space="preserve"> </w:t>
            </w:r>
            <w:r>
              <w:t xml:space="preserve">if deactivated.</w:t>
            </w:r>
          </w:p>
        </w:tc>
      </w:tr>
    </w:tbl>
    <w:bookmarkEnd w:id="79"/>
    <w:bookmarkEnd w:id="80"/>
    <w:bookmarkStart w:id="81" w:name="X9223b8532058efee45eb4afa608e52857c7c6c5"/>
    <w:p>
      <w:pPr>
        <w:pStyle w:val="Heading2"/>
      </w:pPr>
      <w:r>
        <w:t xml:space="preserve">7.2 Core Modules</w:t>
      </w:r>
    </w:p>
    <w:p>
      <w:pPr>
        <w:pStyle w:val="FirstParagraph"/>
      </w:pPr>
      <w:r>
        <w:t xml:space="preserve">The following 6 modules are always active for every tenant and cannot be disabled: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 Name</w:t>
            </w:r>
          </w:p>
        </w:tc>
        <w:tc>
          <w:tcPr/>
          <w:p>
            <w:pPr>
              <w:pStyle w:val="Compact"/>
            </w:pPr>
            <w:r>
              <w:t xml:space="preserve">Code</w:t>
            </w:r>
          </w:p>
        </w:tc>
      </w:tr>
      <w:tr>
        <w:tc>
          <w:tcPr/>
          <w:p>
            <w:pPr>
              <w:pStyle w:val="Compact"/>
            </w:pPr>
            <w:r>
              <w:t xml:space="preserve">Accounting &amp; General Ledger</w:t>
            </w:r>
          </w:p>
        </w:tc>
        <w:tc>
          <w:tcPr/>
          <w:p>
            <w:pPr>
              <w:pStyle w:val="Compact"/>
            </w:pPr>
            <w:r>
              <w:rPr>
                <w:rStyle w:val="VerbatimChar"/>
              </w:rPr>
              <w:t xml:space="preserve">ACCOUNTING</w:t>
            </w:r>
          </w:p>
        </w:tc>
      </w:tr>
      <w:tr>
        <w:tc>
          <w:tcPr/>
          <w:p>
            <w:pPr>
              <w:pStyle w:val="Compact"/>
            </w:pPr>
            <w:r>
              <w:t xml:space="preserve">Inventory Management</w:t>
            </w:r>
          </w:p>
        </w:tc>
        <w:tc>
          <w:tcPr/>
          <w:p>
            <w:pPr>
              <w:pStyle w:val="Compact"/>
            </w:pPr>
            <w:r>
              <w:rPr>
                <w:rStyle w:val="VerbatimChar"/>
              </w:rPr>
              <w:t xml:space="preserve">INVENTORY</w:t>
            </w:r>
          </w:p>
        </w:tc>
      </w:tr>
      <w:tr>
        <w:tc>
          <w:tcPr/>
          <w:p>
            <w:pPr>
              <w:pStyle w:val="Compact"/>
            </w:pPr>
            <w:r>
              <w:t xml:space="preserve">Sales</w:t>
            </w:r>
          </w:p>
        </w:tc>
        <w:tc>
          <w:tcPr/>
          <w:p>
            <w:pPr>
              <w:pStyle w:val="Compact"/>
            </w:pPr>
            <w:r>
              <w:rPr>
                <w:rStyle w:val="VerbatimChar"/>
              </w:rPr>
              <w:t xml:space="preserve">SALES</w:t>
            </w:r>
          </w:p>
        </w:tc>
      </w:tr>
      <w:tr>
        <w:tc>
          <w:tcPr/>
          <w:p>
            <w:pPr>
              <w:pStyle w:val="Compact"/>
            </w:pPr>
            <w:r>
              <w:t xml:space="preserve">Procurement</w:t>
            </w:r>
          </w:p>
        </w:tc>
        <w:tc>
          <w:tcPr/>
          <w:p>
            <w:pPr>
              <w:pStyle w:val="Compact"/>
            </w:pPr>
            <w:r>
              <w:rPr>
                <w:rStyle w:val="VerbatimChar"/>
              </w:rPr>
              <w:t xml:space="preserve">PROCUREMENT</w:t>
            </w:r>
          </w:p>
        </w:tc>
      </w:tr>
      <w:tr>
        <w:tc>
          <w:tcPr/>
          <w:p>
            <w:pPr>
              <w:pStyle w:val="Compact"/>
            </w:pPr>
            <w:r>
              <w:t xml:space="preserve">User Management &amp; RBAC</w:t>
            </w:r>
          </w:p>
        </w:tc>
        <w:tc>
          <w:tcPr/>
          <w:p>
            <w:pPr>
              <w:pStyle w:val="Compact"/>
            </w:pPr>
            <w:r>
              <w:rPr>
                <w:rStyle w:val="VerbatimChar"/>
              </w:rPr>
              <w:t xml:space="preserve">USER_MGMT</w:t>
            </w:r>
          </w:p>
        </w:tc>
      </w:tr>
      <w:tr>
        <w:tc>
          <w:tcPr/>
          <w:p>
            <w:pPr>
              <w:pStyle w:val="Compact"/>
            </w:pPr>
            <w:r>
              <w:t xml:space="preserve">Audit Log</w:t>
            </w:r>
          </w:p>
        </w:tc>
        <w:tc>
          <w:tcPr/>
          <w:p>
            <w:pPr>
              <w:pStyle w:val="Compact"/>
            </w:pPr>
            <w:r>
              <w:rPr>
                <w:rStyle w:val="VerbatimChar"/>
              </w:rPr>
              <w:t xml:space="preserve">AUDIT</w:t>
            </w:r>
          </w:p>
        </w:tc>
      </w:tr>
    </w:tbl>
    <w:p>
      <w:pPr>
        <w:pStyle w:val="BodyText"/>
      </w:pPr>
      <w:r>
        <w:t xml:space="preserve">Core module status (</w:t>
      </w:r>
      <w:r>
        <w:rPr>
          <w:rStyle w:val="VerbatimChar"/>
        </w:rPr>
        <w:t xml:space="preserve">is_core = 1</w:t>
      </w:r>
      <w:r>
        <w:t xml:space="preserve">) is enforced by the</w:t>
      </w:r>
      <w:r>
        <w:t xml:space="preserve"> </w:t>
      </w:r>
      <w:r>
        <w:rPr>
          <w:rStyle w:val="VerbatimChar"/>
        </w:rPr>
        <w:t xml:space="preserve">requireModuleAccess()</w:t>
      </w:r>
      <w:r>
        <w:t xml:space="preserve"> </w:t>
      </w:r>
      <w:r>
        <w:t xml:space="preserve">function: if called for a core module code, the function always returns without redirecting, regardless of the</w:t>
      </w:r>
      <w:r>
        <w:t xml:space="preserve"> </w:t>
      </w:r>
      <w:r>
        <w:rPr>
          <w:rStyle w:val="VerbatimChar"/>
        </w:rPr>
        <w:t xml:space="preserve">tenant_modules</w:t>
      </w:r>
      <w:r>
        <w:t xml:space="preserve"> </w:t>
      </w:r>
      <w:r>
        <w:t xml:space="preserve">table.</w:t>
      </w:r>
    </w:p>
    <w:bookmarkEnd w:id="81"/>
    <w:bookmarkStart w:id="82" w:name="X3e3c72162d4e14d3351141332046a2cf7b72177"/>
    <w:p>
      <w:pPr>
        <w:pStyle w:val="Heading2"/>
      </w:pPr>
      <w:r>
        <w:t xml:space="preserve">7.3 Add-On Modules</w:t>
      </w:r>
    </w:p>
    <w:p>
      <w:pPr>
        <w:pStyle w:val="FirstParagraph"/>
      </w:pPr>
      <w:r>
        <w:t xml:space="preserve">The following 10 add-on modules are available for per-tenant activation based on the tenant's subscription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 Name</w:t>
            </w:r>
          </w:p>
        </w:tc>
        <w:tc>
          <w:tcPr/>
          <w:p>
            <w:pPr>
              <w:pStyle w:val="Compact"/>
            </w:pPr>
            <w:r>
              <w:t xml:space="preserve">Code</w:t>
            </w:r>
          </w:p>
        </w:tc>
      </w:tr>
      <w:tr>
        <w:tc>
          <w:tcPr/>
          <w:p>
            <w:pPr>
              <w:pStyle w:val="Compact"/>
            </w:pPr>
            <w:r>
              <w:t xml:space="preserve">Advanced Inventory</w:t>
            </w:r>
          </w:p>
        </w:tc>
        <w:tc>
          <w:tcPr/>
          <w:p>
            <w:pPr>
              <w:pStyle w:val="Compact"/>
            </w:pPr>
            <w:r>
              <w:rPr>
                <w:rStyle w:val="VerbatimChar"/>
              </w:rPr>
              <w:t xml:space="preserve">ADV_INVENTORY</w:t>
            </w:r>
          </w:p>
        </w:tc>
      </w:tr>
      <w:tr>
        <w:tc>
          <w:tcPr/>
          <w:p>
            <w:pPr>
              <w:pStyle w:val="Compact"/>
            </w:pPr>
            <w:r>
              <w:t xml:space="preserve">Manufacturing</w:t>
            </w:r>
          </w:p>
        </w:tc>
        <w:tc>
          <w:tcPr/>
          <w:p>
            <w:pPr>
              <w:pStyle w:val="Compact"/>
            </w:pPr>
            <w:r>
              <w:rPr>
                <w:rStyle w:val="VerbatimChar"/>
              </w:rPr>
              <w:t xml:space="preserve">MANUFACTURING</w:t>
            </w:r>
          </w:p>
        </w:tc>
      </w:tr>
      <w:tr>
        <w:tc>
          <w:tcPr/>
          <w:p>
            <w:pPr>
              <w:pStyle w:val="Compact"/>
            </w:pPr>
            <w:r>
              <w:t xml:space="preserve">HR &amp; Payroll</w:t>
            </w:r>
          </w:p>
        </w:tc>
        <w:tc>
          <w:tcPr/>
          <w:p>
            <w:pPr>
              <w:pStyle w:val="Compact"/>
            </w:pPr>
            <w:r>
              <w:rPr>
                <w:rStyle w:val="VerbatimChar"/>
              </w:rPr>
              <w:t xml:space="preserve">HR_PAYROLL</w:t>
            </w:r>
          </w:p>
        </w:tc>
      </w:tr>
      <w:tr>
        <w:tc>
          <w:tcPr/>
          <w:p>
            <w:pPr>
              <w:pStyle w:val="Compact"/>
            </w:pPr>
            <w:r>
              <w:t xml:space="preserve">Point of Sale</w:t>
            </w:r>
          </w:p>
        </w:tc>
        <w:tc>
          <w:tcPr/>
          <w:p>
            <w:pPr>
              <w:pStyle w:val="Compact"/>
            </w:pPr>
            <w:r>
              <w:rPr>
                <w:rStyle w:val="VerbatimChar"/>
              </w:rPr>
              <w:t xml:space="preserve">POS</w:t>
            </w:r>
          </w:p>
        </w:tc>
      </w:tr>
      <w:tr>
        <w:tc>
          <w:tcPr/>
          <w:p>
            <w:pPr>
              <w:pStyle w:val="Compact"/>
            </w:pPr>
            <w:r>
              <w:t xml:space="preserve">Sales &amp; CRM</w:t>
            </w:r>
          </w:p>
        </w:tc>
        <w:tc>
          <w:tcPr/>
          <w:p>
            <w:pPr>
              <w:pStyle w:val="Compact"/>
            </w:pPr>
            <w:r>
              <w:rPr>
                <w:rStyle w:val="VerbatimChar"/>
              </w:rPr>
              <w:t xml:space="preserve">SALES_CRM</w:t>
            </w:r>
          </w:p>
        </w:tc>
      </w:tr>
      <w:tr>
        <w:tc>
          <w:tcPr/>
          <w:p>
            <w:pPr>
              <w:pStyle w:val="Compact"/>
            </w:pPr>
            <w:r>
              <w:t xml:space="preserve">Sales Agents &amp; Commissions</w:t>
            </w:r>
          </w:p>
        </w:tc>
        <w:tc>
          <w:tcPr/>
          <w:p>
            <w:pPr>
              <w:pStyle w:val="Compact"/>
            </w:pPr>
            <w:r>
              <w:rPr>
                <w:rStyle w:val="VerbatimChar"/>
              </w:rPr>
              <w:t xml:space="preserve">SALES_AGENTS</w:t>
            </w:r>
          </w:p>
        </w:tc>
      </w:tr>
      <w:tr>
        <w:tc>
          <w:tcPr/>
          <w:p>
            <w:pPr>
              <w:pStyle w:val="Compact"/>
            </w:pPr>
            <w:r>
              <w:t xml:space="preserve">Cooperative Procurement</w:t>
            </w:r>
          </w:p>
        </w:tc>
        <w:tc>
          <w:tcPr/>
          <w:p>
            <w:pPr>
              <w:pStyle w:val="Compact"/>
            </w:pPr>
            <w:r>
              <w:rPr>
                <w:rStyle w:val="VerbatimChar"/>
              </w:rPr>
              <w:t xml:space="preserve">COOPERATIVE</w:t>
            </w:r>
          </w:p>
        </w:tc>
      </w:tr>
      <w:tr>
        <w:tc>
          <w:tcPr/>
          <w:p>
            <w:pPr>
              <w:pStyle w:val="Compact"/>
            </w:pPr>
            <w:r>
              <w:t xml:space="preserve">Project Management</w:t>
            </w:r>
          </w:p>
        </w:tc>
        <w:tc>
          <w:tcPr/>
          <w:p>
            <w:pPr>
              <w:pStyle w:val="Compact"/>
            </w:pPr>
            <w:r>
              <w:rPr>
                <w:rStyle w:val="VerbatimChar"/>
              </w:rPr>
              <w:t xml:space="preserve">PROJECTS</w:t>
            </w:r>
          </w:p>
        </w:tc>
      </w:tr>
      <w:tr>
        <w:tc>
          <w:tcPr/>
          <w:p>
            <w:pPr>
              <w:pStyle w:val="Compact"/>
            </w:pPr>
            <w:r>
              <w:t xml:space="preserve">Strategy &amp; Balanced Scorecard</w:t>
            </w:r>
          </w:p>
        </w:tc>
        <w:tc>
          <w:tcPr/>
          <w:p>
            <w:pPr>
              <w:pStyle w:val="Compact"/>
            </w:pPr>
            <w:r>
              <w:rPr>
                <w:rStyle w:val="VerbatimChar"/>
              </w:rPr>
              <w:t xml:space="preserve">STRATEGY_BSC</w:t>
            </w:r>
          </w:p>
        </w:tc>
      </w:tr>
      <w:tr>
        <w:tc>
          <w:tcPr/>
          <w:p>
            <w:pPr>
              <w:pStyle w:val="Compact"/>
            </w:pPr>
            <w:r>
              <w:t xml:space="preserve">Asset Management</w:t>
            </w:r>
          </w:p>
        </w:tc>
        <w:tc>
          <w:tcPr/>
          <w:p>
            <w:pPr>
              <w:pStyle w:val="Compact"/>
            </w:pPr>
            <w:r>
              <w:rPr>
                <w:rStyle w:val="VerbatimChar"/>
              </w:rPr>
              <w:t xml:space="preserve">ASSETS</w:t>
            </w:r>
          </w:p>
        </w:tc>
      </w:tr>
    </w:tbl>
    <w:bookmarkEnd w:id="82"/>
    <w:bookmarkStart w:id="83" w:name="Xbb10c3c742b13dfcd3db94daf952f20de919e34"/>
    <w:p>
      <w:pPr>
        <w:pStyle w:val="Heading2"/>
      </w:pPr>
      <w:r>
        <w:t xml:space="preserve">7.4 Module Activation Gate</w:t>
      </w:r>
    </w:p>
    <w:p>
      <w:pPr>
        <w:pStyle w:val="FirstParagraph"/>
      </w:pPr>
      <w:r>
        <w:t xml:space="preserve">Every page belonging to an add-on module shall include the following call as the first operation after the middleware pipeline:</w:t>
      </w:r>
    </w:p>
    <w:p>
      <w:pPr>
        <w:pStyle w:val="SourceCode"/>
      </w:pPr>
      <w:r>
        <w:rPr>
          <w:rStyle w:val="NormalTok"/>
        </w:rPr>
        <w:t xml:space="preserve">requireModuleAccess(</w:t>
      </w:r>
      <w:r>
        <w:rPr>
          <w:rStyle w:val="StringTok"/>
        </w:rPr>
        <w:t xml:space="preserve">'MODULE_CODE'</w:t>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requireModuleAccess()</w:t>
      </w:r>
      <w:r>
        <w:t xml:space="preserve"> </w:t>
      </w:r>
      <w:r>
        <w:t xml:space="preserve">function performs two checks in sequence:</w:t>
      </w:r>
    </w:p>
    <w:p>
      <w:pPr>
        <w:pStyle w:val="Compact"/>
        <w:numPr>
          <w:ilvl w:val="0"/>
          <w:numId w:val="1013"/>
        </w:numPr>
      </w:pPr>
      <w:r>
        <w:t xml:space="preserve">Calls</w:t>
      </w:r>
      <w:r>
        <w:t xml:space="preserve"> </w:t>
      </w:r>
      <w:r>
        <w:rPr>
          <w:rStyle w:val="VerbatimChar"/>
        </w:rPr>
        <w:t xml:space="preserve">TenantContext::isModuleActive($moduleCode)</w:t>
      </w:r>
      <w:r>
        <w:t xml:space="preserve"> </w:t>
      </w:r>
      <w:r>
        <w:t xml:space="preserve">— checks the</w:t>
      </w:r>
      <w:r>
        <w:t xml:space="preserve"> </w:t>
      </w:r>
      <w:r>
        <w:rPr>
          <w:rStyle w:val="VerbatimChar"/>
        </w:rPr>
        <w:t xml:space="preserve">tenant_modules</w:t>
      </w:r>
      <w:r>
        <w:t xml:space="preserve"> </w:t>
      </w:r>
      <w:r>
        <w:t xml:space="preserve">table for an active record.</w:t>
      </w:r>
    </w:p>
    <w:p>
      <w:pPr>
        <w:pStyle w:val="Compact"/>
        <w:numPr>
          <w:ilvl w:val="0"/>
          <w:numId w:val="1013"/>
        </w:numPr>
      </w:pPr>
      <w:r>
        <w:t xml:space="preserve">If no active record exists, redirects the user to the module upgrade page (</w:t>
      </w:r>
      <w:r>
        <w:rPr>
          <w:rStyle w:val="VerbatimChar"/>
        </w:rPr>
        <w:t xml:space="preserve">/public/billing/upgrade.php?module=MODULE_CODE</w:t>
      </w:r>
      <w:r>
        <w:t xml:space="preserve">) and terminates execution.</w:t>
      </w:r>
    </w:p>
    <w:p>
      <w:pPr>
        <w:pStyle w:val="FirstParagraph"/>
      </w:pPr>
      <w:r>
        <w:t xml:space="preserve">The function shall be implemented as a standalone helper in</w:t>
      </w:r>
      <w:r>
        <w:t xml:space="preserve"> </w:t>
      </w:r>
      <w:r>
        <w:rPr>
          <w:rStyle w:val="VerbatimChar"/>
        </w:rPr>
        <w:t xml:space="preserve">src/Platform/ModuleGate.php</w:t>
      </w:r>
      <w:r>
        <w:t xml:space="preserve"> </w:t>
      </w:r>
      <w:r>
        <w:t xml:space="preserve">and shall be available throughout the tenant workspace without additional imports.</w:t>
      </w:r>
    </w:p>
    <w:bookmarkEnd w:id="83"/>
    <w:bookmarkStart w:id="84" w:name="X37a6120fccaee6ddac36cd68d3c797b0be8811b"/>
    <w:p>
      <w:pPr>
        <w:pStyle w:val="Heading2"/>
      </w:pPr>
      <w:r>
        <w:t xml:space="preserve">7.5 Module Dependency Rules</w:t>
      </w:r>
    </w:p>
    <w:p>
      <w:pPr>
        <w:pStyle w:val="FirstParagraph"/>
      </w:pPr>
      <w:r>
        <w:t xml:space="preserve">Certain add-on modules depend on other modules being active before they can be activated. The dependency rules enforced at activation time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Dependency</w:t>
            </w:r>
          </w:p>
        </w:tc>
      </w:tr>
      <w:tr>
        <w:tc>
          <w:tcPr/>
          <w:p>
            <w:pPr>
              <w:pStyle w:val="Compact"/>
            </w:pPr>
            <w:r>
              <w:rPr>
                <w:rStyle w:val="VerbatimChar"/>
              </w:rPr>
              <w:t xml:space="preserve">MANUFACTURING</w:t>
            </w:r>
          </w:p>
        </w:tc>
        <w:tc>
          <w:tcPr/>
          <w:p>
            <w:pPr>
              <w:pStyle w:val="Compact"/>
            </w:pPr>
            <w:r>
              <w:t xml:space="preserve">Requires</w:t>
            </w:r>
            <w:r>
              <w:t xml:space="preserve"> </w:t>
            </w:r>
            <w:r>
              <w:rPr>
                <w:rStyle w:val="VerbatimChar"/>
              </w:rPr>
              <w:t xml:space="preserve">ADV_INVENTORY</w:t>
            </w:r>
            <w:r>
              <w:t xml:space="preserve"> </w:t>
            </w:r>
            <w:r>
              <w:t xml:space="preserve">to be active.</w:t>
            </w:r>
          </w:p>
        </w:tc>
      </w:tr>
      <w:tr>
        <w:tc>
          <w:tcPr/>
          <w:p>
            <w:pPr>
              <w:pStyle w:val="Compact"/>
            </w:pPr>
            <w:r>
              <w:rPr>
                <w:rStyle w:val="VerbatimChar"/>
              </w:rPr>
              <w:t xml:space="preserve">COOPERATIVE</w:t>
            </w:r>
          </w:p>
        </w:tc>
        <w:tc>
          <w:tcPr/>
          <w:p>
            <w:pPr>
              <w:pStyle w:val="Compact"/>
            </w:pPr>
            <w:r>
              <w:t xml:space="preserve">Requires</w:t>
            </w:r>
            <w:r>
              <w:t xml:space="preserve"> </w:t>
            </w:r>
            <w:r>
              <w:rPr>
                <w:rStyle w:val="VerbatimChar"/>
              </w:rPr>
              <w:t xml:space="preserve">INVENTORY</w:t>
            </w:r>
            <w:r>
              <w:t xml:space="preserve"> </w:t>
            </w:r>
            <w:r>
              <w:t xml:space="preserve">to be active (core — always satisfied).</w:t>
            </w:r>
          </w:p>
        </w:tc>
      </w:tr>
    </w:tbl>
    <w:p>
      <w:pPr>
        <w:pStyle w:val="BodyText"/>
      </w:pPr>
      <w:r>
        <w:rPr>
          <w:i/>
          <w:iCs/>
        </w:rPr>
        <w:t xml:space="preserve">Note:</w:t>
      </w:r>
      <w:r>
        <w:t xml:space="preserve"> </w:t>
      </w:r>
      <w:r>
        <w:t xml:space="preserve">[CONTEXT-GAP: GAP-005] — A formal dependency map covering all 10 add-on modules has not yet been defined. The two rules above represent the confirmed dependencies. The Super Admin Panel shall enforce dependency checks before activating any module and display a clear error message listing unmet dependencies if activation is blocked.</w:t>
      </w:r>
    </w:p>
    <w:bookmarkEnd w:id="84"/>
    <w:bookmarkStart w:id="85" w:name="X94f068a728ff654578fcb83ec5b038c7576e7f9"/>
    <w:p>
      <w:pPr>
        <w:pStyle w:val="Heading2"/>
      </w:pPr>
      <w:r>
        <w:t xml:space="preserve">7.6 Starter Plan Module Lock</w:t>
      </w:r>
    </w:p>
    <w:p>
      <w:pPr>
        <w:pStyle w:val="FirstParagraph"/>
      </w:pPr>
      <w:r>
        <w:t xml:space="preserve">Tenants on the Starter subscription plan (UGX 250,000/month) have access to the 6 core modules only. The</w:t>
      </w:r>
      <w:r>
        <w:t xml:space="preserve"> </w:t>
      </w:r>
      <w:r>
        <w:rPr>
          <w:rStyle w:val="VerbatimChar"/>
        </w:rPr>
        <w:t xml:space="preserve">requireModuleAccess()</w:t>
      </w:r>
      <w:r>
        <w:t xml:space="preserve"> </w:t>
      </w:r>
      <w:r>
        <w:t xml:space="preserve">function will redirect Starter tenants to the upgrade page regardless of whether a</w:t>
      </w:r>
      <w:r>
        <w:t xml:space="preserve"> </w:t>
      </w:r>
      <w:r>
        <w:rPr>
          <w:rStyle w:val="VerbatimChar"/>
        </w:rPr>
        <w:t xml:space="preserve">tenant_modules</w:t>
      </w:r>
      <w:r>
        <w:t xml:space="preserve"> </w:t>
      </w:r>
      <w:r>
        <w:t xml:space="preserve">record exists. The Starter plan restriction is enforced by the subscription plan evaluation logic within</w:t>
      </w:r>
      <w:r>
        <w:t xml:space="preserve"> </w:t>
      </w:r>
      <w:r>
        <w:rPr>
          <w:rStyle w:val="VerbatimChar"/>
        </w:rPr>
        <w:t xml:space="preserve">TenantContext</w:t>
      </w:r>
      <w:r>
        <w:t xml:space="preserve">, not by the absence of</w:t>
      </w:r>
      <w:r>
        <w:t xml:space="preserve"> </w:t>
      </w:r>
      <w:r>
        <w:rPr>
          <w:rStyle w:val="VerbatimChar"/>
        </w:rPr>
        <w:t xml:space="preserve">tenant_modules</w:t>
      </w:r>
      <w:r>
        <w:t xml:space="preserve"> </w:t>
      </w:r>
      <w:r>
        <w:t xml:space="preserve">records.</w:t>
      </w:r>
    </w:p>
    <w:bookmarkEnd w:id="85"/>
    <w:bookmarkStart w:id="86" w:name="X54ca973211177fc2880cd1c870c9497bedf3be2"/>
    <w:p>
      <w:pPr>
        <w:pStyle w:val="Heading2"/>
      </w:pPr>
      <w:r>
        <w:t xml:space="preserve">7.7 Platform Services</w:t>
      </w:r>
    </w:p>
    <w:p>
      <w:pPr>
        <w:pStyle w:val="FirstParagraph"/>
      </w:pPr>
      <w:r>
        <w:t xml:space="preserve">In addition to the user-facing modules, the following platform services are always active and are not subject to the</w:t>
      </w:r>
      <w:r>
        <w:t xml:space="preserve"> </w:t>
      </w:r>
      <w:r>
        <w:rPr>
          <w:rStyle w:val="VerbatimChar"/>
        </w:rPr>
        <w:t xml:space="preserve">requireModuleAccess()</w:t>
      </w:r>
      <w:r>
        <w:t xml:space="preserve"> </w:t>
      </w:r>
      <w:r>
        <w:t xml:space="preserve">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Code</w:t>
            </w:r>
          </w:p>
        </w:tc>
        <w:tc>
          <w:tcPr/>
          <w:p>
            <w:pPr>
              <w:pStyle w:val="Compact"/>
            </w:pPr>
            <w:r>
              <w:t xml:space="preserve">Description</w:t>
            </w:r>
          </w:p>
        </w:tc>
      </w:tr>
      <w:tr>
        <w:tc>
          <w:tcPr/>
          <w:p>
            <w:pPr>
              <w:pStyle w:val="Compact"/>
            </w:pPr>
            <w:r>
              <w:t xml:space="preserve">Localisation Engine</w:t>
            </w:r>
          </w:p>
        </w:tc>
        <w:tc>
          <w:tcPr/>
          <w:p>
            <w:pPr>
              <w:pStyle w:val="Compact"/>
            </w:pPr>
            <w:r>
              <w:rPr>
                <w:rStyle w:val="VerbatimChar"/>
              </w:rPr>
              <w:t xml:space="preserve">LOCALISATION</w:t>
            </w:r>
          </w:p>
        </w:tc>
        <w:tc>
          <w:tcPr/>
          <w:p>
            <w:pPr>
              <w:pStyle w:val="Compact"/>
            </w:pPr>
            <w:r>
              <w:t xml:space="preserve">Per-tenant configuration-driven localisation.</w:t>
            </w:r>
          </w:p>
        </w:tc>
      </w:tr>
      <w:tr>
        <w:tc>
          <w:tcPr/>
          <w:p>
            <w:pPr>
              <w:pStyle w:val="Compact"/>
            </w:pPr>
            <w:r>
              <w:t xml:space="preserve">Mobile API</w:t>
            </w:r>
          </w:p>
        </w:tc>
        <w:tc>
          <w:tcPr/>
          <w:p>
            <w:pPr>
              <w:pStyle w:val="Compact"/>
            </w:pPr>
            <w:r>
              <w:rPr>
                <w:rStyle w:val="VerbatimChar"/>
              </w:rPr>
              <w:t xml:space="preserve">MOBILE_API</w:t>
            </w:r>
          </w:p>
        </w:tc>
        <w:tc>
          <w:tcPr/>
          <w:p>
            <w:pPr>
              <w:pStyle w:val="Compact"/>
            </w:pPr>
            <w:r>
              <w:t xml:space="preserve">JWT-secured REST API for Android and iOS clients.</w:t>
            </w:r>
          </w:p>
        </w:tc>
      </w:tr>
      <w:tr>
        <w:tc>
          <w:tcPr/>
          <w:p>
            <w:pPr>
              <w:pStyle w:val="Compact"/>
            </w:pPr>
            <w:r>
              <w:t xml:space="preserve">Integration Layer</w:t>
            </w:r>
          </w:p>
        </w:tc>
        <w:tc>
          <w:tcPr/>
          <w:p>
            <w:pPr>
              <w:pStyle w:val="Compact"/>
            </w:pPr>
            <w:r>
              <w:rPr>
                <w:rStyle w:val="VerbatimChar"/>
              </w:rPr>
              <w:t xml:space="preserve">INTEGRATIONS</w:t>
            </w:r>
          </w:p>
        </w:tc>
        <w:tc>
          <w:tcPr/>
          <w:p>
            <w:pPr>
              <w:pStyle w:val="Compact"/>
            </w:pPr>
            <w:r>
              <w:t xml:space="preserve">Mobile money, government fiscal, and SMS gateway integrations.</w:t>
            </w:r>
          </w:p>
        </w:tc>
      </w:tr>
      <w:tr>
        <w:tc>
          <w:tcPr/>
          <w:p>
            <w:pPr>
              <w:pStyle w:val="Compact"/>
            </w:pPr>
            <w:r>
              <w:t xml:space="preserve">Billing &amp; Subscriptions</w:t>
            </w:r>
          </w:p>
        </w:tc>
        <w:tc>
          <w:tcPr/>
          <w:p>
            <w:pPr>
              <w:pStyle w:val="Compact"/>
            </w:pPr>
            <w:r>
              <w:rPr>
                <w:rStyle w:val="VerbatimChar"/>
              </w:rPr>
              <w:t xml:space="preserve">BILLING</w:t>
            </w:r>
          </w:p>
        </w:tc>
        <w:tc>
          <w:tcPr/>
          <w:p>
            <w:pPr>
              <w:pStyle w:val="Compact"/>
            </w:pPr>
            <w:r>
              <w:t xml:space="preserve">Subscription plan management and tenant lifecycle.</w:t>
            </w:r>
          </w:p>
        </w:tc>
      </w:tr>
    </w:tbl>
    <w:bookmarkEnd w:id="86"/>
    <w:bookmarkEnd w:id="87"/>
    <w:bookmarkStart w:id="108" w:name="api-architecture"/>
    <w:p>
      <w:pPr>
        <w:pStyle w:val="Heading1"/>
      </w:pPr>
      <w:r>
        <w:t xml:space="preserve">API Architecture</w:t>
      </w:r>
    </w:p>
    <w:bookmarkStart w:id="88" w:name="Xade4321dad749554cf9ff4cdb2ad29b92c6fa7d"/>
    <w:p>
      <w:pPr>
        <w:pStyle w:val="Heading2"/>
      </w:pPr>
      <w:r>
        <w:t xml:space="preserve">8.1 API Surface Overview</w:t>
      </w:r>
    </w:p>
    <w:p>
      <w:pPr>
        <w:pStyle w:val="FirstParagraph"/>
      </w:pPr>
      <w:r>
        <w:t xml:space="preserve">Longhorn ERP exposes three distinct API surfaces, each with its own authentication mechanism, path prefix, and client scope: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API Surface</w:t>
            </w:r>
          </w:p>
        </w:tc>
        <w:tc>
          <w:tcPr/>
          <w:p>
            <w:pPr>
              <w:pStyle w:val="Compact"/>
            </w:pPr>
            <w:r>
              <w:t xml:space="preserve">Base Path</w:t>
            </w:r>
          </w:p>
        </w:tc>
        <w:tc>
          <w:tcPr/>
          <w:p>
            <w:pPr>
              <w:pStyle w:val="Compact"/>
            </w:pPr>
            <w:r>
              <w:t xml:space="preserve">Authentication</w:t>
            </w:r>
          </w:p>
        </w:tc>
        <w:tc>
          <w:tcPr/>
          <w:p>
            <w:pPr>
              <w:pStyle w:val="Compact"/>
            </w:pPr>
            <w:r>
              <w:t xml:space="preserve">Client</w:t>
            </w:r>
          </w:p>
        </w:tc>
      </w:tr>
      <w:tr>
        <w:tc>
          <w:tcPr/>
          <w:p>
            <w:pPr>
              <w:pStyle w:val="Compact"/>
            </w:pPr>
            <w:r>
              <w:t xml:space="preserve">Web UI API</w:t>
            </w:r>
          </w:p>
        </w:tc>
        <w:tc>
          <w:tcPr/>
          <w:p>
            <w:pPr>
              <w:pStyle w:val="Compact"/>
            </w:pPr>
            <w:r>
              <w:rPr>
                <w:rStyle w:val="VerbatimChar"/>
              </w:rPr>
              <w:t xml:space="preserve">/public/api/</w:t>
            </w:r>
          </w:p>
        </w:tc>
        <w:tc>
          <w:tcPr/>
          <w:p>
            <w:pPr>
              <w:pStyle w:val="Compact"/>
            </w:pPr>
            <w:r>
              <w:t xml:space="preserve">Session-based + CSRF token</w:t>
            </w:r>
          </w:p>
        </w:tc>
        <w:tc>
          <w:tcPr/>
          <w:p>
            <w:pPr>
              <w:pStyle w:val="Compact"/>
            </w:pPr>
            <w:r>
              <w:t xml:space="preserve">Browser (tenant workspace pages)</w:t>
            </w:r>
          </w:p>
        </w:tc>
      </w:tr>
      <w:tr>
        <w:tc>
          <w:tcPr/>
          <w:p>
            <w:pPr>
              <w:pStyle w:val="Compact"/>
            </w:pPr>
            <w:r>
              <w:t xml:space="preserve">Mobile API v1</w:t>
            </w:r>
          </w:p>
        </w:tc>
        <w:tc>
          <w:tcPr/>
          <w:p>
            <w:pPr>
              <w:pStyle w:val="Compact"/>
            </w:pPr>
            <w:r>
              <w:rPr>
                <w:rStyle w:val="VerbatimChar"/>
              </w:rPr>
              <w:t xml:space="preserve">/public/api/mobile/v1/</w:t>
            </w:r>
          </w:p>
        </w:tc>
        <w:tc>
          <w:tcPr/>
          <w:p>
            <w:pPr>
              <w:pStyle w:val="Compact"/>
            </w:pPr>
            <w:r>
              <w:t xml:space="preserve">JWT Bearer token</w:t>
            </w:r>
          </w:p>
        </w:tc>
        <w:tc>
          <w:tcPr/>
          <w:p>
            <w:pPr>
              <w:pStyle w:val="Compact"/>
            </w:pPr>
            <w:r>
              <w:t xml:space="preserve">Android and iOS native apps</w:t>
            </w:r>
          </w:p>
        </w:tc>
      </w:tr>
      <w:tr>
        <w:tc>
          <w:tcPr/>
          <w:p>
            <w:pPr>
              <w:pStyle w:val="Compact"/>
            </w:pPr>
            <w:r>
              <w:t xml:space="preserve">Super Admin API</w:t>
            </w:r>
          </w:p>
        </w:tc>
        <w:tc>
          <w:tcPr/>
          <w:p>
            <w:pPr>
              <w:pStyle w:val="Compact"/>
            </w:pPr>
            <w:r>
              <w:rPr>
                <w:rStyle w:val="VerbatimChar"/>
              </w:rPr>
              <w:t xml:space="preserve">/public/superadmin/api/</w:t>
            </w:r>
          </w:p>
        </w:tc>
        <w:tc>
          <w:tcPr/>
          <w:p>
            <w:pPr>
              <w:pStyle w:val="Compact"/>
            </w:pPr>
            <w:r>
              <w:t xml:space="preserve">Super admin session</w:t>
            </w:r>
          </w:p>
        </w:tc>
        <w:tc>
          <w:tcPr/>
          <w:p>
            <w:pPr>
              <w:pStyle w:val="Compact"/>
            </w:pPr>
            <w:r>
              <w:t xml:space="preserve">Super Admin Panel browser pages</w:t>
            </w:r>
          </w:p>
        </w:tc>
      </w:tr>
    </w:tbl>
    <w:bookmarkEnd w:id="88"/>
    <w:bookmarkStart w:id="94" w:name="X97da0b12338891bf8e527ced8f5cd8cb108ab0f"/>
    <w:p>
      <w:pPr>
        <w:pStyle w:val="Heading2"/>
      </w:pPr>
      <w:r>
        <w:t xml:space="preserve">8.2 Web UI API (</w:t>
      </w:r>
      <w:r>
        <w:rPr>
          <w:rStyle w:val="VerbatimChar"/>
        </w:rPr>
        <w:t xml:space="preserve">/public/api/</w:t>
      </w:r>
      <w:r>
        <w:t xml:space="preserve">)</w:t>
      </w:r>
    </w:p>
    <w:bookmarkStart w:id="89" w:name="purpose"/>
    <w:p>
      <w:pPr>
        <w:pStyle w:val="Heading3"/>
      </w:pPr>
      <w:r>
        <w:t xml:space="preserve">Purpose</w:t>
      </w:r>
    </w:p>
    <w:p>
      <w:pPr>
        <w:pStyle w:val="FirstParagraph"/>
      </w:pPr>
      <w:r>
        <w:t xml:space="preserve">The Web UI API serves AJAX requests from the tenant workspace browser pages. It is not a general-purpose API and is not documented for third-party consumption.</w:t>
      </w:r>
    </w:p>
    <w:bookmarkEnd w:id="89"/>
    <w:bookmarkStart w:id="90" w:name="authentication"/>
    <w:p>
      <w:pPr>
        <w:pStyle w:val="Heading3"/>
      </w:pPr>
      <w:r>
        <w:t xml:space="preserve">Authentication</w:t>
      </w:r>
    </w:p>
    <w:p>
      <w:pPr>
        <w:pStyle w:val="FirstParagraph"/>
      </w:pPr>
      <w:r>
        <w:t xml:space="preserve">Session-based. Every request to</w:t>
      </w:r>
      <w:r>
        <w:t xml:space="preserve"> </w:t>
      </w:r>
      <w:r>
        <w:rPr>
          <w:rStyle w:val="VerbatimChar"/>
        </w:rPr>
        <w:t xml:space="preserve">/public/api/</w:t>
      </w:r>
      <w:r>
        <w:t xml:space="preserve"> </w:t>
      </w:r>
      <w:r>
        <w:t xml:space="preserve">passes through the same</w:t>
      </w:r>
      <w:r>
        <w:t xml:space="preserve"> </w:t>
      </w:r>
      <w:r>
        <w:rPr>
          <w:rStyle w:val="VerbatimChar"/>
        </w:rPr>
        <w:t xml:space="preserve">EnsureAuthenticated → EnsureTenantSelected → EnsureTenantActive → EnsureBranchSelected → RequirePermission</w:t>
      </w:r>
      <w:r>
        <w:t xml:space="preserve"> </w:t>
      </w:r>
      <w:r>
        <w:t xml:space="preserve">middleware pipeline as page requests. Requests without a valid session are rejected with HTTP 401.</w:t>
      </w:r>
    </w:p>
    <w:bookmarkEnd w:id="90"/>
    <w:bookmarkStart w:id="91" w:name="csrf-protection"/>
    <w:p>
      <w:pPr>
        <w:pStyle w:val="Heading3"/>
      </w:pPr>
      <w:r>
        <w:t xml:space="preserve">CSRF Protection</w:t>
      </w:r>
    </w:p>
    <w:p>
      <w:pPr>
        <w:pStyle w:val="FirstParagraph"/>
      </w:pPr>
      <w:r>
        <w:t xml:space="preserve">All state-changing requests (POST, PUT, DELETE, PATCH) must include the</w:t>
      </w:r>
      <w:r>
        <w:t xml:space="preserve"> </w:t>
      </w:r>
      <w:r>
        <w:rPr>
          <w:rStyle w:val="VerbatimChar"/>
        </w:rPr>
        <w:t xml:space="preserve">X-CSRF-Token</w:t>
      </w:r>
      <w:r>
        <w:t xml:space="preserve"> </w:t>
      </w:r>
      <w:r>
        <w:t xml:space="preserve">header populated from the session token. Requests missing this header are rejected with HTTP 403.</w:t>
      </w:r>
    </w:p>
    <w:bookmarkEnd w:id="91"/>
    <w:bookmarkStart w:id="92" w:name="directory-organisation"/>
    <w:p>
      <w:pPr>
        <w:pStyle w:val="Heading3"/>
      </w:pPr>
      <w:r>
        <w:t xml:space="preserve">Directory Organisation</w:t>
      </w:r>
    </w:p>
    <w:p>
      <w:pPr>
        <w:pStyle w:val="FirstParagraph"/>
      </w:pPr>
      <w:r>
        <w:t xml:space="preserve">API endpoint files are organised by domain under</w:t>
      </w:r>
      <w:r>
        <w:t xml:space="preserve"> </w:t>
      </w:r>
      <w:r>
        <w:rPr>
          <w:rStyle w:val="VerbatimChar"/>
        </w:rPr>
        <w:t xml:space="preserve">/public/api/</w:t>
      </w:r>
      <w:r>
        <w:t xml:space="preserve">:</w:t>
      </w:r>
    </w:p>
    <w:p>
      <w:pPr>
        <w:pStyle w:val="SourceCode"/>
      </w:pPr>
      <w:r>
        <w:rPr>
          <w:rStyle w:val="VerbatimChar"/>
        </w:rPr>
        <w:t xml:space="preserve">public/api/</w:t>
      </w:r>
      <w:r>
        <w:br/>
      </w:r>
      <w:r>
        <w:rPr>
          <w:rStyle w:val="VerbatimChar"/>
        </w:rPr>
        <w:t xml:space="preserve">├── accounting/</w:t>
      </w:r>
      <w:r>
        <w:br/>
      </w:r>
      <w:r>
        <w:rPr>
          <w:rStyle w:val="VerbatimChar"/>
        </w:rPr>
        <w:t xml:space="preserve">│   ├── invoices/</w:t>
      </w:r>
      <w:r>
        <w:br/>
      </w:r>
      <w:r>
        <w:rPr>
          <w:rStyle w:val="VerbatimChar"/>
        </w:rPr>
        <w:t xml:space="preserve">│   │   ├── create.php</w:t>
      </w:r>
      <w:r>
        <w:br/>
      </w:r>
      <w:r>
        <w:rPr>
          <w:rStyle w:val="VerbatimChar"/>
        </w:rPr>
        <w:t xml:space="preserve">│   │   ├── list.php</w:t>
      </w:r>
      <w:r>
        <w:br/>
      </w:r>
      <w:r>
        <w:rPr>
          <w:rStyle w:val="VerbatimChar"/>
        </w:rPr>
        <w:t xml:space="preserve">│   │   └── ...</w:t>
      </w:r>
      <w:r>
        <w:br/>
      </w:r>
      <w:r>
        <w:rPr>
          <w:rStyle w:val="VerbatimChar"/>
        </w:rPr>
        <w:t xml:space="preserve">│   └── ...</w:t>
      </w:r>
      <w:r>
        <w:br/>
      </w:r>
      <w:r>
        <w:rPr>
          <w:rStyle w:val="VerbatimChar"/>
        </w:rPr>
        <w:t xml:space="preserve">├── inventory/</w:t>
      </w:r>
      <w:r>
        <w:br/>
      </w:r>
      <w:r>
        <w:rPr>
          <w:rStyle w:val="VerbatimChar"/>
        </w:rPr>
        <w:t xml:space="preserve">├── sales/</w:t>
      </w:r>
      <w:r>
        <w:br/>
      </w:r>
      <w:r>
        <w:rPr>
          <w:rStyle w:val="VerbatimChar"/>
        </w:rPr>
        <w:t xml:space="preserve">├── procurement/</w:t>
      </w:r>
      <w:r>
        <w:br/>
      </w:r>
      <w:r>
        <w:rPr>
          <w:rStyle w:val="VerbatimChar"/>
        </w:rPr>
        <w:t xml:space="preserve">├── hr/</w:t>
      </w:r>
      <w:r>
        <w:br/>
      </w:r>
      <w:r>
        <w:rPr>
          <w:rStyle w:val="VerbatimChar"/>
        </w:rPr>
        <w:t xml:space="preserve">└── ...</w:t>
      </w:r>
    </w:p>
    <w:bookmarkEnd w:id="92"/>
    <w:bookmarkStart w:id="93" w:name="response-format"/>
    <w:p>
      <w:pPr>
        <w:pStyle w:val="Heading3"/>
      </w:pPr>
      <w:r>
        <w:t xml:space="preserve">Response Format</w:t>
      </w:r>
    </w:p>
    <w:p>
      <w:pPr>
        <w:pStyle w:val="FirstParagraph"/>
      </w:pPr>
      <w:r>
        <w:t xml:space="preserve">All endpoints return the standardised</w:t>
      </w:r>
      <w:r>
        <w:t xml:space="preserve"> </w:t>
      </w:r>
      <w:r>
        <w:rPr>
          <w:rStyle w:val="VerbatimChar"/>
        </w:rPr>
        <w:t xml:space="preserve">ApiResponse</w:t>
      </w:r>
      <w:r>
        <w:t xml:space="preserve"> </w:t>
      </w:r>
      <w:r>
        <w:t xml:space="preserve">JSON envelope. See Section 8.5.</w:t>
      </w:r>
    </w:p>
    <w:bookmarkEnd w:id="93"/>
    <w:bookmarkEnd w:id="94"/>
    <w:bookmarkStart w:id="101" w:name="Xecab99db5e79d99789e9bd7419c2ce1d1c8a4f0"/>
    <w:p>
      <w:pPr>
        <w:pStyle w:val="Heading2"/>
      </w:pPr>
      <w:r>
        <w:t xml:space="preserve">8.3 Mobile API v1 (</w:t>
      </w:r>
      <w:r>
        <w:rPr>
          <w:rStyle w:val="VerbatimChar"/>
        </w:rPr>
        <w:t xml:space="preserve">/public/api/mobile/v1/</w:t>
      </w:r>
      <w:r>
        <w:t xml:space="preserve">)</w:t>
      </w:r>
    </w:p>
    <w:bookmarkStart w:id="95" w:name="purpose-1"/>
    <w:p>
      <w:pPr>
        <w:pStyle w:val="Heading3"/>
      </w:pPr>
      <w:r>
        <w:t xml:space="preserve">Purpose</w:t>
      </w:r>
    </w:p>
    <w:p>
      <w:pPr>
        <w:pStyle w:val="FirstParagraph"/>
      </w:pPr>
      <w:r>
        <w:t xml:space="preserve">The Mobile API v1 is the public REST API consumed by the Longhorn ERP Android (Kotlin + Jetpack Compose) and iOS (Swift + SwiftUI) native applications. It is versioned so that breaking changes can be introduced in v2 without affecting v1 clients.</w:t>
      </w:r>
    </w:p>
    <w:bookmarkEnd w:id="95"/>
    <w:bookmarkStart w:id="96" w:name="authentication-1"/>
    <w:p>
      <w:pPr>
        <w:pStyle w:val="Heading3"/>
      </w:pPr>
      <w:r>
        <w:t xml:space="preserve">Authentication</w:t>
      </w:r>
    </w:p>
    <w:p>
      <w:pPr>
        <w:pStyle w:val="FirstParagraph"/>
      </w:pPr>
      <w:r>
        <w:t xml:space="preserve">JWT Bearer token. The mobile client includes the token in the</w:t>
      </w:r>
      <w:r>
        <w:t xml:space="preserve"> </w:t>
      </w:r>
      <w:r>
        <w:rPr>
          <w:rStyle w:val="VerbatimChar"/>
        </w:rPr>
        <w:t xml:space="preserve">Authorization: Bearer &lt;token&gt;</w:t>
      </w:r>
      <w:r>
        <w:t xml:space="preserve"> </w:t>
      </w:r>
      <w:r>
        <w:t xml:space="preserve">HTTP header on every request. The server validates the token signature, expiry, and revocation status on each request. The JWT claims (</w:t>
      </w:r>
      <w:r>
        <w:rPr>
          <w:rStyle w:val="VerbatimChar"/>
        </w:rPr>
        <w:t xml:space="preserve">tid</w:t>
      </w:r>
      <w:r>
        <w:t xml:space="preserve">,</w:t>
      </w:r>
      <w:r>
        <w:t xml:space="preserve"> </w:t>
      </w:r>
      <w:r>
        <w:rPr>
          <w:rStyle w:val="VerbatimChar"/>
        </w:rPr>
        <w:t xml:space="preserve">uid</w:t>
      </w:r>
      <w:r>
        <w:t xml:space="preserve">,</w:t>
      </w:r>
      <w:r>
        <w:t xml:space="preserve"> </w:t>
      </w:r>
      <w:r>
        <w:rPr>
          <w:rStyle w:val="VerbatimChar"/>
        </w:rPr>
        <w:t xml:space="preserve">role</w:t>
      </w:r>
      <w:r>
        <w:t xml:space="preserve">,</w:t>
      </w:r>
      <w:r>
        <w:t xml:space="preserve"> </w:t>
      </w:r>
      <w:r>
        <w:rPr>
          <w:rStyle w:val="VerbatimChar"/>
        </w:rPr>
        <w:t xml:space="preserve">modules</w:t>
      </w:r>
      <w:r>
        <w:t xml:space="preserve">) are used to populate a</w:t>
      </w:r>
      <w:r>
        <w:t xml:space="preserve"> </w:t>
      </w:r>
      <w:r>
        <w:rPr>
          <w:rStyle w:val="VerbatimChar"/>
        </w:rPr>
        <w:t xml:space="preserve">TenantContext</w:t>
      </w:r>
      <w:r>
        <w:t xml:space="preserve"> </w:t>
      </w:r>
      <w:r>
        <w:t xml:space="preserve">equivalent for mobile requests — the</w:t>
      </w:r>
      <w:r>
        <w:t xml:space="preserve"> </w:t>
      </w:r>
      <w:r>
        <w:rPr>
          <w:rStyle w:val="VerbatimChar"/>
        </w:rPr>
        <w:t xml:space="preserve">tid</w:t>
      </w:r>
      <w:r>
        <w:t xml:space="preserve"> </w:t>
      </w:r>
      <w:r>
        <w:t xml:space="preserve">claim provides the</w:t>
      </w:r>
      <w:r>
        <w:t xml:space="preserve"> </w:t>
      </w:r>
      <w:r>
        <w:rPr>
          <w:rStyle w:val="VerbatimChar"/>
        </w:rPr>
        <w:t xml:space="preserve">tenant_id</w:t>
      </w:r>
      <w:r>
        <w:t xml:space="preserve"> </w:t>
      </w:r>
      <w:r>
        <w:t xml:space="preserve">used for all SQL queries, not any request body parameter.</w:t>
      </w:r>
    </w:p>
    <w:bookmarkEnd w:id="96"/>
    <w:bookmarkStart w:id="97" w:name="versioning"/>
    <w:p>
      <w:pPr>
        <w:pStyle w:val="Heading3"/>
      </w:pPr>
      <w:r>
        <w:t xml:space="preserve">Versioning</w:t>
      </w:r>
    </w:p>
    <w:p>
      <w:pPr>
        <w:pStyle w:val="FirstParagraph"/>
      </w:pPr>
      <w:r>
        <w:t xml:space="preserve">The</w:t>
      </w:r>
      <w:r>
        <w:t xml:space="preserve"> </w:t>
      </w:r>
      <w:r>
        <w:rPr>
          <w:rStyle w:val="VerbatimChar"/>
        </w:rPr>
        <w:t xml:space="preserve">/v1/</w:t>
      </w:r>
      <w:r>
        <w:t xml:space="preserve"> </w:t>
      </w:r>
      <w:r>
        <w:t xml:space="preserve">path segment is the API version identifier. When a new API version is required,</w:t>
      </w:r>
      <w:r>
        <w:t xml:space="preserve"> </w:t>
      </w:r>
      <w:r>
        <w:rPr>
          <w:rStyle w:val="VerbatimChar"/>
        </w:rPr>
        <w:t xml:space="preserve">/public/api/mobile/v2/</w:t>
      </w:r>
      <w:r>
        <w:t xml:space="preserve"> </w:t>
      </w:r>
      <w:r>
        <w:t xml:space="preserve">shall be created with the updated endpoint implementations. Both versions shall operate concurrently during a migration window.</w:t>
      </w:r>
    </w:p>
    <w:bookmarkEnd w:id="97"/>
    <w:bookmarkStart w:id="98" w:name="rate-limiting"/>
    <w:p>
      <w:pPr>
        <w:pStyle w:val="Heading3"/>
      </w:pPr>
      <w:r>
        <w:t xml:space="preserve">Rate Limiting</w:t>
      </w:r>
    </w:p>
    <w:p>
      <w:pPr>
        <w:pStyle w:val="FirstParagraph"/>
      </w:pPr>
      <w:r>
        <w:t xml:space="preserve">Per-tenant and per-user rate limiting applies (see Section 6.5). Mobile API clients receive a</w:t>
      </w:r>
      <w:r>
        <w:t xml:space="preserve"> </w:t>
      </w:r>
      <w:r>
        <w:rPr>
          <w:rStyle w:val="VerbatimChar"/>
        </w:rPr>
        <w:t xml:space="preserve">Retry-After</w:t>
      </w:r>
      <w:r>
        <w:t xml:space="preserve"> </w:t>
      </w:r>
      <w:r>
        <w:t xml:space="preserve">header on HTTP 429 responses.</w:t>
      </w:r>
    </w:p>
    <w:bookmarkEnd w:id="98"/>
    <w:bookmarkStart w:id="99" w:name="cors"/>
    <w:p>
      <w:pPr>
        <w:pStyle w:val="Heading3"/>
      </w:pPr>
      <w:r>
        <w:t xml:space="preserve">CORS</w:t>
      </w:r>
    </w:p>
    <w:p>
      <w:pPr>
        <w:pStyle w:val="FirstParagraph"/>
      </w:pPr>
      <w:r>
        <w:t xml:space="preserve">Cross-Origin Resource Sharing (CORS) headers are enabled for the Mobile API path to permit requests from native app WebView components and any hybrid client contexts. Allowed origins are restricted to the Longhorn ERP app bundle identifiers.</w:t>
      </w:r>
    </w:p>
    <w:bookmarkEnd w:id="99"/>
    <w:bookmarkStart w:id="100" w:name="offline-sync-endpoints"/>
    <w:p>
      <w:pPr>
        <w:pStyle w:val="Heading3"/>
      </w:pPr>
      <w:r>
        <w:t xml:space="preserve">Offline Sync Endpoints</w:t>
      </w:r>
    </w:p>
    <w:p>
      <w:pPr>
        <w:pStyle w:val="FirstParagraph"/>
      </w:pPr>
      <w:r>
        <w:t xml:space="preserve">The Mobile API includes sync endpoints that accept a</w:t>
      </w:r>
      <w:r>
        <w:t xml:space="preserve"> </w:t>
      </w:r>
      <w:r>
        <w:rPr>
          <w:rStyle w:val="VerbatimChar"/>
        </w:rPr>
        <w:t xml:space="preserve">last_modified</w:t>
      </w:r>
      <w:r>
        <w:t xml:space="preserve"> </w:t>
      </w:r>
      <w:r>
        <w:t xml:space="preserve">timestamp parameter. The server returns only records modified after that timestamp (delta sync). This supports the offline resilience requirement: the Cooperative Procurement module shall allow offline intake for up to 72 hours and sync all pending transactions within 60 seconds of connectivity restoration (NFR-MOBILE-001).</w:t>
      </w:r>
    </w:p>
    <w:bookmarkEnd w:id="100"/>
    <w:bookmarkEnd w:id="101"/>
    <w:bookmarkStart w:id="105" w:name="Xd4eae279e5ce6cb32382e873389c21344766ff8"/>
    <w:p>
      <w:pPr>
        <w:pStyle w:val="Heading2"/>
      </w:pPr>
      <w:r>
        <w:t xml:space="preserve">8.4 Super Admin API (</w:t>
      </w:r>
      <w:r>
        <w:rPr>
          <w:rStyle w:val="VerbatimChar"/>
        </w:rPr>
        <w:t xml:space="preserve">/public/superadmin/api/</w:t>
      </w:r>
      <w:r>
        <w:t xml:space="preserve">)</w:t>
      </w:r>
    </w:p>
    <w:bookmarkStart w:id="102" w:name="purpose-2"/>
    <w:p>
      <w:pPr>
        <w:pStyle w:val="Heading3"/>
      </w:pPr>
      <w:r>
        <w:t xml:space="preserve">Purpose</w:t>
      </w:r>
    </w:p>
    <w:p>
      <w:pPr>
        <w:pStyle w:val="FirstParagraph"/>
      </w:pPr>
      <w:r>
        <w:t xml:space="preserve">The Super Admin API serves AJAX requests from the Super Admin Panel browser pages. It handles tenant provisioning, subscription management, billing, and platform monitoring operations.</w:t>
      </w:r>
    </w:p>
    <w:bookmarkEnd w:id="102"/>
    <w:bookmarkStart w:id="103" w:name="authentication-2"/>
    <w:p>
      <w:pPr>
        <w:pStyle w:val="Heading3"/>
      </w:pPr>
      <w:r>
        <w:t xml:space="preserve">Authentication</w:t>
      </w:r>
    </w:p>
    <w:p>
      <w:pPr>
        <w:pStyle w:val="FirstParagraph"/>
      </w:pPr>
      <w:r>
        <w:t xml:space="preserve">Super admin session. Requests are validated against the super admin session scope. No tenant context is injected — super admin API endpoints operate outside tenant isolation boundaries.</w:t>
      </w:r>
    </w:p>
    <w:bookmarkEnd w:id="103"/>
    <w:bookmarkStart w:id="104" w:name="csrf-protection-1"/>
    <w:p>
      <w:pPr>
        <w:pStyle w:val="Heading3"/>
      </w:pPr>
      <w:r>
        <w:t xml:space="preserve">CSRF Protection</w:t>
      </w:r>
    </w:p>
    <w:p>
      <w:pPr>
        <w:pStyle w:val="FirstParagraph"/>
      </w:pPr>
      <w:r>
        <w:t xml:space="preserve">The same</w:t>
      </w:r>
      <w:r>
        <w:t xml:space="preserve"> </w:t>
      </w:r>
      <w:r>
        <w:rPr>
          <w:rStyle w:val="VerbatimChar"/>
        </w:rPr>
        <w:t xml:space="preserve">X-CSRF-Token</w:t>
      </w:r>
      <w:r>
        <w:t xml:space="preserve"> </w:t>
      </w:r>
      <w:r>
        <w:t xml:space="preserve">header requirement applies to all state-changing Super Admin API requests.</w:t>
      </w:r>
    </w:p>
    <w:bookmarkEnd w:id="104"/>
    <w:bookmarkEnd w:id="105"/>
    <w:bookmarkStart w:id="106" w:name="X7c175075feab088e782325c5b97f1085600cebd"/>
    <w:p>
      <w:pPr>
        <w:pStyle w:val="Heading2"/>
      </w:pPr>
      <w:r>
        <w:t xml:space="preserve">8.5 Standardised Response Format</w:t>
      </w:r>
    </w:p>
    <w:p>
      <w:pPr>
        <w:pStyle w:val="FirstParagraph"/>
      </w:pPr>
      <w:r>
        <w:t xml:space="preserve">Every API endpoint, across all three surfaces, shall return responses using the</w:t>
      </w:r>
      <w:r>
        <w:t xml:space="preserve"> </w:t>
      </w:r>
      <w:r>
        <w:rPr>
          <w:rStyle w:val="VerbatimChar"/>
        </w:rPr>
        <w:t xml:space="preserve">ApiResponse</w:t>
      </w:r>
      <w:r>
        <w:t xml:space="preserve"> </w:t>
      </w:r>
      <w:r>
        <w:t xml:space="preserve">class in the following JSON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success</w:t>
            </w:r>
          </w:p>
        </w:tc>
        <w:tc>
          <w:tcPr/>
          <w:p>
            <w:pPr>
              <w:pStyle w:val="Compact"/>
            </w:pPr>
            <w:r>
              <w:rPr>
                <w:rStyle w:val="VerbatimChar"/>
              </w:rPr>
              <w:t xml:space="preserve">bool</w:t>
            </w:r>
          </w:p>
        </w:tc>
        <w:tc>
          <w:tcPr/>
          <w:p>
            <w:pPr>
              <w:pStyle w:val="Compact"/>
            </w:pPr>
            <w:r>
              <w:rPr>
                <w:rStyle w:val="VerbatimChar"/>
              </w:rPr>
              <w:t xml:space="preserve">true</w:t>
            </w:r>
            <w:r>
              <w:t xml:space="preserve"> </w:t>
            </w:r>
            <w:r>
              <w:t xml:space="preserve">if the operation succeeded;</w:t>
            </w:r>
            <w:r>
              <w:t xml:space="preserve"> </w:t>
            </w:r>
            <w:r>
              <w:rPr>
                <w:rStyle w:val="VerbatimChar"/>
              </w:rPr>
              <w:t xml:space="preserve">false</w:t>
            </w:r>
            <w:r>
              <w:t xml:space="preserve"> </w:t>
            </w:r>
            <w:r>
              <w:t xml:space="preserve">if it failed.</w:t>
            </w:r>
          </w:p>
        </w:tc>
      </w:tr>
      <w:tr>
        <w:tc>
          <w:tcPr/>
          <w:p>
            <w:pPr>
              <w:pStyle w:val="Compact"/>
            </w:pPr>
            <w:r>
              <w:rPr>
                <w:rStyle w:val="VerbatimChar"/>
              </w:rPr>
              <w:t xml:space="preserve">data</w:t>
            </w:r>
          </w:p>
        </w:tc>
        <w:tc>
          <w:tcPr/>
          <w:p>
            <w:pPr>
              <w:pStyle w:val="Compact"/>
            </w:pPr>
            <w:r>
              <w:rPr>
                <w:rStyle w:val="VerbatimChar"/>
              </w:rPr>
              <w:t xml:space="preserve">object</w:t>
            </w:r>
            <w:r>
              <w:t xml:space="preserve"> </w:t>
            </w:r>
            <w:r>
              <w:t xml:space="preserve">or</w:t>
            </w:r>
            <w:r>
              <w:t xml:space="preserve"> </w:t>
            </w:r>
            <w:r>
              <w:rPr>
                <w:rStyle w:val="VerbatimChar"/>
              </w:rPr>
              <w:t xml:space="preserve">array</w:t>
            </w:r>
          </w:p>
        </w:tc>
        <w:tc>
          <w:tcPr/>
          <w:p>
            <w:pPr>
              <w:pStyle w:val="Compact"/>
            </w:pPr>
            <w:r>
              <w:t xml:space="preserve">The response payload on success;</w:t>
            </w:r>
            <w:r>
              <w:t xml:space="preserve"> </w:t>
            </w:r>
            <w:r>
              <w:rPr>
                <w:rStyle w:val="VerbatimChar"/>
              </w:rPr>
              <w:t xml:space="preserve">{}</w:t>
            </w:r>
            <w:r>
              <w:t xml:space="preserve"> </w:t>
            </w:r>
            <w:r>
              <w:t xml:space="preserve">on failure.</w:t>
            </w:r>
          </w:p>
        </w:tc>
      </w:tr>
      <w:tr>
        <w:tc>
          <w:tcPr/>
          <w:p>
            <w:pPr>
              <w:pStyle w:val="Compact"/>
            </w:pPr>
            <w:r>
              <w:rPr>
                <w:rStyle w:val="VerbatimChar"/>
              </w:rPr>
              <w:t xml:space="preserve">error</w:t>
            </w:r>
          </w:p>
        </w:tc>
        <w:tc>
          <w:tcPr/>
          <w:p>
            <w:pPr>
              <w:pStyle w:val="Compact"/>
            </w:pPr>
            <w:r>
              <w:rPr>
                <w:rStyle w:val="VerbatimChar"/>
              </w:rPr>
              <w:t xml:space="preserve">object</w:t>
            </w:r>
          </w:p>
        </w:tc>
        <w:tc>
          <w:tcPr/>
          <w:p>
            <w:pPr>
              <w:pStyle w:val="Compact"/>
            </w:pPr>
            <w:r>
              <w:t xml:space="preserve">Error details on failure:</w:t>
            </w:r>
            <w:r>
              <w:t xml:space="preserve"> </w:t>
            </w:r>
            <w:r>
              <w:rPr>
                <w:rStyle w:val="VerbatimChar"/>
              </w:rPr>
              <w:t xml:space="preserve">{ "code": "...", "message": "..." }</w:t>
            </w:r>
            <w:r>
              <w:t xml:space="preserve">;</w:t>
            </w:r>
            <w:r>
              <w:t xml:space="preserve"> </w:t>
            </w:r>
            <w:r>
              <w:rPr>
                <w:rStyle w:val="VerbatimChar"/>
              </w:rPr>
              <w:t xml:space="preserve">{}</w:t>
            </w:r>
            <w:r>
              <w:t xml:space="preserve"> </w:t>
            </w:r>
            <w:r>
              <w:t xml:space="preserve">on success.</w:t>
            </w:r>
          </w:p>
        </w:tc>
      </w:tr>
    </w:tbl>
    <w:p>
      <w:pPr>
        <w:pStyle w:val="BodyText"/>
      </w:pPr>
      <w:r>
        <w:t xml:space="preserve">HTTP status codes are always set correctly: 200 for success, 201 for created, 400 for validation errors, 401 for unauthenticated, 403 for unauthorised, 404 for not found (including cross-tenant attempts), 422 for business rule violations, 429 for rate limit exceeded, 500 for server errors.</w:t>
      </w:r>
    </w:p>
    <w:bookmarkEnd w:id="106"/>
    <w:bookmarkStart w:id="107" w:name="X71f607fef1251ef86954cc641a41038db209f0e"/>
    <w:p>
      <w:pPr>
        <w:pStyle w:val="Heading2"/>
      </w:pPr>
      <w:r>
        <w:t xml:space="preserve">8.6 Output Encoding</w:t>
      </w:r>
    </w:p>
    <w:p>
      <w:pPr>
        <w:pStyle w:val="FirstParagraph"/>
      </w:pPr>
      <w:r>
        <w:t xml:space="preserve">All string values in API responses shall be HTML-escaped using</w:t>
      </w:r>
      <w:r>
        <w:t xml:space="preserve"> </w:t>
      </w:r>
      <w:r>
        <w:rPr>
          <w:rStyle w:val="VerbatimChar"/>
        </w:rPr>
        <w:t xml:space="preserve">htmlspecialchars()</w:t>
      </w:r>
      <w:r>
        <w:t xml:space="preserve"> </w:t>
      </w:r>
      <w:r>
        <w:t xml:space="preserve">with</w:t>
      </w:r>
      <w:r>
        <w:t xml:space="preserve"> </w:t>
      </w:r>
      <w:r>
        <w:rPr>
          <w:rStyle w:val="VerbatimChar"/>
        </w:rPr>
        <w:t xml:space="preserve">ENT_QUOTES | ENT_SUBSTITUTE</w:t>
      </w:r>
      <w:r>
        <w:t xml:space="preserve"> </w:t>
      </w:r>
      <w:r>
        <w:t xml:space="preserve">before being passed to</w:t>
      </w:r>
      <w:r>
        <w:t xml:space="preserve"> </w:t>
      </w:r>
      <w:r>
        <w:rPr>
          <w:rStyle w:val="VerbatimChar"/>
        </w:rPr>
        <w:t xml:space="preserve">ApiResponse</w:t>
      </w:r>
      <w:r>
        <w:t xml:space="preserve">. This prevents Cross-Site Scripting (XSS) vulnerabilities in any client that renders API response values as HTML without additional escaping.</w:t>
      </w:r>
    </w:p>
    <w:p>
      <w:pPr>
        <w:pStyle w:val="BodyText"/>
      </w:pPr>
      <w:r>
        <w:t xml:space="preserve">All SQL inputs are handled via PDO prepared statements (see Section 4.7). API endpoints do not construct SQL queries directly — all data operations are delegated to service layer methods.</w:t>
      </w:r>
    </w:p>
    <w:bookmarkEnd w:id="107"/>
    <w:bookmarkEnd w:id="108"/>
    <w:bookmarkStart w:id="116" w:name="localisation-engine"/>
    <w:p>
      <w:pPr>
        <w:pStyle w:val="Heading1"/>
      </w:pPr>
      <w:r>
        <w:t xml:space="preserve">Localisation Engine</w:t>
      </w:r>
    </w:p>
    <w:bookmarkStart w:id="109" w:name="X90dfa4fe70fe89648bcaf07162f417f37cde9cf"/>
    <w:p>
      <w:pPr>
        <w:pStyle w:val="Heading2"/>
      </w:pPr>
      <w:r>
        <w:t xml:space="preserve">9.1 Design Principle: One Codebase, All Markets</w:t>
      </w:r>
    </w:p>
    <w:p>
      <w:pPr>
        <w:pStyle w:val="FirstParagraph"/>
      </w:pPr>
      <w:r>
        <w:t xml:space="preserve">The Longhorn ERP Localisation Engine is a configuration-driven mechanism that enables the platform to operate correctly in any supported market without modifying source code, database schema, or deployment artefacts. Entering a new country requires only:</w:t>
      </w:r>
    </w:p>
    <w:p>
      <w:pPr>
        <w:pStyle w:val="Compact"/>
        <w:numPr>
          <w:ilvl w:val="0"/>
          <w:numId w:val="1014"/>
        </w:numPr>
      </w:pPr>
      <w:r>
        <w:t xml:space="preserve">Creating a localisation profile record for the target jurisdiction.</w:t>
      </w:r>
    </w:p>
    <w:p>
      <w:pPr>
        <w:pStyle w:val="Compact"/>
        <w:numPr>
          <w:ilvl w:val="0"/>
          <w:numId w:val="1014"/>
        </w:numPr>
      </w:pPr>
      <w:r>
        <w:t xml:space="preserve">Assigning the profile to a tenant.</w:t>
      </w:r>
    </w:p>
    <w:p>
      <w:pPr>
        <w:pStyle w:val="Compact"/>
        <w:numPr>
          <w:ilvl w:val="0"/>
          <w:numId w:val="1014"/>
        </w:numPr>
      </w:pPr>
      <w:r>
        <w:t xml:space="preserve">Verifying that any required external integrations (tax authority APIs, mobile money gateways) are available.</w:t>
      </w:r>
    </w:p>
    <w:p>
      <w:pPr>
        <w:pStyle w:val="FirstParagraph"/>
      </w:pPr>
      <w:r>
        <w:t xml:space="preserve">No code branches, no country-specific forks, and no per-country deployment pipelines.</w:t>
      </w:r>
    </w:p>
    <w:bookmarkEnd w:id="109"/>
    <w:bookmarkStart w:id="110" w:name="X8ad629401d8e192e44f471a319229f49e31982a"/>
    <w:p>
      <w:pPr>
        <w:pStyle w:val="Heading2"/>
      </w:pPr>
      <w:r>
        <w:t xml:space="preserve">9.2 Localisation Profile Structure</w:t>
      </w:r>
    </w:p>
    <w:p>
      <w:pPr>
        <w:pStyle w:val="FirstParagraph"/>
      </w:pPr>
      <w:r>
        <w:t xml:space="preserve">Each tenant is assigned exactly 1 localisation profile. The profile is stored as a structured record in the</w:t>
      </w:r>
      <w:r>
        <w:t xml:space="preserve"> </w:t>
      </w:r>
      <w:r>
        <w:rPr>
          <w:rStyle w:val="VerbatimChar"/>
        </w:rPr>
        <w:t xml:space="preserve">localisation_profiles</w:t>
      </w:r>
      <w:r>
        <w:t xml:space="preserve"> </w:t>
      </w:r>
      <w:r>
        <w:t xml:space="preserve">table and linked to the tenant via</w:t>
      </w:r>
      <w:r>
        <w:t xml:space="preserve"> </w:t>
      </w:r>
      <w:r>
        <w:rPr>
          <w:rStyle w:val="VerbatimChar"/>
        </w:rPr>
        <w:t xml:space="preserve">tenants.localisation_profile_id</w:t>
      </w:r>
      <w:r>
        <w:t xml:space="preserve">. The profile governs the following dimensions: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Description</w:t>
            </w:r>
          </w:p>
        </w:tc>
      </w:tr>
      <w:tr>
        <w:tc>
          <w:tcPr/>
          <w:p>
            <w:pPr>
              <w:pStyle w:val="Compact"/>
            </w:pPr>
            <w:r>
              <w:t xml:space="preserve">Currency</w:t>
            </w:r>
          </w:p>
        </w:tc>
        <w:tc>
          <w:tcPr/>
          <w:p>
            <w:pPr>
              <w:pStyle w:val="Compact"/>
            </w:pPr>
            <w:r>
              <w:t xml:space="preserve">ISO 4217 currency code and display format (symbol, decimal separator, thousands separator).</w:t>
            </w:r>
          </w:p>
        </w:tc>
      </w:tr>
      <w:tr>
        <w:tc>
          <w:tcPr/>
          <w:p>
            <w:pPr>
              <w:pStyle w:val="Compact"/>
            </w:pPr>
            <w:r>
              <w:t xml:space="preserve">Language</w:t>
            </w:r>
          </w:p>
        </w:tc>
        <w:tc>
          <w:tcPr/>
          <w:p>
            <w:pPr>
              <w:pStyle w:val="Compact"/>
            </w:pPr>
            <w:r>
              <w:t xml:space="preserve">ISO 639-1 language code for UI labels and system-generated documents.</w:t>
            </w:r>
          </w:p>
        </w:tc>
      </w:tr>
      <w:tr>
        <w:tc>
          <w:tcPr/>
          <w:p>
            <w:pPr>
              <w:pStyle w:val="Compact"/>
            </w:pPr>
            <w:r>
              <w:t xml:space="preserve">Date format</w:t>
            </w:r>
          </w:p>
        </w:tc>
        <w:tc>
          <w:tcPr/>
          <w:p>
            <w:pPr>
              <w:pStyle w:val="Compact"/>
            </w:pPr>
            <w:r>
              <w:t xml:space="preserve">Display format string (e.g.,</w:t>
            </w:r>
            <w:r>
              <w:t xml:space="preserve"> </w:t>
            </w:r>
            <w:r>
              <w:rPr>
                <w:rStyle w:val="VerbatimChar"/>
              </w:rPr>
              <w:t xml:space="preserve">DD/MM/YYYY</w:t>
            </w:r>
            <w:r>
              <w:t xml:space="preserve"> </w:t>
            </w:r>
            <w:r>
              <w:t xml:space="preserve">for Uganda,</w:t>
            </w:r>
            <w:r>
              <w:t xml:space="preserve"> </w:t>
            </w:r>
            <w:r>
              <w:rPr>
                <w:rStyle w:val="VerbatimChar"/>
              </w:rPr>
              <w:t xml:space="preserve">MM/DD/YYYY</w:t>
            </w:r>
            <w:r>
              <w:t xml:space="preserve"> </w:t>
            </w:r>
            <w:r>
              <w:t xml:space="preserve">for US).</w:t>
            </w:r>
          </w:p>
        </w:tc>
      </w:tr>
      <w:tr>
        <w:tc>
          <w:tcPr/>
          <w:p>
            <w:pPr>
              <w:pStyle w:val="Compact"/>
            </w:pPr>
            <w:r>
              <w:t xml:space="preserve">Financial year</w:t>
            </w:r>
          </w:p>
        </w:tc>
        <w:tc>
          <w:tcPr/>
          <w:p>
            <w:pPr>
              <w:pStyle w:val="Compact"/>
            </w:pPr>
            <w:r>
              <w:t xml:space="preserve">Start month of the financial year (e.g., July for Uganda government entities, January for calendar-year businesses).</w:t>
            </w:r>
          </w:p>
        </w:tc>
      </w:tr>
      <w:tr>
        <w:tc>
          <w:tcPr/>
          <w:p>
            <w:pPr>
              <w:pStyle w:val="Compact"/>
            </w:pPr>
            <w:r>
              <w:t xml:space="preserve">VAT configuration</w:t>
            </w:r>
          </w:p>
        </w:tc>
        <w:tc>
          <w:tcPr/>
          <w:p>
            <w:pPr>
              <w:pStyle w:val="Compact"/>
            </w:pPr>
            <w:r>
              <w:t xml:space="preserve">VAT registration threshold, standard VAT rate, exempt categories, VAT return format.</w:t>
            </w:r>
          </w:p>
        </w:tc>
      </w:tr>
      <w:tr>
        <w:tc>
          <w:tcPr/>
          <w:p>
            <w:pPr>
              <w:pStyle w:val="Compact"/>
            </w:pPr>
            <w:r>
              <w:t xml:space="preserve">Statutory deductions</w:t>
            </w:r>
          </w:p>
        </w:tc>
        <w:tc>
          <w:tcPr/>
          <w:p>
            <w:pPr>
              <w:pStyle w:val="Compact"/>
            </w:pPr>
            <w:r>
              <w:t xml:space="preserve">Ordered list of statutory deduction rules (e.g., PAYE bands, NSSF employer/employee rates for Uganda; NHIF, NSSF for Kenya). Each rule references a formula or rate table resolved at payroll run time.</w:t>
            </w:r>
          </w:p>
        </w:tc>
      </w:tr>
      <w:tr>
        <w:tc>
          <w:tcPr/>
          <w:p>
            <w:pPr>
              <w:pStyle w:val="Compact"/>
            </w:pPr>
            <w:r>
              <w:t xml:space="preserve">Chart of Accounts starter</w:t>
            </w:r>
          </w:p>
        </w:tc>
        <w:tc>
          <w:tcPr/>
          <w:p>
            <w:pPr>
              <w:pStyle w:val="Compact"/>
            </w:pPr>
            <w:r>
              <w:t xml:space="preserve">The COA template applied when the tenant is provisioned. After provisioning, the tenant may customise their COA.</w:t>
            </w:r>
          </w:p>
        </w:tc>
      </w:tr>
      <w:tr>
        <w:tc>
          <w:tcPr/>
          <w:p>
            <w:pPr>
              <w:pStyle w:val="Compact"/>
            </w:pPr>
            <w:r>
              <w:t xml:space="preserve">Invoice legal text</w:t>
            </w:r>
          </w:p>
        </w:tc>
        <w:tc>
          <w:tcPr/>
          <w:p>
            <w:pPr>
              <w:pStyle w:val="Compact"/>
            </w:pPr>
            <w:r>
              <w:t xml:space="preserve">Jurisdiction-required text printed on invoices (e.g., tax registration number format, payment terms mandated by regulation).</w:t>
            </w:r>
          </w:p>
        </w:tc>
      </w:tr>
      <w:tr>
        <w:tc>
          <w:tcPr/>
          <w:p>
            <w:pPr>
              <w:pStyle w:val="Compact"/>
            </w:pPr>
            <w:r>
              <w:t xml:space="preserve">Payment gateways</w:t>
            </w:r>
          </w:p>
        </w:tc>
        <w:tc>
          <w:tcPr/>
          <w:p>
            <w:pPr>
              <w:pStyle w:val="Compact"/>
            </w:pPr>
            <w:r>
              <w:t xml:space="preserve">Ordered list of enabled mobile money and payment gateway codes (e.g.,</w:t>
            </w:r>
            <w:r>
              <w:t xml:space="preserve"> </w:t>
            </w:r>
            <w:r>
              <w:rPr>
                <w:rStyle w:val="VerbatimChar"/>
              </w:rPr>
              <w:t xml:space="preserve">MTN_MOMO_UG</w:t>
            </w:r>
            <w:r>
              <w:t xml:space="preserve">,</w:t>
            </w:r>
            <w:r>
              <w:t xml:space="preserve"> </w:t>
            </w:r>
            <w:r>
              <w:rPr>
                <w:rStyle w:val="VerbatimChar"/>
              </w:rPr>
              <w:t xml:space="preserve">AIRTEL_MONEY_UG</w:t>
            </w:r>
            <w:r>
              <w:t xml:space="preserve">,</w:t>
            </w:r>
            <w:r>
              <w:t xml:space="preserve"> </w:t>
            </w:r>
            <w:r>
              <w:rPr>
                <w:rStyle w:val="VerbatimChar"/>
              </w:rPr>
              <w:t xml:space="preserve">MPESA_KE</w:t>
            </w:r>
            <w:r>
              <w:t xml:space="preserve">).</w:t>
            </w:r>
          </w:p>
        </w:tc>
      </w:tr>
      <w:tr>
        <w:tc>
          <w:tcPr/>
          <w:p>
            <w:pPr>
              <w:pStyle w:val="Compact"/>
            </w:pPr>
            <w:r>
              <w:t xml:space="preserve">Fiscal receipt integration</w:t>
            </w:r>
          </w:p>
        </w:tc>
        <w:tc>
          <w:tcPr/>
          <w:p>
            <w:pPr>
              <w:pStyle w:val="Compact"/>
            </w:pPr>
            <w:r>
              <w:t xml:space="preserve">Whether the tenant is subject to electronic fiscal receipt requirements (e.g., URA EFRIS for Uganda) and the gateway code to use.</w:t>
            </w:r>
          </w:p>
        </w:tc>
      </w:tr>
      <w:tr>
        <w:tc>
          <w:tcPr/>
          <w:p>
            <w:pPr>
              <w:pStyle w:val="Compact"/>
            </w:pPr>
            <w:r>
              <w:t xml:space="preserve">Address format</w:t>
            </w:r>
          </w:p>
        </w:tc>
        <w:tc>
          <w:tcPr/>
          <w:p>
            <w:pPr>
              <w:pStyle w:val="Compact"/>
            </w:pPr>
            <w:r>
              <w:t xml:space="preserve">Field order and label set for postal addresses (varies by country).</w:t>
            </w:r>
          </w:p>
        </w:tc>
      </w:tr>
      <w:tr>
        <w:tc>
          <w:tcPr/>
          <w:p>
            <w:pPr>
              <w:pStyle w:val="Compact"/>
            </w:pPr>
            <w:r>
              <w:t xml:space="preserve">Phone format</w:t>
            </w:r>
          </w:p>
        </w:tc>
        <w:tc>
          <w:tcPr/>
          <w:p>
            <w:pPr>
              <w:pStyle w:val="Compact"/>
            </w:pPr>
            <w:r>
              <w:t xml:space="preserve">Country dial code and local number format validation rules.</w:t>
            </w:r>
          </w:p>
        </w:tc>
      </w:tr>
    </w:tbl>
    <w:bookmarkEnd w:id="110"/>
    <w:bookmarkStart w:id="111" w:name="X655eb1ae63e12a61c93063a19494e4cfed2af18"/>
    <w:p>
      <w:pPr>
        <w:pStyle w:val="Heading2"/>
      </w:pPr>
      <w:r>
        <w:t xml:space="preserve">9.3 How Services Consume the Localisation Profile</w:t>
      </w:r>
    </w:p>
    <w:p>
      <w:pPr>
        <w:pStyle w:val="FirstParagraph"/>
      </w:pPr>
      <w:r>
        <w:t xml:space="preserve">Services access the localisation profile exclusively through</w:t>
      </w:r>
      <w:r>
        <w:t xml:space="preserve"> </w:t>
      </w:r>
      <w:r>
        <w:rPr>
          <w:rStyle w:val="VerbatimChar"/>
        </w:rPr>
        <w:t xml:space="preserve">TenantContext::getLocalisationProfile()</w:t>
      </w:r>
      <w:r>
        <w:t xml:space="preserve">. The profile object exposes typed accessors — no service reads raw profile fields from the database directly.</w:t>
      </w:r>
    </w:p>
    <w:p>
      <w:pPr>
        <w:pStyle w:val="BodyText"/>
      </w:pPr>
      <w:r>
        <w:t xml:space="preserve">The design rule for localisation in functional requirements is:</w:t>
      </w:r>
      <w:r>
        <w:t xml:space="preserve"> </w:t>
      </w:r>
      <w:r>
        <w:rPr>
          <w:i/>
          <w:iCs/>
        </w:rPr>
        <w:t xml:space="preserve">"The system shall apply [rate/format/rule] from the tenant's active localisation profile."</w:t>
      </w:r>
      <w:r>
        <w:t xml:space="preserve"> </w:t>
      </w:r>
      <w:r>
        <w:t xml:space="preserve">The profile is the variable; the code is the constant.</w:t>
      </w:r>
    </w:p>
    <w:p>
      <w:pPr>
        <w:pStyle w:val="BodyText"/>
      </w:pPr>
      <w:r>
        <w:t xml:space="preserve">Example application in the HR &amp; Payroll module: "The system shall calculate PAYE by applying the income tax band table from the tenant's active localisation profile to the employee's gross taxable pay for the period." The same code path executes for a Uganda tenant (Uganda Income Tax Act bands) and a Kenya tenant (KRA iTax bands) because the band table is in the profile, not in the code.</w:t>
      </w:r>
    </w:p>
    <w:bookmarkEnd w:id="111"/>
    <w:bookmarkStart w:id="113" w:name="Xd02b650940204995aa26b2e8e1785acc4400acb"/>
    <w:p>
      <w:pPr>
        <w:pStyle w:val="Heading2"/>
      </w:pPr>
      <w:r>
        <w:t xml:space="preserve">9.4 Uganda Phase 1 Reference Implementation</w:t>
      </w:r>
    </w:p>
    <w:p>
      <w:pPr>
        <w:pStyle w:val="FirstParagraph"/>
      </w:pPr>
      <w:r>
        <w:t xml:space="preserve">Uganda is the Phase 1 reference implementation. The Uganda localisation profile is the first fully defined profile and serves as the template and validation baseline for all subsequent profiles.</w:t>
      </w:r>
    </w:p>
    <w:bookmarkStart w:id="112" w:name="uganda-profile-summary"/>
    <w:p>
      <w:pPr>
        <w:pStyle w:val="Heading3"/>
      </w:pPr>
      <w:r>
        <w:t xml:space="preserve">Uganda Profile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Uganda Phase 1 Value</w:t>
            </w:r>
          </w:p>
        </w:tc>
      </w:tr>
      <w:tr>
        <w:tc>
          <w:tcPr/>
          <w:p>
            <w:pPr>
              <w:pStyle w:val="Compact"/>
            </w:pPr>
            <w:r>
              <w:t xml:space="preserve">Currency</w:t>
            </w:r>
          </w:p>
        </w:tc>
        <w:tc>
          <w:tcPr/>
          <w:p>
            <w:pPr>
              <w:pStyle w:val="Compact"/>
            </w:pPr>
            <w:r>
              <w:rPr>
                <w:rStyle w:val="VerbatimChar"/>
              </w:rPr>
              <w:t xml:space="preserve">UGX</w:t>
            </w:r>
            <w:r>
              <w:t xml:space="preserve"> </w:t>
            </w:r>
            <w:r>
              <w:t xml:space="preserve">— Ugandan Shilling</w:t>
            </w:r>
          </w:p>
        </w:tc>
      </w:tr>
      <w:tr>
        <w:tc>
          <w:tcPr/>
          <w:p>
            <w:pPr>
              <w:pStyle w:val="Compact"/>
            </w:pPr>
            <w:r>
              <w:t xml:space="preserve">Language</w:t>
            </w:r>
          </w:p>
        </w:tc>
        <w:tc>
          <w:tcPr/>
          <w:p>
            <w:pPr>
              <w:pStyle w:val="Compact"/>
            </w:pPr>
            <w:r>
              <w:rPr>
                <w:rStyle w:val="VerbatimChar"/>
              </w:rPr>
              <w:t xml:space="preserve">en</w:t>
            </w:r>
            <w:r>
              <w:t xml:space="preserve"> </w:t>
            </w:r>
            <w:r>
              <w:t xml:space="preserve">— English</w:t>
            </w:r>
          </w:p>
        </w:tc>
      </w:tr>
      <w:tr>
        <w:tc>
          <w:tcPr/>
          <w:p>
            <w:pPr>
              <w:pStyle w:val="Compact"/>
            </w:pPr>
            <w:r>
              <w:t xml:space="preserve">Date format</w:t>
            </w:r>
          </w:p>
        </w:tc>
        <w:tc>
          <w:tcPr/>
          <w:p>
            <w:pPr>
              <w:pStyle w:val="Compact"/>
            </w:pPr>
            <w:r>
              <w:rPr>
                <w:rStyle w:val="VerbatimChar"/>
              </w:rPr>
              <w:t xml:space="preserve">DD/MM/YYYY</w:t>
            </w:r>
          </w:p>
        </w:tc>
      </w:tr>
      <w:tr>
        <w:tc>
          <w:tcPr/>
          <w:p>
            <w:pPr>
              <w:pStyle w:val="Compact"/>
            </w:pPr>
            <w:r>
              <w:t xml:space="preserve">Financial year start</w:t>
            </w:r>
          </w:p>
        </w:tc>
        <w:tc>
          <w:tcPr/>
          <w:p>
            <w:pPr>
              <w:pStyle w:val="Compact"/>
            </w:pPr>
            <w:r>
              <w:t xml:space="preserve">July (month 7)</w:t>
            </w:r>
          </w:p>
        </w:tc>
      </w:tr>
      <w:tr>
        <w:tc>
          <w:tcPr/>
          <w:p>
            <w:pPr>
              <w:pStyle w:val="Compact"/>
            </w:pPr>
            <w:r>
              <w:t xml:space="preserve">VAT standard rate</w:t>
            </w:r>
          </w:p>
        </w:tc>
        <w:tc>
          <w:tcPr/>
          <w:p>
            <w:pPr>
              <w:pStyle w:val="Compact"/>
            </w:pPr>
            <w:r>
              <w:t xml:space="preserve">18%</w:t>
            </w:r>
          </w:p>
        </w:tc>
      </w:tr>
      <w:tr>
        <w:tc>
          <w:tcPr/>
          <w:p>
            <w:pPr>
              <w:pStyle w:val="Compact"/>
            </w:pPr>
            <w:r>
              <w:t xml:space="preserve">PAYE bands</w:t>
            </w:r>
          </w:p>
        </w:tc>
        <w:tc>
          <w:tcPr/>
          <w:p>
            <w:pPr>
              <w:pStyle w:val="Compact"/>
            </w:pPr>
            <w:r>
              <w:t xml:space="preserve">Uganda Revenue Authority (URA) graduated scale</w:t>
            </w:r>
          </w:p>
        </w:tc>
      </w:tr>
      <w:tr>
        <w:tc>
          <w:tcPr/>
          <w:p>
            <w:pPr>
              <w:pStyle w:val="Compact"/>
            </w:pPr>
            <w:r>
              <w:t xml:space="preserve">NSSF contribution</w:t>
            </w:r>
          </w:p>
        </w:tc>
        <w:tc>
          <w:tcPr/>
          <w:p>
            <w:pPr>
              <w:pStyle w:val="Compact"/>
            </w:pPr>
            <w:r>
              <w:t xml:space="preserve">Employer 10%, Employee 5% of gross salary</w:t>
            </w:r>
          </w:p>
        </w:tc>
      </w:tr>
      <w:tr>
        <w:tc>
          <w:tcPr/>
          <w:p>
            <w:pPr>
              <w:pStyle w:val="Compact"/>
            </w:pPr>
            <w:r>
              <w:t xml:space="preserve">COA starter</w:t>
            </w:r>
          </w:p>
        </w:tc>
        <w:tc>
          <w:tcPr/>
          <w:p>
            <w:pPr>
              <w:pStyle w:val="Compact"/>
            </w:pPr>
            <w:r>
              <w:t xml:space="preserve">Uganda IFRS-aligned COA with URA chart references</w:t>
            </w:r>
          </w:p>
        </w:tc>
      </w:tr>
      <w:tr>
        <w:tc>
          <w:tcPr/>
          <w:p>
            <w:pPr>
              <w:pStyle w:val="Compact"/>
            </w:pPr>
            <w:r>
              <w:t xml:space="preserve">Invoice legal text</w:t>
            </w:r>
          </w:p>
        </w:tc>
        <w:tc>
          <w:tcPr/>
          <w:p>
            <w:pPr>
              <w:pStyle w:val="Compact"/>
            </w:pPr>
            <w:r>
              <w:t xml:space="preserve">TIN required; VAT registration number if VAT-registered</w:t>
            </w:r>
          </w:p>
        </w:tc>
      </w:tr>
      <w:tr>
        <w:tc>
          <w:tcPr/>
          <w:p>
            <w:pPr>
              <w:pStyle w:val="Compact"/>
            </w:pPr>
            <w:r>
              <w:t xml:space="preserve">Mobile money gateways</w:t>
            </w:r>
          </w:p>
        </w:tc>
        <w:tc>
          <w:tcPr/>
          <w:p>
            <w:pPr>
              <w:pStyle w:val="Compact"/>
            </w:pPr>
            <w:r>
              <w:t xml:space="preserve">MTN Mobile Money Uganda (</w:t>
            </w:r>
            <w:r>
              <w:rPr>
                <w:rStyle w:val="VerbatimChar"/>
              </w:rPr>
              <w:t xml:space="preserve">MTN_MOMO_UG</w:t>
            </w:r>
            <w:r>
              <w:t xml:space="preserve">), Airtel Money Uganda (</w:t>
            </w:r>
            <w:r>
              <w:rPr>
                <w:rStyle w:val="VerbatimChar"/>
              </w:rPr>
              <w:t xml:space="preserve">AIRTEL_MONEY_UG</w:t>
            </w:r>
            <w:r>
              <w:t xml:space="preserve">)</w:t>
            </w:r>
          </w:p>
        </w:tc>
      </w:tr>
      <w:tr>
        <w:tc>
          <w:tcPr/>
          <w:p>
            <w:pPr>
              <w:pStyle w:val="Compact"/>
            </w:pPr>
            <w:r>
              <w:t xml:space="preserve">Fiscal receipt</w:t>
            </w:r>
          </w:p>
        </w:tc>
        <w:tc>
          <w:tcPr/>
          <w:p>
            <w:pPr>
              <w:pStyle w:val="Compact"/>
            </w:pPr>
            <w:r>
              <w:t xml:space="preserve">URA EFRIS (</w:t>
            </w:r>
            <w:r>
              <w:rPr>
                <w:rStyle w:val="VerbatimChar"/>
              </w:rPr>
              <w:t xml:space="preserve">URA_EFRIS</w:t>
            </w:r>
            <w:r>
              <w:t xml:space="preserve">) — required for VAT-registered tenants</w:t>
            </w:r>
          </w:p>
        </w:tc>
      </w:tr>
      <w:tr>
        <w:tc>
          <w:tcPr/>
          <w:p>
            <w:pPr>
              <w:pStyle w:val="Compact"/>
            </w:pPr>
            <w:r>
              <w:t xml:space="preserve">NITA-U compliance</w:t>
            </w:r>
          </w:p>
        </w:tc>
        <w:tc>
          <w:tcPr/>
          <w:p>
            <w:pPr>
              <w:pStyle w:val="Compact"/>
            </w:pPr>
            <w:r>
              <w:t xml:space="preserve">Cloud SaaS provider obligations per NITA-U SaaS Guidelines</w:t>
            </w:r>
          </w:p>
        </w:tc>
      </w:tr>
    </w:tbl>
    <w:bookmarkEnd w:id="112"/>
    <w:bookmarkEnd w:id="113"/>
    <w:bookmarkStart w:id="114" w:name="X319d4d560a6690abe673c9014691b5686d90062"/>
    <w:p>
      <w:pPr>
        <w:pStyle w:val="Heading2"/>
      </w:pPr>
      <w:r>
        <w:t xml:space="preserve">9.5 Localisation Profile Versioning</w:t>
      </w:r>
    </w:p>
    <w:p>
      <w:pPr>
        <w:pStyle w:val="FirstParagraph"/>
      </w:pPr>
      <w:r>
        <w:t xml:space="preserve">Statutory rates (PAYE bands, NSSF rates, VAT rates) change when governments enact new legislation. The</w:t>
      </w:r>
      <w:r>
        <w:t xml:space="preserve"> </w:t>
      </w:r>
      <w:r>
        <w:rPr>
          <w:rStyle w:val="VerbatimChar"/>
        </w:rPr>
        <w:t xml:space="preserve">localisation_profiles</w:t>
      </w:r>
      <w:r>
        <w:t xml:space="preserve"> </w:t>
      </w:r>
      <w:r>
        <w:t xml:space="preserve">table supports versioned rate tables linked by effective date. When a new financial year begins or new rates are gazetted, Chwezi operators publish a new rate table version. The system applies the rate table version whose effective date is ≤ the transaction date, ensuring that historical payroll runs and financial reports remain accurate without retroactive data corruption.</w:t>
      </w:r>
    </w:p>
    <w:bookmarkEnd w:id="114"/>
    <w:bookmarkStart w:id="115" w:name="Xf5132e356c7b8983610c3d6350bb82ebec7d3b4"/>
    <w:p>
      <w:pPr>
        <w:pStyle w:val="Heading2"/>
      </w:pPr>
      <w:r>
        <w:t xml:space="preserve">9.6 Adding a New Market</w:t>
      </w:r>
    </w:p>
    <w:p>
      <w:pPr>
        <w:pStyle w:val="FirstParagraph"/>
      </w:pPr>
      <w:r>
        <w:t xml:space="preserve">The process for extending Longhorn ERP to a new country is:</w:t>
      </w:r>
    </w:p>
    <w:p>
      <w:pPr>
        <w:pStyle w:val="Compact"/>
        <w:numPr>
          <w:ilvl w:val="0"/>
          <w:numId w:val="1015"/>
        </w:numPr>
      </w:pPr>
      <w:r>
        <w:t xml:space="preserve">Create a localisation profile record for the new jurisdiction, populating all dimensions listed in Section 9.2.</w:t>
      </w:r>
    </w:p>
    <w:p>
      <w:pPr>
        <w:pStyle w:val="Compact"/>
        <w:numPr>
          <w:ilvl w:val="0"/>
          <w:numId w:val="1015"/>
        </w:numPr>
      </w:pPr>
      <w:r>
        <w:t xml:space="preserve">Define the statutory deduction rules and rate tables for the jurisdiction.</w:t>
      </w:r>
    </w:p>
    <w:p>
      <w:pPr>
        <w:pStyle w:val="Compact"/>
        <w:numPr>
          <w:ilvl w:val="0"/>
          <w:numId w:val="1015"/>
        </w:numPr>
      </w:pPr>
      <w:r>
        <w:t xml:space="preserve">Configure the applicable payment gateway integrations (if not already available in the Integration Layer).</w:t>
      </w:r>
    </w:p>
    <w:p>
      <w:pPr>
        <w:pStyle w:val="Compact"/>
        <w:numPr>
          <w:ilvl w:val="0"/>
          <w:numId w:val="1015"/>
        </w:numPr>
      </w:pPr>
      <w:r>
        <w:t xml:space="preserve">If a fiscal receipt integration is required, implement the gateway adapter in the Integration Layer service.</w:t>
      </w:r>
    </w:p>
    <w:p>
      <w:pPr>
        <w:pStyle w:val="Compact"/>
        <w:numPr>
          <w:ilvl w:val="0"/>
          <w:numId w:val="1015"/>
        </w:numPr>
      </w:pPr>
      <w:r>
        <w:t xml:space="preserve">Assign the profile to a test tenant, run the full functional test suite scoped to the new profile, and verify output documents against the jurisdiction's regulatory requirements.</w:t>
      </w:r>
    </w:p>
    <w:p>
      <w:pPr>
        <w:pStyle w:val="Compact"/>
        <w:numPr>
          <w:ilvl w:val="0"/>
          <w:numId w:val="1015"/>
        </w:numPr>
      </w:pPr>
      <w:r>
        <w:t xml:space="preserve">Make the profile available for selection during tenant provisioning in the Super Admin Panel.</w:t>
      </w:r>
    </w:p>
    <w:p>
      <w:pPr>
        <w:pStyle w:val="FirstParagraph"/>
      </w:pPr>
      <w:r>
        <w:t xml:space="preserve">No application code is modified, no deployment is required, and existing tenants are unaffected.</w:t>
      </w:r>
    </w:p>
    <w:bookmarkEnd w:id="115"/>
    <w:bookmarkEnd w:id="116"/>
    <w:bookmarkStart w:id="127" w:name="mobile-architecture"/>
    <w:p>
      <w:pPr>
        <w:pStyle w:val="Heading1"/>
      </w:pPr>
      <w:r>
        <w:t xml:space="preserve">Mobile Architecture</w:t>
      </w:r>
    </w:p>
    <w:bookmarkStart w:id="117" w:name="Xf1286945ed726676dbb9ba9a7e00aca9f57558a"/>
    <w:p>
      <w:pPr>
        <w:pStyle w:val="Heading2"/>
      </w:pPr>
      <w:r>
        <w:t xml:space="preserve">10.1 Overview</w:t>
      </w:r>
    </w:p>
    <w:p>
      <w:pPr>
        <w:pStyle w:val="FirstParagraph"/>
      </w:pPr>
      <w:r>
        <w:t xml:space="preserve">Longhorn ERP shall deliver a native mobile experience for both Android and iOS platforms. The mobile applications are companion clients to the web platform: they consume the same tenant data through the JWT-secured Mobile API v1 and enforce the same multi-tenancy, RBAC, and localisation rules.</w:t>
      </w:r>
    </w:p>
    <w:bookmarkEnd w:id="117"/>
    <w:bookmarkStart w:id="118" w:name="X32b11c8c6795756e579eb09750c5c14ab3f1419"/>
    <w:p>
      <w:pPr>
        <w:pStyle w:val="Heading2"/>
      </w:pPr>
      <w:r>
        <w:t xml:space="preserve">10.2 Platform Technologies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Language</w:t>
            </w:r>
          </w:p>
        </w:tc>
        <w:tc>
          <w:tcPr/>
          <w:p>
            <w:pPr>
              <w:pStyle w:val="Compact"/>
            </w:pPr>
            <w:r>
              <w:t xml:space="preserve">UI Framework</w:t>
            </w:r>
          </w:p>
        </w:tc>
      </w:tr>
      <w:tr>
        <w:tc>
          <w:tcPr/>
          <w:p>
            <w:pPr>
              <w:pStyle w:val="Compact"/>
            </w:pPr>
            <w:r>
              <w:t xml:space="preserve">Android</w:t>
            </w:r>
          </w:p>
        </w:tc>
        <w:tc>
          <w:tcPr/>
          <w:p>
            <w:pPr>
              <w:pStyle w:val="Compact"/>
            </w:pPr>
            <w:r>
              <w:t xml:space="preserve">Kotlin</w:t>
            </w:r>
          </w:p>
        </w:tc>
        <w:tc>
          <w:tcPr/>
          <w:p>
            <w:pPr>
              <w:pStyle w:val="Compact"/>
            </w:pPr>
            <w:r>
              <w:t xml:space="preserve">Jetpack Compose</w:t>
            </w:r>
          </w:p>
        </w:tc>
      </w:tr>
      <w:tr>
        <w:tc>
          <w:tcPr/>
          <w:p>
            <w:pPr>
              <w:pStyle w:val="Compact"/>
            </w:pPr>
            <w:r>
              <w:t xml:space="preserve">iOS</w:t>
            </w:r>
          </w:p>
        </w:tc>
        <w:tc>
          <w:tcPr/>
          <w:p>
            <w:pPr>
              <w:pStyle w:val="Compact"/>
            </w:pPr>
            <w:r>
              <w:t xml:space="preserve">Swift</w:t>
            </w:r>
          </w:p>
        </w:tc>
        <w:tc>
          <w:tcPr/>
          <w:p>
            <w:pPr>
              <w:pStyle w:val="Compact"/>
            </w:pPr>
            <w:r>
              <w:t xml:space="preserve">SwiftUI</w:t>
            </w:r>
          </w:p>
        </w:tc>
      </w:tr>
    </w:tbl>
    <w:p>
      <w:pPr>
        <w:pStyle w:val="BodyText"/>
      </w:pPr>
      <w:r>
        <w:t xml:space="preserve">Both applications are built as native clients — no cross-platform bridge framework is used. Native development is chosen to maximise integration with device capabilities (biometric authentication, offline storage, push notifications, background sync).</w:t>
      </w:r>
    </w:p>
    <w:bookmarkEnd w:id="118"/>
    <w:bookmarkStart w:id="119" w:name="Xaab88ada69ef0d45c091f52506d3b48c7d13ba9"/>
    <w:p>
      <w:pPr>
        <w:pStyle w:val="Heading2"/>
      </w:pPr>
      <w:r>
        <w:t xml:space="preserve">10.3 API Integration</w:t>
      </w:r>
    </w:p>
    <w:p>
      <w:pPr>
        <w:pStyle w:val="FirstParagraph"/>
      </w:pPr>
      <w:r>
        <w:t xml:space="preserve">Both Android and iOS clients consume the Mobile API v1 at</w:t>
      </w:r>
      <w:r>
        <w:t xml:space="preserve"> </w:t>
      </w:r>
      <w:r>
        <w:rPr>
          <w:rStyle w:val="VerbatimChar"/>
        </w:rPr>
        <w:t xml:space="preserve">/public/api/mobile/v1/</w:t>
      </w:r>
      <w:r>
        <w:t xml:space="preserve">. All API communication uses:</w:t>
      </w:r>
    </w:p>
    <w:p>
      <w:pPr>
        <w:pStyle w:val="Compact"/>
        <w:numPr>
          <w:ilvl w:val="0"/>
          <w:numId w:val="1016"/>
        </w:numPr>
      </w:pPr>
      <w:r>
        <w:rPr>
          <w:b/>
          <w:bCs/>
        </w:rPr>
        <w:t xml:space="preserve">Protocol:</w:t>
      </w:r>
      <w:r>
        <w:t xml:space="preserve"> </w:t>
      </w:r>
      <w:r>
        <w:t xml:space="preserve">REST over HTTPS (TLS 1.3).</w:t>
      </w:r>
    </w:p>
    <w:p>
      <w:pPr>
        <w:pStyle w:val="Compact"/>
        <w:numPr>
          <w:ilvl w:val="0"/>
          <w:numId w:val="1016"/>
        </w:numPr>
      </w:pPr>
      <w:r>
        <w:rPr>
          <w:b/>
          <w:bCs/>
        </w:rPr>
        <w:t xml:space="preserve">Data format:</w:t>
      </w:r>
      <w:r>
        <w:t xml:space="preserve"> </w:t>
      </w:r>
      <w:r>
        <w:t xml:space="preserve">JSON.</w:t>
      </w:r>
    </w:p>
    <w:p>
      <w:pPr>
        <w:pStyle w:val="Compact"/>
        <w:numPr>
          <w:ilvl w:val="0"/>
          <w:numId w:val="1016"/>
        </w:numPr>
      </w:pPr>
      <w:r>
        <w:rPr>
          <w:b/>
          <w:bCs/>
        </w:rPr>
        <w:t xml:space="preserve">Authentication:</w:t>
      </w:r>
      <w:r>
        <w:t xml:space="preserve"> </w:t>
      </w:r>
      <w:r>
        <w:t xml:space="preserve">JWT Bearer token (see Section 6.3 for token structure and refresh rotation).</w:t>
      </w:r>
    </w:p>
    <w:p>
      <w:pPr>
        <w:pStyle w:val="Compact"/>
        <w:numPr>
          <w:ilvl w:val="0"/>
          <w:numId w:val="1016"/>
        </w:numPr>
      </w:pPr>
      <w:r>
        <w:rPr>
          <w:b/>
          <w:bCs/>
        </w:rPr>
        <w:t xml:space="preserve">Tenant isolation:</w:t>
      </w:r>
      <w:r>
        <w:t xml:space="preserve"> </w:t>
      </w:r>
      <w:r>
        <w:t xml:space="preserve">The</w:t>
      </w:r>
      <w:r>
        <w:t xml:space="preserve"> </w:t>
      </w:r>
      <w:r>
        <w:rPr>
          <w:rStyle w:val="VerbatimChar"/>
        </w:rPr>
        <w:t xml:space="preserve">tid</w:t>
      </w:r>
      <w:r>
        <w:t xml:space="preserve"> </w:t>
      </w:r>
      <w:r>
        <w:t xml:space="preserve">JWT claim carries the</w:t>
      </w:r>
      <w:r>
        <w:t xml:space="preserve"> </w:t>
      </w:r>
      <w:r>
        <w:rPr>
          <w:rStyle w:val="VerbatimChar"/>
        </w:rPr>
        <w:t xml:space="preserve">tenant_id</w:t>
      </w:r>
      <w:r>
        <w:t xml:space="preserve">. The mobile client never sends</w:t>
      </w:r>
      <w:r>
        <w:t xml:space="preserve"> </w:t>
      </w:r>
      <w:r>
        <w:rPr>
          <w:rStyle w:val="VerbatimChar"/>
        </w:rPr>
        <w:t xml:space="preserve">tenant_id</w:t>
      </w:r>
      <w:r>
        <w:t xml:space="preserve"> </w:t>
      </w:r>
      <w:r>
        <w:t xml:space="preserve">as a request body parameter — the server always derives it from the validated token.</w:t>
      </w:r>
    </w:p>
    <w:bookmarkEnd w:id="119"/>
    <w:bookmarkStart w:id="122" w:name="X45409f37852be2dba487af26fe22c4ecca0a117"/>
    <w:p>
      <w:pPr>
        <w:pStyle w:val="Heading2"/>
      </w:pPr>
      <w:r>
        <w:t xml:space="preserve">10.4 Offline Sync Architecture</w:t>
      </w:r>
    </w:p>
    <w:p>
      <w:pPr>
        <w:pStyle w:val="FirstParagraph"/>
      </w:pPr>
      <w:r>
        <w:t xml:space="preserve">Network conditions in Uganda and East Africa range from fibre broadband (≥ 10 Mbps) to intermittent 2G/EDGE (&lt; 200 kbps). The mobile architecture shall maintain core functionality at ≤ 200 kbps connection throughput.</w:t>
      </w:r>
    </w:p>
    <w:bookmarkStart w:id="120" w:name="sync-protocol"/>
    <w:p>
      <w:pPr>
        <w:pStyle w:val="Heading3"/>
      </w:pPr>
      <w:r>
        <w:t xml:space="preserve">Sync Protocol</w:t>
      </w:r>
    </w:p>
    <w:p>
      <w:pPr>
        <w:pStyle w:val="FirstParagraph"/>
      </w:pPr>
      <w:r>
        <w:t xml:space="preserve">The system uses a last-modified timestamp synchronisation protocol:</w:t>
      </w:r>
    </w:p>
    <w:p>
      <w:pPr>
        <w:pStyle w:val="Compact"/>
        <w:numPr>
          <w:ilvl w:val="0"/>
          <w:numId w:val="1017"/>
        </w:numPr>
      </w:pPr>
      <w:r>
        <w:t xml:space="preserve">The mobile client stores a</w:t>
      </w:r>
      <w:r>
        <w:t xml:space="preserve"> </w:t>
      </w:r>
      <w:r>
        <w:rPr>
          <w:rStyle w:val="VerbatimChar"/>
        </w:rPr>
        <w:t xml:space="preserve">last_sync_timestamp</w:t>
      </w:r>
      <w:r>
        <w:t xml:space="preserve"> </w:t>
      </w:r>
      <w:r>
        <w:t xml:space="preserve">per entity type (e.g., customers, items, invoices).</w:t>
      </w:r>
    </w:p>
    <w:p>
      <w:pPr>
        <w:pStyle w:val="Compact"/>
        <w:numPr>
          <w:ilvl w:val="0"/>
          <w:numId w:val="1017"/>
        </w:numPr>
      </w:pPr>
      <w:r>
        <w:t xml:space="preserve">On sync, the client sends a request to the relevant sync endpoint with the</w:t>
      </w:r>
      <w:r>
        <w:t xml:space="preserve"> </w:t>
      </w:r>
      <w:r>
        <w:rPr>
          <w:rStyle w:val="VerbatimChar"/>
        </w:rPr>
        <w:t xml:space="preserve">last_modified</w:t>
      </w:r>
      <w:r>
        <w:t xml:space="preserve"> </w:t>
      </w:r>
      <w:r>
        <w:t xml:space="preserve">query parameter set to the stored timestamp.</w:t>
      </w:r>
    </w:p>
    <w:p>
      <w:pPr>
        <w:pStyle w:val="Compact"/>
        <w:numPr>
          <w:ilvl w:val="0"/>
          <w:numId w:val="1017"/>
        </w:numPr>
      </w:pPr>
      <w:r>
        <w:t xml:space="preserve">The server returns only records modified after that timestamp (delta sync).</w:t>
      </w:r>
    </w:p>
    <w:p>
      <w:pPr>
        <w:pStyle w:val="Compact"/>
        <w:numPr>
          <w:ilvl w:val="0"/>
          <w:numId w:val="1017"/>
        </w:numPr>
      </w:pPr>
      <w:r>
        <w:t xml:space="preserve">The client applies the delta to its local store and updates</w:t>
      </w:r>
      <w:r>
        <w:t xml:space="preserve"> </w:t>
      </w:r>
      <w:r>
        <w:rPr>
          <w:rStyle w:val="VerbatimChar"/>
        </w:rPr>
        <w:t xml:space="preserve">last_sync_timestamp</w:t>
      </w:r>
      <w:r>
        <w:t xml:space="preserve">.</w:t>
      </w:r>
    </w:p>
    <w:bookmarkEnd w:id="120"/>
    <w:bookmarkStart w:id="121" w:name="cooperative-procurement-offline-mode"/>
    <w:p>
      <w:pPr>
        <w:pStyle w:val="Heading3"/>
      </w:pPr>
      <w:r>
        <w:t xml:space="preserve">Cooperative Procurement Offline Mode</w:t>
      </w:r>
    </w:p>
    <w:p>
      <w:pPr>
        <w:pStyle w:val="FirstParagraph"/>
      </w:pPr>
      <w:r>
        <w:t xml:space="preserve">The Cooperative Procurement module (</w:t>
      </w:r>
      <w:r>
        <w:rPr>
          <w:rStyle w:val="VerbatimChar"/>
        </w:rPr>
        <w:t xml:space="preserve">COOPERATIVE</w:t>
      </w:r>
      <w:r>
        <w:t xml:space="preserve">) shall support full offline intake for up to 72 hours. Field agents operating at farmer collection points without connectivity shall be able to:</w:t>
      </w:r>
    </w:p>
    <w:p>
      <w:pPr>
        <w:pStyle w:val="Compact"/>
        <w:numPr>
          <w:ilvl w:val="0"/>
          <w:numId w:val="1018"/>
        </w:numPr>
      </w:pPr>
      <w:r>
        <w:t xml:space="preserve">Record commodity intake transactions (commodity type, weight, grading, farmer identity).</w:t>
      </w:r>
    </w:p>
    <w:p>
      <w:pPr>
        <w:pStyle w:val="Compact"/>
        <w:numPr>
          <w:ilvl w:val="0"/>
          <w:numId w:val="1018"/>
        </w:numPr>
      </w:pPr>
      <w:r>
        <w:t xml:space="preserve">View the farmer's running balance and previous intake records (last synced).</w:t>
      </w:r>
    </w:p>
    <w:p>
      <w:pPr>
        <w:pStyle w:val="Compact"/>
        <w:numPr>
          <w:ilvl w:val="0"/>
          <w:numId w:val="1018"/>
        </w:numPr>
      </w:pPr>
      <w:r>
        <w:t xml:space="preserve">Issue printed or on-screen acknowledgement receipts.</w:t>
      </w:r>
    </w:p>
    <w:p>
      <w:pPr>
        <w:pStyle w:val="FirstParagraph"/>
      </w:pPr>
      <w:r>
        <w:t xml:space="preserve">On reconnection, the system shall sync all pending offline transactions to the server within 60 seconds (NFR-MOBILE-001). Conflict resolution follows a last-write-wins policy with server-side timestamp authority; conflicts are flagged in the audit log for supervisor review.</w:t>
      </w:r>
    </w:p>
    <w:bookmarkEnd w:id="121"/>
    <w:bookmarkEnd w:id="122"/>
    <w:bookmarkStart w:id="123" w:name="X61686e855512c9ff182be053af0888895edc02a"/>
    <w:p>
      <w:pPr>
        <w:pStyle w:val="Heading2"/>
      </w:pPr>
      <w:r>
        <w:t xml:space="preserve">10.5 Push Notifications</w:t>
      </w:r>
    </w:p>
    <w:p>
      <w:pPr>
        <w:pStyle w:val="FirstParagraph"/>
      </w:pPr>
      <w:r>
        <w:t xml:space="preserve">The mobile applications shall receive push notifications for the following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 Type</w:t>
            </w:r>
          </w:p>
        </w:tc>
        <w:tc>
          <w:tcPr/>
          <w:p>
            <w:pPr>
              <w:pStyle w:val="Compact"/>
            </w:pPr>
            <w:r>
              <w:t xml:space="preserve">Trigger</w:t>
            </w:r>
          </w:p>
        </w:tc>
      </w:tr>
      <w:tr>
        <w:tc>
          <w:tcPr/>
          <w:p>
            <w:pPr>
              <w:pStyle w:val="Compact"/>
            </w:pPr>
            <w:r>
              <w:t xml:space="preserve">Approval required</w:t>
            </w:r>
          </w:p>
        </w:tc>
        <w:tc>
          <w:tcPr/>
          <w:p>
            <w:pPr>
              <w:pStyle w:val="Compact"/>
            </w:pPr>
            <w:r>
              <w:t xml:space="preserve">A document (purchase order, leave request, payment) is routed to the user for approval.</w:t>
            </w:r>
          </w:p>
        </w:tc>
      </w:tr>
      <w:tr>
        <w:tc>
          <w:tcPr/>
          <w:p>
            <w:pPr>
              <w:pStyle w:val="Compact"/>
            </w:pPr>
            <w:r>
              <w:t xml:space="preserve">Payment confirmation</w:t>
            </w:r>
          </w:p>
        </w:tc>
        <w:tc>
          <w:tcPr/>
          <w:p>
            <w:pPr>
              <w:pStyle w:val="Compact"/>
            </w:pPr>
            <w:r>
              <w:t xml:space="preserve">A mobile money payment initiated from the app is confirmed by the gateway.</w:t>
            </w:r>
          </w:p>
        </w:tc>
      </w:tr>
      <w:tr>
        <w:tc>
          <w:tcPr/>
          <w:p>
            <w:pPr>
              <w:pStyle w:val="Compact"/>
            </w:pPr>
            <w:r>
              <w:t xml:space="preserve">Stock alert</w:t>
            </w:r>
          </w:p>
        </w:tc>
        <w:tc>
          <w:tcPr/>
          <w:p>
            <w:pPr>
              <w:pStyle w:val="Compact"/>
            </w:pPr>
            <w:r>
              <w:t xml:space="preserve">A stock item falls below its reorder level (where the user has inventory management access).</w:t>
            </w:r>
          </w:p>
        </w:tc>
      </w:tr>
      <w:tr>
        <w:tc>
          <w:tcPr/>
          <w:p>
            <w:pPr>
              <w:pStyle w:val="Compact"/>
            </w:pPr>
            <w:r>
              <w:t xml:space="preserve">Payslip published</w:t>
            </w:r>
          </w:p>
        </w:tc>
        <w:tc>
          <w:tcPr/>
          <w:p>
            <w:pPr>
              <w:pStyle w:val="Compact"/>
            </w:pPr>
            <w:r>
              <w:t xml:space="preserve">HR publishes payslips for the current period (employee self-service).</w:t>
            </w:r>
          </w:p>
        </w:tc>
      </w:tr>
    </w:tbl>
    <w:p>
      <w:pPr>
        <w:pStyle w:val="BodyText"/>
      </w:pPr>
      <w:r>
        <w:t xml:space="preserve">Push notification delivery uses the platform notification service. The mobile app registers a device token on login; the server routes notifications to the device token associated with the authenticated user.</w:t>
      </w:r>
    </w:p>
    <w:bookmarkEnd w:id="123"/>
    <w:bookmarkStart w:id="124" w:name="X5dcef970392873e8868e2ac85edd8d0167ca091"/>
    <w:p>
      <w:pPr>
        <w:pStyle w:val="Heading2"/>
      </w:pPr>
      <w:r>
        <w:t xml:space="preserve">10.6 Data-Lite Mode</w:t>
      </w:r>
    </w:p>
    <w:p>
      <w:pPr>
        <w:pStyle w:val="FirstParagraph"/>
      </w:pPr>
      <w:r>
        <w:t xml:space="preserve">For users on 3G or low-bandwidth connections, the mobile app shall support a data-lite mode that:</w:t>
      </w:r>
    </w:p>
    <w:p>
      <w:pPr>
        <w:pStyle w:val="Compact"/>
        <w:numPr>
          <w:ilvl w:val="0"/>
          <w:numId w:val="1019"/>
        </w:numPr>
      </w:pPr>
      <w:r>
        <w:t xml:space="preserve">Compresses API responses (gzip/deflate, HTTP</w:t>
      </w:r>
      <w:r>
        <w:t xml:space="preserve"> </w:t>
      </w:r>
      <w:r>
        <w:rPr>
          <w:rStyle w:val="VerbatimChar"/>
        </w:rPr>
        <w:t xml:space="preserve">Accept-Encoding</w:t>
      </w:r>
      <w:r>
        <w:t xml:space="preserve">).</w:t>
      </w:r>
    </w:p>
    <w:p>
      <w:pPr>
        <w:pStyle w:val="Compact"/>
        <w:numPr>
          <w:ilvl w:val="0"/>
          <w:numId w:val="1019"/>
        </w:numPr>
      </w:pPr>
      <w:r>
        <w:t xml:space="preserve">Defers loading of non-critical images and charts until explicitly requested.</w:t>
      </w:r>
    </w:p>
    <w:p>
      <w:pPr>
        <w:pStyle w:val="Compact"/>
        <w:numPr>
          <w:ilvl w:val="0"/>
          <w:numId w:val="1019"/>
        </w:numPr>
      </w:pPr>
      <w:r>
        <w:t xml:space="preserve">Reduces pagination batch sizes to 20 records per request (compared to the standard 50).</w:t>
      </w:r>
    </w:p>
    <w:p>
      <w:pPr>
        <w:pStyle w:val="Compact"/>
        <w:numPr>
          <w:ilvl w:val="0"/>
          <w:numId w:val="1019"/>
        </w:numPr>
      </w:pPr>
      <w:r>
        <w:t xml:space="preserve">Disables auto-refresh polling; updates require a manual pull-to-refresh action.</w:t>
      </w:r>
    </w:p>
    <w:p>
      <w:pPr>
        <w:pStyle w:val="FirstParagraph"/>
      </w:pPr>
      <w:r>
        <w:t xml:space="preserve">Data-lite mode is activated manually by the user or automatically when the device reports a metered connection.</w:t>
      </w:r>
    </w:p>
    <w:bookmarkEnd w:id="124"/>
    <w:bookmarkStart w:id="125" w:name="Xee26173358858d4fbad25f1a3d07d29016393ed"/>
    <w:p>
      <w:pPr>
        <w:pStyle w:val="Heading2"/>
      </w:pPr>
      <w:r>
        <w:t xml:space="preserve">10.7 Biometric Authentication</w:t>
      </w:r>
    </w:p>
    <w:p>
      <w:pPr>
        <w:pStyle w:val="FirstParagraph"/>
      </w:pPr>
      <w:r>
        <w:t xml:space="preserve">The mobile app shall support biometric login (fingerprint and face recognition) on devices that provide the platform biometric API (Android BiometricPrompt; iOS LocalAuthentication). Biometric authentication unlocks a securely stored refresh token; the server is not involved in the biometric verification itself. The biometric-gated token must still pass server-side JWT validation on every API request.</w:t>
      </w:r>
    </w:p>
    <w:bookmarkEnd w:id="125"/>
    <w:bookmarkStart w:id="126" w:name="X441d8ee4c8b4891b4a33ceb823e45013905c373"/>
    <w:p>
      <w:pPr>
        <w:pStyle w:val="Heading2"/>
      </w:pPr>
      <w:r>
        <w:t xml:space="preserve">10.8 Mobile-Specific NFR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NFR ID</w:t>
            </w:r>
          </w:p>
        </w:tc>
        <w:tc>
          <w:tcPr/>
          <w:p>
            <w:pPr>
              <w:pStyle w:val="Compact"/>
            </w:pPr>
            <w:r>
              <w:t xml:space="preserve">Requirement</w:t>
            </w:r>
          </w:p>
        </w:tc>
      </w:tr>
      <w:tr>
        <w:tc>
          <w:tcPr/>
          <w:p>
            <w:pPr>
              <w:pStyle w:val="Compact"/>
            </w:pPr>
            <w:r>
              <w:t xml:space="preserve">NFR-MOBILE-001</w:t>
            </w:r>
          </w:p>
        </w:tc>
        <w:tc>
          <w:tcPr/>
          <w:p>
            <w:pPr>
              <w:pStyle w:val="Compact"/>
            </w:pPr>
            <w:r>
              <w:t xml:space="preserve">The Cooperative Procurement module shall support offline intake for up to 72 hours and sync within 60 seconds of reconnection.</w:t>
            </w:r>
          </w:p>
        </w:tc>
      </w:tr>
      <w:tr>
        <w:tc>
          <w:tcPr/>
          <w:p>
            <w:pPr>
              <w:pStyle w:val="Compact"/>
            </w:pPr>
            <w:r>
              <w:t xml:space="preserve">NFR-PERF-003</w:t>
            </w:r>
          </w:p>
        </w:tc>
        <w:tc>
          <w:tcPr/>
          <w:p>
            <w:pPr>
              <w:pStyle w:val="Compact"/>
            </w:pPr>
            <w:r>
              <w:t xml:space="preserve">The Mobile API shall return any REST response in ≤ 500 ms at P95 under 50 concurrent mobile clients per tenant.</w:t>
            </w:r>
          </w:p>
        </w:tc>
      </w:tr>
      <w:tr>
        <w:tc>
          <w:tcPr/>
          <w:p>
            <w:pPr>
              <w:pStyle w:val="Compact"/>
            </w:pPr>
            <w:r>
              <w:t xml:space="preserve">NFR-SEC-001</w:t>
            </w:r>
          </w:p>
        </w:tc>
        <w:tc>
          <w:tcPr/>
          <w:p>
            <w:pPr>
              <w:pStyle w:val="Compact"/>
            </w:pPr>
            <w:r>
              <w:t xml:space="preserve">The</w:t>
            </w:r>
            <w:r>
              <w:t xml:space="preserve"> </w:t>
            </w:r>
            <w:r>
              <w:rPr>
                <w:rStyle w:val="VerbatimChar"/>
              </w:rPr>
              <w:t xml:space="preserve">tenant_id</w:t>
            </w:r>
            <w:r>
              <w:t xml:space="preserve"> </w:t>
            </w:r>
            <w:r>
              <w:t xml:space="preserve">shall always be derived from the validated JWT</w:t>
            </w:r>
            <w:r>
              <w:t xml:space="preserve"> </w:t>
            </w:r>
            <w:r>
              <w:rPr>
                <w:rStyle w:val="VerbatimChar"/>
              </w:rPr>
              <w:t xml:space="preserve">tid</w:t>
            </w:r>
            <w:r>
              <w:t xml:space="preserve"> </w:t>
            </w:r>
            <w:r>
              <w:t xml:space="preserve">claim — never from a request body parameter.</w:t>
            </w:r>
          </w:p>
        </w:tc>
      </w:tr>
    </w:tbl>
    <w:bookmarkEnd w:id="126"/>
    <w:bookmarkEnd w:id="127"/>
    <w:bookmarkStart w:id="133" w:name="architecture-decision-records"/>
    <w:p>
      <w:pPr>
        <w:pStyle w:val="Heading1"/>
      </w:pPr>
      <w:r>
        <w:t xml:space="preserve">Architecture Decision Records</w:t>
      </w:r>
    </w:p>
    <w:p>
      <w:pPr>
        <w:pStyle w:val="FirstParagraph"/>
      </w:pPr>
      <w:r>
        <w:t xml:space="preserve">Architecture Decision Records (ADRs) document significant architectural choices, the options considered, and the rationale for the decision taken. They provide the historical context needed to re-evaluate a decision when circumstances change.</w:t>
      </w:r>
    </w:p>
    <w:p>
      <w:r>
        <w:pict>
          <v:rect style="width:0;height:1.5pt" o:hralign="center" o:hrstd="t" o:hr="t"/>
        </w:pict>
      </w:r>
    </w:p>
    <w:bookmarkStart w:id="128" w:name="Xbf8b86b0d7cd60bda0185b3958a50427e76cc72"/>
    <w:p>
      <w:pPr>
        <w:pStyle w:val="Heading2"/>
      </w:pPr>
      <w:r>
        <w:t xml:space="preserve">ADR-001: Shared Database vs. Separate Database Per Tenant</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Multi-tenant SaaS platforms may isolate tenant data using (a) a separate database per tenant, (b) a separate schema per tenant within a shared database server, or (c) a shared database with row-level tenant isolation via a</w:t>
      </w:r>
      <w:r>
        <w:t xml:space="preserve"> </w:t>
      </w:r>
      <w:r>
        <w:rPr>
          <w:rStyle w:val="VerbatimChar"/>
        </w:rPr>
        <w:t xml:space="preserve">tenant_id</w:t>
      </w:r>
      <w:r>
        <w:t xml:space="preserve"> </w:t>
      </w:r>
      <w:r>
        <w:t xml:space="preserve">column on every operational table.</w:t>
      </w:r>
    </w:p>
    <w:p>
      <w:pPr>
        <w:pStyle w:val="BodyText"/>
      </w:pPr>
      <w:r>
        <w:rPr>
          <w:b/>
          <w:bCs/>
        </w:rPr>
        <w:t xml:space="preserve">Decision:</w:t>
      </w:r>
    </w:p>
    <w:p>
      <w:pPr>
        <w:pStyle w:val="BodyText"/>
      </w:pPr>
      <w:r>
        <w:t xml:space="preserve">The system adopts option (c): shared database with row-level tenant isolation.</w:t>
      </w:r>
    </w:p>
    <w:p>
      <w:pPr>
        <w:pStyle w:val="BodyText"/>
      </w:pPr>
      <w:r>
        <w:rPr>
          <w:b/>
          <w:bCs/>
        </w:rPr>
        <w:t xml:space="preserve">Rationale:</w:t>
      </w:r>
    </w:p>
    <w:p>
      <w:pPr>
        <w:pStyle w:val="Compact"/>
        <w:numPr>
          <w:ilvl w:val="0"/>
          <w:numId w:val="1020"/>
        </w:numPr>
      </w:pPr>
      <w:r>
        <w:t xml:space="preserve">A separate database per tenant requires dynamic database connection management, complicates migrations (each tenant database must be migrated independently), and increases operational cost linearly with tenant count.</w:t>
      </w:r>
    </w:p>
    <w:p>
      <w:pPr>
        <w:pStyle w:val="Compact"/>
        <w:numPr>
          <w:ilvl w:val="0"/>
          <w:numId w:val="1020"/>
        </w:numPr>
      </w:pPr>
      <w:r>
        <w:t xml:space="preserve">A separate schema per tenant has similar migration complexity and limited support in MySQL 9.1 connection pooling.</w:t>
      </w:r>
    </w:p>
    <w:p>
      <w:pPr>
        <w:pStyle w:val="Compact"/>
        <w:numPr>
          <w:ilvl w:val="0"/>
          <w:numId w:val="1020"/>
        </w:numPr>
      </w:pPr>
      <w:r>
        <w:t xml:space="preserve">A shared database with row-level isolation allows a single migration script to update all tenants simultaneously, simplifies the connection pool configuration, and reduces infrastructure cost at the SME price points targeted by Longhorn ERP.</w:t>
      </w:r>
    </w:p>
    <w:p>
      <w:pPr>
        <w:pStyle w:val="FirstParagraph"/>
      </w:pPr>
      <w:r>
        <w:rPr>
          <w:b/>
          <w:bCs/>
        </w:rPr>
        <w:t xml:space="preserve">Mitigation:</w:t>
      </w:r>
    </w:p>
    <w:p>
      <w:pPr>
        <w:pStyle w:val="BodyText"/>
      </w:pPr>
      <w:r>
        <w:t xml:space="preserve">Row-level isolation is enforced by strict application-layer controls:</w:t>
      </w:r>
      <w:r>
        <w:t xml:space="preserve"> </w:t>
      </w:r>
      <w:r>
        <w:rPr>
          <w:rStyle w:val="VerbatimChar"/>
        </w:rPr>
        <w:t xml:space="preserve">tenant_id</w:t>
      </w:r>
      <w:r>
        <w:t xml:space="preserve"> </w:t>
      </w:r>
      <w:r>
        <w:t xml:space="preserve">is always sourced from the authenticated session (never from request parameters); the middleware pipeline validates tenant context on every request; cross-tenant access returns HTTP 404 to prevent tenant enumeration; and all SQL queries are parameterised (no raw string concatenation). NFR-SEC-001 defines the compliance requirement.</w:t>
      </w:r>
    </w:p>
    <w:p>
      <w:pPr>
        <w:pStyle w:val="BodyText"/>
      </w:pPr>
      <w:r>
        <w:rPr>
          <w:b/>
          <w:bCs/>
        </w:rPr>
        <w:t xml:space="preserve">Trade-off Accepted:</w:t>
      </w:r>
    </w:p>
    <w:p>
      <w:pPr>
        <w:pStyle w:val="BodyText"/>
      </w:pPr>
      <w:r>
        <w:t xml:space="preserve">A misconfigured query that omits a</w:t>
      </w:r>
      <w:r>
        <w:t xml:space="preserve"> </w:t>
      </w:r>
      <w:r>
        <w:rPr>
          <w:rStyle w:val="VerbatimChar"/>
        </w:rPr>
        <w:t xml:space="preserve">WHERE tenant_id = ?</w:t>
      </w:r>
      <w:r>
        <w:t xml:space="preserve"> </w:t>
      </w:r>
      <w:r>
        <w:t xml:space="preserve">clause could expose cross-tenant data. This risk is mitigated by code review standards, PHPStan 1.11 static analysis, and the PHPUnit integration test suite which verifies tenant isolation on every data-access method.</w:t>
      </w:r>
    </w:p>
    <w:p>
      <w:r>
        <w:pict>
          <v:rect style="width:0;height:1.5pt" o:hralign="center" o:hrstd="t" o:hr="t"/>
        </w:pict>
      </w:r>
    </w:p>
    <w:bookmarkEnd w:id="128"/>
    <w:bookmarkStart w:id="129" w:name="Xd37e825f076155f4095a92338c11e67aadaa851"/>
    <w:p>
      <w:pPr>
        <w:pStyle w:val="Heading2"/>
      </w:pPr>
      <w:r>
        <w:t xml:space="preserve">ADR-002: PHP 8.3 + MySQL 9.1 vs. Node.js / PostgreSQL</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The backend technology stack must be chosen to support: a service-oriented architecture with dependency injection, a complex relational data model, a WAMP (Windows Apache MySQL PHP) development environment, and a solo developer with deep PHP expertise.</w:t>
      </w:r>
    </w:p>
    <w:p>
      <w:pPr>
        <w:pStyle w:val="BodyText"/>
      </w:pPr>
      <w:r>
        <w:rPr>
          <w:b/>
          <w:bCs/>
        </w:rPr>
        <w:t xml:space="preserve">Decision:</w:t>
      </w:r>
    </w:p>
    <w:p>
      <w:pPr>
        <w:pStyle w:val="BodyText"/>
      </w:pPr>
      <w:r>
        <w:t xml:space="preserve">The system adopts PHP 8.3 (strict types, PSR-4) with MySQL 9.1 (InnoDB, UTF8MB4).</w:t>
      </w:r>
    </w:p>
    <w:p>
      <w:pPr>
        <w:pStyle w:val="BodyText"/>
      </w:pPr>
      <w:r>
        <w:rPr>
          <w:b/>
          <w:bCs/>
        </w:rPr>
        <w:t xml:space="preserve">Rationale:</w:t>
      </w:r>
    </w:p>
    <w:p>
      <w:pPr>
        <w:pStyle w:val="Compact"/>
        <w:numPr>
          <w:ilvl w:val="0"/>
          <w:numId w:val="1021"/>
        </w:numPr>
      </w:pPr>
      <w:r>
        <w:t xml:space="preserve">The lead developer's primary expertise is PHP. A technology switch would introduce learning-curve risk without a clear technical benefit for this use case.</w:t>
      </w:r>
    </w:p>
    <w:p>
      <w:pPr>
        <w:pStyle w:val="Compact"/>
        <w:numPr>
          <w:ilvl w:val="0"/>
          <w:numId w:val="1021"/>
        </w:numPr>
      </w:pPr>
      <w:r>
        <w:t xml:space="preserve">PHP 8.3 offers strong type safety (strict types declaration), modern object-oriented features, named arguments, and fibers. PHP-DI 7.0 provides a production-grade dependency injection container.</w:t>
      </w:r>
    </w:p>
    <w:p>
      <w:pPr>
        <w:pStyle w:val="Compact"/>
        <w:numPr>
          <w:ilvl w:val="0"/>
          <w:numId w:val="1021"/>
        </w:numPr>
      </w:pPr>
      <w:r>
        <w:t xml:space="preserve">MySQL 9.1 InnoDB is the default engine in the WAMP development environment, ensuring parity between development and production. MySQL's stored procedure support is used for complex transactional operations (General Ledger posting, sequential numbering).</w:t>
      </w:r>
    </w:p>
    <w:p>
      <w:pPr>
        <w:pStyle w:val="Compact"/>
        <w:numPr>
          <w:ilvl w:val="0"/>
          <w:numId w:val="1021"/>
        </w:numPr>
      </w:pPr>
      <w:r>
        <w:t xml:space="preserve">The PHP ecosystem provides mature, well-maintained libraries for every integration requirement:</w:t>
      </w:r>
      <w:r>
        <w:t xml:space="preserve"> </w:t>
      </w:r>
      <w:r>
        <w:rPr>
          <w:rStyle w:val="VerbatimChar"/>
        </w:rPr>
        <w:t xml:space="preserve">firebase/php-jwt</w:t>
      </w:r>
      <w:r>
        <w:t xml:space="preserve">,</w:t>
      </w:r>
      <w:r>
        <w:t xml:space="preserve"> </w:t>
      </w:r>
      <w:r>
        <w:rPr>
          <w:rStyle w:val="VerbatimChar"/>
        </w:rPr>
        <w:t xml:space="preserve">mPDF</w:t>
      </w:r>
      <w:r>
        <w:t xml:space="preserve">,</w:t>
      </w:r>
      <w:r>
        <w:t xml:space="preserve"> </w:t>
      </w:r>
      <w:r>
        <w:rPr>
          <w:rStyle w:val="VerbatimChar"/>
        </w:rPr>
        <w:t xml:space="preserve">PhpOffice/PhpSpreadsheet</w:t>
      </w:r>
      <w:r>
        <w:t xml:space="preserve">,</w:t>
      </w:r>
      <w:r>
        <w:t xml:space="preserve"> </w:t>
      </w:r>
      <w:r>
        <w:rPr>
          <w:rStyle w:val="VerbatimChar"/>
        </w:rPr>
        <w:t xml:space="preserve">PHPMailer</w:t>
      </w:r>
      <w:r>
        <w:t xml:space="preserve">,</w:t>
      </w:r>
      <w:r>
        <w:t xml:space="preserve"> </w:t>
      </w:r>
      <w:r>
        <w:rPr>
          <w:rStyle w:val="VerbatimChar"/>
        </w:rPr>
        <w:t xml:space="preserve">respect/validation</w:t>
      </w:r>
      <w:r>
        <w:t xml:space="preserve">.</w:t>
      </w:r>
    </w:p>
    <w:p>
      <w:pPr>
        <w:pStyle w:val="Compact"/>
        <w:numPr>
          <w:ilvl w:val="0"/>
          <w:numId w:val="1021"/>
        </w:numPr>
      </w:pPr>
      <w:r>
        <w:t xml:space="preserve">Node.js/PostgreSQL would require rebuilding the entire tooling ecosystem, re-evaluating all library choices, and retraining the developer — without a compelling technical advantage for a synchronous, CRUD-heavy ERP workload.</w:t>
      </w:r>
    </w:p>
    <w:p>
      <w:pPr>
        <w:pStyle w:val="FirstParagraph"/>
      </w:pPr>
      <w:r>
        <w:rPr>
          <w:b/>
          <w:bCs/>
        </w:rPr>
        <w:t xml:space="preserve">Trade-off Accepted:</w:t>
      </w:r>
    </w:p>
    <w:p>
      <w:pPr>
        <w:pStyle w:val="BodyText"/>
      </w:pPr>
      <w:r>
        <w:t xml:space="preserve">PHP is not suited to long-lived asynchronous workloads (real-time event streaming, WebSocket servers). These workloads are addressed through polling patterns in the web UI and push notifications in the mobile app rather than persistent server-side connections.</w:t>
      </w:r>
    </w:p>
    <w:p>
      <w:r>
        <w:pict>
          <v:rect style="width:0;height:1.5pt" o:hralign="center" o:hrstd="t" o:hr="t"/>
        </w:pict>
      </w:r>
    </w:p>
    <w:bookmarkEnd w:id="129"/>
    <w:bookmarkStart w:id="130" w:name="Xd21273ec4ccfdc8fd7ccbf1264e422846731a7d"/>
    <w:p>
      <w:pPr>
        <w:pStyle w:val="Heading2"/>
      </w:pPr>
      <w:r>
        <w:t xml:space="preserve">ADR-003: Session Auth (Web) + JWT (Mobile) vs. Unified Token Auth</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The system must authenticate both browser-based web clients and native mobile clients. Options considered: (a) session-based auth for both, (b) JWT-based auth for both, or (c) session-based auth for web with JWT for mobile.</w:t>
      </w:r>
    </w:p>
    <w:p>
      <w:pPr>
        <w:pStyle w:val="BodyText"/>
      </w:pPr>
      <w:r>
        <w:rPr>
          <w:b/>
          <w:bCs/>
        </w:rPr>
        <w:t xml:space="preserve">Decision:</w:t>
      </w:r>
    </w:p>
    <w:p>
      <w:pPr>
        <w:pStyle w:val="BodyText"/>
      </w:pPr>
      <w:r>
        <w:t xml:space="preserve">The system adopts option (c): session-based authentication for the web UI and JWT Bearer token authentication for the mobile API.</w:t>
      </w:r>
    </w:p>
    <w:p>
      <w:pPr>
        <w:pStyle w:val="BodyText"/>
      </w:pPr>
      <w:r>
        <w:rPr>
          <w:b/>
          <w:bCs/>
        </w:rPr>
        <w:t xml:space="preserve">Rationale:</w:t>
      </w:r>
    </w:p>
    <w:p>
      <w:pPr>
        <w:pStyle w:val="Compact"/>
        <w:numPr>
          <w:ilvl w:val="0"/>
          <w:numId w:val="1022"/>
        </w:numPr>
      </w:pPr>
      <w:r>
        <w:t xml:space="preserve">Browser clients benefit from session cookies: the browser manages the cookie lifecycle automatically, HttpOnly prevents JavaScript access, and SameSite=Strict provides CSRF protection at the browser level. There is no need for the web application to manage token storage in JavaScript.</w:t>
      </w:r>
    </w:p>
    <w:p>
      <w:pPr>
        <w:pStyle w:val="Compact"/>
        <w:numPr>
          <w:ilvl w:val="0"/>
          <w:numId w:val="1022"/>
        </w:numPr>
      </w:pPr>
      <w:r>
        <w:t xml:space="preserve">Native mobile clients cannot use HTTP cookies reliably across app restarts and background/foreground transitions. JWT tokens stored in the device secure enclave (Android Keystore, iOS Secure Enclave) provide the appropriate security model for stateless mobile authentication.</w:t>
      </w:r>
    </w:p>
    <w:p>
      <w:pPr>
        <w:pStyle w:val="Compact"/>
        <w:numPr>
          <w:ilvl w:val="0"/>
          <w:numId w:val="1022"/>
        </w:numPr>
      </w:pPr>
      <w:r>
        <w:t xml:space="preserve">JWT tokens carry the tenant context (</w:t>
      </w:r>
      <w:r>
        <w:rPr>
          <w:rStyle w:val="VerbatimChar"/>
        </w:rPr>
        <w:t xml:space="preserve">tid</w:t>
      </w:r>
      <w:r>
        <w:t xml:space="preserve">,</w:t>
      </w:r>
      <w:r>
        <w:t xml:space="preserve"> </w:t>
      </w:r>
      <w:r>
        <w:rPr>
          <w:rStyle w:val="VerbatimChar"/>
        </w:rPr>
        <w:t xml:space="preserve">uid</w:t>
      </w:r>
      <w:r>
        <w:t xml:space="preserve">,</w:t>
      </w:r>
      <w:r>
        <w:t xml:space="preserve"> </w:t>
      </w:r>
      <w:r>
        <w:rPr>
          <w:rStyle w:val="VerbatimChar"/>
        </w:rPr>
        <w:t xml:space="preserve">role</w:t>
      </w:r>
      <w:r>
        <w:t xml:space="preserve">,</w:t>
      </w:r>
      <w:r>
        <w:t xml:space="preserve"> </w:t>
      </w:r>
      <w:r>
        <w:rPr>
          <w:rStyle w:val="VerbatimChar"/>
        </w:rPr>
        <w:t xml:space="preserve">modules</w:t>
      </w:r>
      <w:r>
        <w:t xml:space="preserve">) as claims, removing the need for a server-side session lookup on every mobile API request — important for stateless horizontal scaling.</w:t>
      </w:r>
    </w:p>
    <w:p>
      <w:pPr>
        <w:pStyle w:val="Compact"/>
        <w:numPr>
          <w:ilvl w:val="0"/>
          <w:numId w:val="1022"/>
        </w:numPr>
      </w:pPr>
      <w:r>
        <w:t xml:space="preserve">A unified JWT approach for the web would require the web application to manage token storage in JavaScript (localStorage or sessionStorage), increasing the XSS attack surface.</w:t>
      </w:r>
    </w:p>
    <w:p>
      <w:pPr>
        <w:pStyle w:val="FirstParagraph"/>
      </w:pPr>
      <w:r>
        <w:rPr>
          <w:b/>
          <w:bCs/>
        </w:rPr>
        <w:t xml:space="preserve">Trade-off Accepted:</w:t>
      </w:r>
    </w:p>
    <w:p>
      <w:pPr>
        <w:pStyle w:val="BodyText"/>
      </w:pPr>
      <w:r>
        <w:t xml:space="preserve">Two separate authentication mechanisms increase implementation complexity and mean that session management code and JWT validation code must both be maintained. This is accepted because the security properties of each mechanism align well with the respective client environment.</w:t>
      </w:r>
    </w:p>
    <w:p>
      <w:r>
        <w:pict>
          <v:rect style="width:0;height:1.5pt" o:hralign="center" o:hrstd="t" o:hr="t"/>
        </w:pict>
      </w:r>
    </w:p>
    <w:bookmarkEnd w:id="130"/>
    <w:bookmarkStart w:id="131" w:name="X49c964fc9fce77e941f483ecadfb497d257a68f"/>
    <w:p>
      <w:pPr>
        <w:pStyle w:val="Heading2"/>
      </w:pPr>
      <w:r>
        <w:t xml:space="preserve">ADR-004: Configuration-Driven Localisation vs. Per-Country Code Forks</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Longhorn ERP targets multiple countries in Uganda (Phase 1), East Africa (Phase 2), Francophone Africa (Phase 3), and global markets (Phase 4). Each market has different currencies, tax rates, statutory deductions, regulatory integrations, and document formats. Options: (a) maintain a separate code branch per country, or (b) encode all jurisdiction-specific behaviour in a configuration profile consumed by a single codebase.</w:t>
      </w:r>
    </w:p>
    <w:p>
      <w:pPr>
        <w:pStyle w:val="BodyText"/>
      </w:pPr>
      <w:r>
        <w:rPr>
          <w:b/>
          <w:bCs/>
        </w:rPr>
        <w:t xml:space="preserve">Decision:</w:t>
      </w:r>
    </w:p>
    <w:p>
      <w:pPr>
        <w:pStyle w:val="BodyText"/>
      </w:pPr>
      <w:r>
        <w:t xml:space="preserve">The system adopts option (b): configuration-driven localisation. All jurisdiction-specific behaviour is stored in a</w:t>
      </w:r>
      <w:r>
        <w:t xml:space="preserve"> </w:t>
      </w:r>
      <w:r>
        <w:rPr>
          <w:rStyle w:val="VerbatimChar"/>
        </w:rPr>
        <w:t xml:space="preserve">localisation_profiles</w:t>
      </w:r>
      <w:r>
        <w:t xml:space="preserve"> </w:t>
      </w:r>
      <w:r>
        <w:t xml:space="preserve">table. The application code references the active profile via</w:t>
      </w:r>
      <w:r>
        <w:t xml:space="preserve"> </w:t>
      </w:r>
      <w:r>
        <w:rPr>
          <w:rStyle w:val="VerbatimChar"/>
        </w:rPr>
        <w:t xml:space="preserve">TenantContext::getLocalisationProfile()</w:t>
      </w:r>
      <w:r>
        <w:t xml:space="preserve">.</w:t>
      </w:r>
    </w:p>
    <w:p>
      <w:pPr>
        <w:pStyle w:val="BodyText"/>
      </w:pPr>
      <w:r>
        <w:rPr>
          <w:b/>
          <w:bCs/>
        </w:rPr>
        <w:t xml:space="preserve">Rationale:</w:t>
      </w:r>
    </w:p>
    <w:p>
      <w:pPr>
        <w:pStyle w:val="Compact"/>
        <w:numPr>
          <w:ilvl w:val="0"/>
          <w:numId w:val="1023"/>
        </w:numPr>
      </w:pPr>
      <w:r>
        <w:t xml:space="preserve">Per-country code forks diverge over time and create unsustainable maintenance overhead. A bug fix in the core engine must be applied to every fork.</w:t>
      </w:r>
    </w:p>
    <w:p>
      <w:pPr>
        <w:pStyle w:val="Compact"/>
        <w:numPr>
          <w:ilvl w:val="0"/>
          <w:numId w:val="1023"/>
        </w:numPr>
      </w:pPr>
      <w:r>
        <w:t xml:space="preserve">Configuration-driven localisation allows the platform to expand to a new market without a code deployment. Only a new profile record and, if required, a new gateway adapter in the Integration Layer are needed.</w:t>
      </w:r>
    </w:p>
    <w:p>
      <w:pPr>
        <w:pStyle w:val="Compact"/>
        <w:numPr>
          <w:ilvl w:val="0"/>
          <w:numId w:val="1023"/>
        </w:numPr>
      </w:pPr>
      <w:r>
        <w:t xml:space="preserve">The approach enforces a clean boundary between business logic ("how to calculate PAYE") and jurisdiction data ("what are Uganda's PAYE bands") — the same boundary required by IFRS and tax compliance standards.</w:t>
      </w:r>
    </w:p>
    <w:p>
      <w:pPr>
        <w:pStyle w:val="Compact"/>
        <w:numPr>
          <w:ilvl w:val="0"/>
          <w:numId w:val="1023"/>
        </w:numPr>
      </w:pPr>
      <w:r>
        <w:t xml:space="preserve">Uganda is the Phase 1 reference implementation. The profile structure is validated against a fully defined Uganda profile before any additional market is onboarded.</w:t>
      </w:r>
    </w:p>
    <w:p>
      <w:pPr>
        <w:pStyle w:val="FirstParagraph"/>
      </w:pPr>
      <w:r>
        <w:rPr>
          <w:b/>
          <w:bCs/>
        </w:rPr>
        <w:t xml:space="preserve">Trade-off Accepted:</w:t>
      </w:r>
    </w:p>
    <w:p>
      <w:pPr>
        <w:pStyle w:val="BodyText"/>
      </w:pPr>
      <w:r>
        <w:t xml:space="preserve">Some integrations (URA EFRIS, KRA iTax) require implementing gateway adapter classes in the Integration Layer. These adapters are code, not configuration. The ADR does not claim zero code per market — it claims zero code in the core business logic per market.</w:t>
      </w:r>
    </w:p>
    <w:p>
      <w:r>
        <w:pict>
          <v:rect style="width:0;height:1.5pt" o:hralign="center" o:hrstd="t" o:hr="t"/>
        </w:pict>
      </w:r>
    </w:p>
    <w:bookmarkEnd w:id="131"/>
    <w:bookmarkStart w:id="132" w:name="Xb802eb4c81b53a2a7a92dbb1b9299cfddb79431"/>
    <w:p>
      <w:pPr>
        <w:pStyle w:val="Heading2"/>
      </w:pPr>
      <w:r>
        <w:t xml:space="preserve">ADR-005: Module Activation Per Tenant vs. Per User</w:t>
      </w:r>
    </w:p>
    <w:p>
      <w:pPr>
        <w:pStyle w:val="FirstParagraph"/>
      </w:pPr>
      <w:r>
        <w:rPr>
          <w:b/>
          <w:bCs/>
        </w:rPr>
        <w:t xml:space="preserve">Status:</w:t>
      </w:r>
      <w:r>
        <w:t xml:space="preserve"> </w:t>
      </w:r>
      <w:r>
        <w:t xml:space="preserve">Accepted</w:t>
      </w:r>
    </w:p>
    <w:p>
      <w:pPr>
        <w:pStyle w:val="BodyText"/>
      </w:pPr>
      <w:r>
        <w:rPr>
          <w:b/>
          <w:bCs/>
        </w:rPr>
        <w:t xml:space="preserve">Date:</w:t>
      </w:r>
      <w:r>
        <w:t xml:space="preserve"> </w:t>
      </w:r>
      <w:r>
        <w:t xml:space="preserve">2026-04-05</w:t>
      </w:r>
    </w:p>
    <w:p>
      <w:pPr>
        <w:pStyle w:val="BodyText"/>
      </w:pPr>
      <w:r>
        <w:rPr>
          <w:b/>
          <w:bCs/>
        </w:rPr>
        <w:t xml:space="preserve">Context:</w:t>
      </w:r>
    </w:p>
    <w:p>
      <w:pPr>
        <w:pStyle w:val="BodyText"/>
      </w:pPr>
      <w:r>
        <w:t xml:space="preserve">Module access can be controlled at two granularities: (a) per-tenant (all users of a tenant either have access to the module or do not), or (b) per-user (individual users within a tenant can be granted or denied access to specific modules).</w:t>
      </w:r>
    </w:p>
    <w:p>
      <w:pPr>
        <w:pStyle w:val="BodyText"/>
      </w:pPr>
      <w:r>
        <w:rPr>
          <w:b/>
          <w:bCs/>
        </w:rPr>
        <w:t xml:space="preserve">Decision:</w:t>
      </w:r>
    </w:p>
    <w:p>
      <w:pPr>
        <w:pStyle w:val="BodyText"/>
      </w:pPr>
      <w:r>
        <w:t xml:space="preserve">Module activation is controlled at the tenant level as the primary gate. Within an activated module, per-user access is controlled by the Role-Based Access Control (RBAC) system.</w:t>
      </w:r>
    </w:p>
    <w:p>
      <w:pPr>
        <w:pStyle w:val="BodyText"/>
      </w:pPr>
      <w:r>
        <w:rPr>
          <w:b/>
          <w:bCs/>
        </w:rPr>
        <w:t xml:space="preserve">Rationale:</w:t>
      </w:r>
    </w:p>
    <w:p>
      <w:pPr>
        <w:pStyle w:val="Compact"/>
        <w:numPr>
          <w:ilvl w:val="0"/>
          <w:numId w:val="1024"/>
        </w:numPr>
      </w:pPr>
      <w:r>
        <w:t xml:space="preserve">Module activation is a commercial decision tied to the tenant's subscription plan. It is appropriate to gate this at the tenant level because the subscription fee covers the whole organisation, not individual users.</w:t>
      </w:r>
    </w:p>
    <w:p>
      <w:pPr>
        <w:pStyle w:val="Compact"/>
        <w:numPr>
          <w:ilvl w:val="0"/>
          <w:numId w:val="1024"/>
        </w:numPr>
      </w:pPr>
      <w:r>
        <w:t xml:space="preserve">Per-user module activation would create an inconsistent user experience: two colleagues at the same company could see different navigation menus and features with no clear commercial reason.</w:t>
      </w:r>
    </w:p>
    <w:p>
      <w:pPr>
        <w:pStyle w:val="Compact"/>
        <w:numPr>
          <w:ilvl w:val="0"/>
          <w:numId w:val="1024"/>
        </w:numPr>
      </w:pPr>
      <w:r>
        <w:t xml:space="preserve">RBAC already provides per-user access control within a module. A user with the HR &amp; Payroll module active can still be restricted from specific HR operations (e.g., payroll processing) by the</w:t>
      </w:r>
      <w:r>
        <w:t xml:space="preserve"> </w:t>
      </w:r>
      <w:r>
        <w:rPr>
          <w:rStyle w:val="VerbatimChar"/>
        </w:rPr>
        <w:t xml:space="preserve">RequirePermission</w:t>
      </w:r>
      <w:r>
        <w:t xml:space="preserve"> </w:t>
      </w:r>
      <w:r>
        <w:t xml:space="preserve">middleware. This is the correct granularity for per-user control.</w:t>
      </w:r>
    </w:p>
    <w:p>
      <w:pPr>
        <w:pStyle w:val="Compact"/>
        <w:numPr>
          <w:ilvl w:val="0"/>
          <w:numId w:val="1024"/>
        </w:numPr>
      </w:pPr>
      <w:r>
        <w:t xml:space="preserve">Keeping module gating at the tenant level simplifies the billing and subscription management logic: one activation record per module per tenant.</w:t>
      </w:r>
    </w:p>
    <w:p>
      <w:pPr>
        <w:pStyle w:val="FirstParagraph"/>
      </w:pPr>
      <w:r>
        <w:rPr>
          <w:b/>
          <w:bCs/>
        </w:rPr>
        <w:t xml:space="preserve">Trade-off Accepted:</w:t>
      </w:r>
    </w:p>
    <w:p>
      <w:pPr>
        <w:pStyle w:val="BodyText"/>
      </w:pPr>
      <w:r>
        <w:t xml:space="preserve">A tenant cannot activate a module for some users only. If a tenant wants only 2 out of 20 users to access the CRM module, they activate the module for the tenant and then restrict the remaining 18 users via RBAC role configuration. This is operationally straightforward and aligns with how ERP systems are typically administered.</w:t>
      </w:r>
    </w:p>
    <w:bookmarkEnd w:id="132"/>
    <w:bookmarkEnd w:id="133"/>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Architecture Document</dc:title>
  <dc:creator/>
  <cp:keywords/>
  <dcterms:created xsi:type="dcterms:W3CDTF">2026-04-05T03:11:57Z</dcterms:created>
  <dcterms:modified xsi:type="dcterms:W3CDTF">2026-04-05T03:11:57Z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version">
    <vt:lpwstr>1.0</vt:lpwstr>
  </property>
</Properties>
</file>