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SRS Documentation Audit Report — Maduuka Phase 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2" w:name="X91d3756b049d4983365f93991f4cd17adde3dee"/>
    <w:p>
      <w:pPr>
        <w:pStyle w:val="Heading1"/>
      </w:pPr>
      <w:r>
        <w:t xml:space="preserve">SRS Documentation Audit Report — Maduuka Phase 1</w:t>
      </w:r>
    </w:p>
    <w:bookmarkStart w:id="19" w:name="X5611a5422997d98e893c74394264556e12691d2"/>
    <w:p>
      <w:pPr>
        <w:pStyle w:val="Heading2"/>
      </w:pPr>
      <w:r>
        <w:t xml:space="preserve">1. Document Header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SRS Documentation Audit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Maduuka — Mobile-First SaaS POS and Bookkeeping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Date</w:t>
            </w:r>
          </w:p>
        </w:tc>
        <w:tc>
          <w:tcPr/>
          <w:p>
            <w:pPr>
              <w:pStyle w:val="Compact"/>
            </w:pPr>
            <w:r>
              <w:t xml:space="preserve">2026-04-05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Auditor</w:t>
            </w:r>
          </w:p>
        </w:tc>
        <w:tc>
          <w:tcPr/>
          <w:p>
            <w:pPr>
              <w:pStyle w:val="Compact"/>
            </w:pPr>
            <w:r>
              <w:t xml:space="preserve">Chwezi Core Systems (SRS-Skills Engine)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IEEE 1012-2016 (Software Verification and Validation), IEEE 830-1998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Final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Phase 1: Android + Web (10 core modules, 12 documents)</w:t>
            </w:r>
          </w:p>
        </w:tc>
      </w:tr>
    </w:tbl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This report documents the results of a formal verification and validation audit performed against all 12 Phase 1 Software Requirements Specification (SRS) documents produced for the Maduuka project on 2026-04-05. The audit evaluates each document against the IEEE 1012-2016 V&amp;V framework and the IEEE 830-1998 quality criteria: correctness, completeness, consistency, and verifiability. The report records all open anomalies, external dependency gaps, and issues a a development readiness verdict for Phase 1.</w:t>
      </w:r>
    </w:p>
    <w:p>
      <w:r>
        <w:pict>
          <v:rect style="width:0;height:1.5pt" o:hralign="center" o:hrstd="t" o:hr="t"/>
        </w:pict>
      </w:r>
    </w:p>
    <w:bookmarkEnd w:id="19"/>
    <w:bookmarkStart w:id="20" w:name="X46e82520c3f8ca4df84430c62cbcc8564b54af8"/>
    <w:p>
      <w:pPr>
        <w:pStyle w:val="Heading2"/>
      </w:pPr>
      <w:r>
        <w:t xml:space="preserve">2. Audit Scope</w:t>
      </w:r>
    </w:p>
    <w:p>
      <w:pPr>
        <w:pStyle w:val="FirstParagraph"/>
      </w:pPr>
      <w:r>
        <w:t xml:space="preserve">The following 12 Phase 1 documents were audited: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No.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PRD_Maduuka.docx</w:t>
            </w:r>
          </w:p>
        </w:tc>
        <w:tc>
          <w:tcPr/>
          <w:p>
            <w:pPr>
              <w:pStyle w:val="Compact"/>
            </w:pPr>
            <w:r>
              <w:t xml:space="preserve">Product Requirements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VisionStatement_Maduuka.docx</w:t>
            </w:r>
          </w:p>
        </w:tc>
        <w:tc>
          <w:tcPr/>
          <w:p>
            <w:pPr>
              <w:pStyle w:val="Compact"/>
            </w:pPr>
            <w:r>
              <w:t xml:space="preserve">Vision and Scope Statement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BusinessCase_Maduuka.docx</w:t>
            </w:r>
          </w:p>
        </w:tc>
        <w:tc>
          <w:tcPr/>
          <w:p>
            <w:pPr>
              <w:pStyle w:val="Compact"/>
            </w:pPr>
            <w:r>
              <w:t xml:space="preserve">Business Case and Market Justification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SRS_Maduuka_Phase1_Draft.docx</w:t>
            </w:r>
          </w:p>
        </w:tc>
        <w:tc>
          <w:tcPr/>
          <w:p>
            <w:pPr>
              <w:pStyle w:val="Compact"/>
            </w:pPr>
            <w:r>
              <w:t xml:space="preserve">Software Requirements Specification — Phase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HLD_Maduuka.docx</w:t>
            </w:r>
          </w:p>
        </w:tc>
        <w:tc>
          <w:tcPr/>
          <w:p>
            <w:pPr>
              <w:pStyle w:val="Compact"/>
            </w:pPr>
            <w:r>
              <w:t xml:space="preserve">High-Level Design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DatabaseDesign_Maduuka.docx</w:t>
            </w:r>
          </w:p>
        </w:tc>
        <w:tc>
          <w:tcPr/>
          <w:p>
            <w:pPr>
              <w:pStyle w:val="Compact"/>
            </w:pPr>
            <w:r>
              <w:t xml:space="preserve">Database Design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APISpec_Maduuka_Phase1.docx</w:t>
            </w:r>
          </w:p>
        </w:tc>
        <w:tc>
          <w:tcPr/>
          <w:p>
            <w:pPr>
              <w:pStyle w:val="Compact"/>
            </w:pPr>
            <w:r>
              <w:t xml:space="preserve">API Specification — Phase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UXSpec_Maduuka.docx</w:t>
            </w:r>
          </w:p>
        </w:tc>
        <w:tc>
          <w:tcPr/>
          <w:p>
            <w:pPr>
              <w:pStyle w:val="Compact"/>
            </w:pPr>
            <w:r>
              <w:t xml:space="preserve">UX and Interface 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TestStrategy_Maduuka.docx</w:t>
            </w:r>
          </w:p>
        </w:tc>
        <w:tc>
          <w:tcPr/>
          <w:p>
            <w:pPr>
              <w:pStyle w:val="Compact"/>
            </w:pPr>
            <w:r>
              <w:t xml:space="preserve">Test 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TestPlan_Maduuka_Phase1.docx</w:t>
            </w:r>
          </w:p>
        </w:tc>
        <w:tc>
          <w:tcPr/>
          <w:p>
            <w:pPr>
              <w:pStyle w:val="Compact"/>
            </w:pPr>
            <w:r>
              <w:t xml:space="preserve">Test Plan — Phase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RiskAssessment_Maduuka.docx</w:t>
            </w:r>
          </w:p>
        </w:tc>
        <w:tc>
          <w:tcPr/>
          <w:p>
            <w:pPr>
              <w:pStyle w:val="Compact"/>
            </w:pPr>
            <w:r>
              <w:t xml:space="preserve">Risk 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TraceabilityMatrix_Maduuka.docx</w:t>
            </w:r>
          </w:p>
        </w:tc>
        <w:tc>
          <w:tcPr/>
          <w:p>
            <w:pPr>
              <w:pStyle w:val="Compact"/>
            </w:pPr>
            <w:r>
              <w:t xml:space="preserve">Requirements Traceability Matrix</w:t>
            </w:r>
          </w:p>
        </w:tc>
      </w:tr>
    </w:tbl>
    <w:p>
      <w:pPr>
        <w:pStyle w:val="BodyText"/>
      </w:pPr>
      <w:r>
        <w:rPr>
          <w:b/>
          <w:bCs/>
        </w:rPr>
        <w:t xml:space="preserve">Audit method:</w:t>
      </w:r>
      <w:r>
        <w:t xml:space="preserve"> </w:t>
      </w:r>
      <w:r>
        <w:t xml:space="preserve">Each document was evaluated against:</w:t>
      </w:r>
    </w:p>
    <w:p>
      <w:pPr>
        <w:pStyle w:val="Compact"/>
        <w:numPr>
          <w:ilvl w:val="0"/>
          <w:numId w:val="1001"/>
        </w:numPr>
      </w:pPr>
      <w:r>
        <w:t xml:space="preserve">IEEE 830-1998 §4 quality criteria (correct, unambiguous, complete, verifiable, consistent, modifiable, ranked, traceable).</w:t>
      </w:r>
    </w:p>
    <w:p>
      <w:pPr>
        <w:pStyle w:val="Compact"/>
        <w:numPr>
          <w:ilvl w:val="0"/>
          <w:numId w:val="1001"/>
        </w:numPr>
      </w:pPr>
      <w:r>
        <w:t xml:space="preserve">IEEE 1012-2016 §5 V&amp;V tasks: requirements verification, design verification, and baseline review.</w:t>
      </w:r>
    </w:p>
    <w:p>
      <w:pPr>
        <w:pStyle w:val="Compact"/>
        <w:numPr>
          <w:ilvl w:val="0"/>
          <w:numId w:val="1001"/>
        </w:numPr>
      </w:pPr>
      <w:r>
        <w:t xml:space="preserve">The Maduuka quality gate rules defined in</w:t>
      </w:r>
      <w:r>
        <w:t xml:space="preserve"> </w:t>
      </w:r>
      <w:r>
        <w:rPr>
          <w:rStyle w:val="VerbatimChar"/>
        </w:rPr>
        <w:t xml:space="preserve">_context/quality_standards.md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33" w:name="X460e81b0161447bb10ef6b0fa026a575ae9f286"/>
    <w:p>
      <w:pPr>
        <w:pStyle w:val="Heading2"/>
      </w:pPr>
      <w:r>
        <w:t xml:space="preserve">3. Audit Findings by Document</w:t>
      </w:r>
    </w:p>
    <w:bookmarkStart w:id="21" w:name="Xe83c644c952f4d5f302e07d96f2b057da8c2599"/>
    <w:p>
      <w:pPr>
        <w:pStyle w:val="Heading3"/>
      </w:pPr>
      <w:r>
        <w:t xml:space="preserve">3.1 PRD_Maduuka.docx — Product Requirements Document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Correctness</w:t>
            </w:r>
          </w:p>
        </w:tc>
        <w:tc>
          <w:tcPr/>
          <w:p>
            <w:pPr>
              <w:pStyle w:val="Compact"/>
            </w:pPr>
            <w:r>
              <w:t xml:space="preserve">Mirrors stakeholder intent from</w:t>
            </w:r>
            <w:r>
              <w:t xml:space="preserve"> </w:t>
            </w:r>
            <w:r>
              <w:rPr>
                <w:rStyle w:val="VerbatimChar"/>
              </w:rPr>
              <w:t xml:space="preserve">vision.md</w:t>
            </w:r>
            <w:r>
              <w:t xml:space="preserve">. All 10 core modules and 4 industry add-ons are reflected. Business goals BG-001 through BG-005 are present and traceable to product scope decisions.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Completeness</w:t>
            </w:r>
          </w:p>
        </w:tc>
        <w:tc>
          <w:tcPr/>
          <w:p>
            <w:pPr>
              <w:pStyle w:val="Compact"/>
            </w:pPr>
            <w:r>
              <w:t xml:space="preserve">All required PRD elements are present: executive summary, problem statement, target market, product scope, module inventory, and go-to-market positioning.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Consistency</w:t>
            </w:r>
          </w:p>
        </w:tc>
        <w:tc>
          <w:tcPr/>
          <w:p>
            <w:pPr>
              <w:pStyle w:val="Compact"/>
            </w:pPr>
            <w:r>
              <w:t xml:space="preserve">Terminology is consistent with</w:t>
            </w:r>
            <w:r>
              <w:t xml:space="preserve"> </w:t>
            </w:r>
            <w:r>
              <w:rPr>
                <w:rStyle w:val="VerbatimChar"/>
              </w:rPr>
              <w:t xml:space="preserve">vision.md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_context/features.md</w:t>
            </w:r>
            <w:r>
              <w:t xml:space="preserve">, and the SRS. Module naming conventions are uniform throughout.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Verifiability</w:t>
            </w:r>
          </w:p>
        </w:tc>
        <w:tc>
          <w:tcPr/>
          <w:p>
            <w:pPr>
              <w:pStyle w:val="Compact"/>
            </w:pPr>
            <w:r>
              <w:t xml:space="preserve">The PRD defines acceptance criteria at the product level (e.g., 1,000 paying accounts within 12 months, UGX 30,000/month Basic tier pricing). These are measurable and auditable.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Anomalies</w:t>
            </w:r>
          </w:p>
        </w:tc>
        <w:tc>
          <w:tcPr/>
          <w:p>
            <w:pPr>
              <w:pStyle w:val="Compac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X6c8c485697b0666e9e0df54515548cc4600bf56"/>
    <w:p>
      <w:pPr>
        <w:pStyle w:val="Heading3"/>
      </w:pPr>
      <w:r>
        <w:t xml:space="preserve">3.2 VisionStatement_Maduuka.docx — Vision and Scope Statement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Correctness</w:t>
            </w:r>
          </w:p>
        </w:tc>
        <w:tc>
          <w:tcPr/>
          <w:p>
            <w:pPr>
              <w:pStyle w:val="Compact"/>
            </w:pPr>
            <w:r>
              <w:t xml:space="preserve">All 9 sections are present and reflect the stakeholder intent documented in</w:t>
            </w:r>
            <w:r>
              <w:t xml:space="preserve"> </w:t>
            </w:r>
            <w:r>
              <w:rPr>
                <w:rStyle w:val="VerbatimChar"/>
              </w:rPr>
              <w:t xml:space="preserve">_context/vision.md</w:t>
            </w:r>
            <w:r>
              <w:t xml:space="preserve">. Design Covenant constraints DC-001 through DC-006 are stated with measurable thresholds throughout.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Completeness</w:t>
            </w:r>
          </w:p>
        </w:tc>
        <w:tc>
          <w:tcPr/>
          <w:p>
            <w:pPr>
              <w:pStyle w:val="Compact"/>
            </w:pPr>
            <w:r>
              <w:t xml:space="preserve">Includes vision, problem statement, target market, business goals, Design Covenant, competitive positioning, and success metrics. No required element is absent.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Consistency</w:t>
            </w:r>
          </w:p>
        </w:tc>
        <w:tc>
          <w:tcPr/>
          <w:p>
            <w:pPr>
              <w:pStyle w:val="Compact"/>
            </w:pPr>
            <w:r>
              <w:t xml:space="preserve">Terminology, Design Covenant labels (DC-001–DC-006), and business goal identifiers (BG-001–BG-005) are consistent with all downstream documents.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Verifiability</w:t>
            </w:r>
          </w:p>
        </w:tc>
        <w:tc>
          <w:tcPr/>
          <w:p>
            <w:pPr>
              <w:pStyle w:val="Compact"/>
            </w:pPr>
            <w:r>
              <w:t xml:space="preserve">Success metrics use specific, measurable thresholds (e.g., "1,000 paying accounts within 12 months," "response time ≤ 500 ms at P95"). No vague adjectives.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Anomalies</w:t>
            </w:r>
          </w:p>
        </w:tc>
        <w:tc>
          <w:tcPr/>
          <w:p>
            <w:pPr>
              <w:pStyle w:val="Compac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Xc5c5bb8d6acc6295b3b8b9ff8b5d457b4691601"/>
    <w:p>
      <w:pPr>
        <w:pStyle w:val="Heading3"/>
      </w:pPr>
      <w:r>
        <w:t xml:space="preserve">3.3 BusinessCase_Maduuka.docx — Business Case and Market Justification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Correctness</w:t>
            </w:r>
          </w:p>
        </w:tc>
        <w:tc>
          <w:tcPr/>
          <w:p>
            <w:pPr>
              <w:pStyle w:val="Compact"/>
            </w:pPr>
            <w:r>
              <w:t xml:space="preserve">Business rationale and financial projections are consistent with the vision and product scope. Revenue model, pricing tiers, and growth assumptions are internally consistent.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Completeness</w:t>
            </w:r>
          </w:p>
        </w:tc>
        <w:tc>
          <w:tcPr/>
          <w:p>
            <w:pPr>
              <w:pStyle w:val="Compact"/>
            </w:pPr>
            <w:r>
              <w:t xml:space="preserve">Includes market sizing, competitive analysis, revenue model, cost assumptions, and return on investment projections.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Consistency</w:t>
            </w:r>
          </w:p>
        </w:tc>
        <w:tc>
          <w:tcPr/>
          <w:p>
            <w:pPr>
              <w:pStyle w:val="Compact"/>
            </w:pPr>
            <w:r>
              <w:t xml:space="preserve">Terminology and module references are consistent with the PRD and SRS.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Verifiability</w:t>
            </w:r>
          </w:p>
        </w:tc>
        <w:tc>
          <w:tcPr/>
          <w:p>
            <w:pPr>
              <w:pStyle w:val="Compact"/>
            </w:pPr>
            <w:r>
              <w:t xml:space="preserve">Revenue projections are based on publicly available government statistics and secondary market estimates, not primary research. This limits independent verifiability of market size inputs.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Anomalies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[CONTEXT-GAP: A-001]</w:t>
            </w:r>
            <w:r>
              <w:t xml:space="preserve"> </w:t>
            </w:r>
            <w:r>
              <w:t xml:space="preserve">— Market size estimates are sourced from government statistics and secondary data, not primary market research. Projections are approximations.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with Minor Anomalies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7075abc8e556c90f4a177dd226d319bb7dbda74"/>
    <w:p>
      <w:pPr>
        <w:pStyle w:val="Heading3"/>
      </w:pPr>
      <w:r>
        <w:t xml:space="preserve">3.4 SRS_Maduuka_Phase1_Draft.docx — Software Requirements Specification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Correctness</w:t>
            </w:r>
          </w:p>
        </w:tc>
        <w:tc>
          <w:tcPr/>
          <w:p>
            <w:pPr>
              <w:pStyle w:val="Compact"/>
            </w:pPr>
            <w:r>
              <w:t xml:space="preserve">All 129 functional requirements mirror the stakeholder intent documented in</w:t>
            </w:r>
            <w:r>
              <w:t xml:space="preserve"> </w:t>
            </w:r>
            <w:r>
              <w:rPr>
                <w:rStyle w:val="VerbatimChar"/>
              </w:rPr>
              <w:t xml:space="preserve">_context/vision.md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_context/features.md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_context/business_rules.md</w:t>
            </w:r>
            <w:r>
              <w:t xml:space="preserve">. No requirement contradicts a stated business goal or Design Covenant constraint.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Completeness</w:t>
            </w:r>
          </w:p>
        </w:tc>
        <w:tc>
          <w:tcPr/>
          <w:p>
            <w:pPr>
              <w:pStyle w:val="Compact"/>
            </w:pPr>
            <w:r>
              <w:t xml:space="preserve">All 10 core modules are covered: POS (F-001), Customer Accounts (F-002), Inventory (F-003), Purchase Orders (F-004), Expense Tracking (F-005), Financial Accounts (F-006), Sales Reporting (F-007), HR and Payroll (F-008), Staff and Access Control (F-009), and Dashboard (F-010). All 16 business rules (BR-001–BR-016) have corresponding functional requirements. All 6 non-functional requirement categories are addressed with measurable thresholds.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Consistency</w:t>
            </w:r>
          </w:p>
        </w:tc>
        <w:tc>
          <w:tcPr/>
          <w:p>
            <w:pPr>
              <w:pStyle w:val="Compact"/>
            </w:pPr>
            <w:r>
              <w:t xml:space="preserve">Terminology is uniform throughout all 12 sections. Requirement identifiers follow the pattern</w:t>
            </w:r>
            <w:r>
              <w:t xml:space="preserve"> </w:t>
            </w:r>
            <w:r>
              <w:rPr>
                <w:rStyle w:val="VerbatimChar"/>
              </w:rPr>
              <w:t xml:space="preserve">FR-[MODULE]-[NNN]</w:t>
            </w:r>
            <w:r>
              <w:t xml:space="preserve"> </w:t>
            </w:r>
            <w:r>
              <w:t xml:space="preserve">without exception. IEEE 830 section numbering is maintained.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Verifiability</w:t>
            </w:r>
          </w:p>
        </w:tc>
        <w:tc>
          <w:tcPr/>
          <w:p>
            <w:pPr>
              <w:pStyle w:val="Compact"/>
            </w:pPr>
            <w:r>
              <w:t xml:space="preserve">All 129 FRs follow stimulus-response format per the IEEE 830 "Verifiable" criterion. Every FR includes an observable system output. All NFRs include measurable thresholds from</w:t>
            </w:r>
            <w:r>
              <w:t xml:space="preserve"> </w:t>
            </w:r>
            <w:r>
              <w:rPr>
                <w:rStyle w:val="VerbatimChar"/>
              </w:rPr>
              <w:t xml:space="preserve">_context/quality_standards.md</w:t>
            </w:r>
            <w:r>
              <w:t xml:space="preserve"> </w:t>
            </w:r>
            <w:r>
              <w:t xml:space="preserve">(e.g., POS completion ≤ 3 seconds, API response ≤ 500 ms at P95).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Anomalies</w:t>
            </w:r>
          </w:p>
        </w:tc>
        <w:tc>
          <w:tcPr/>
          <w:p>
            <w:pPr>
              <w:pStyle w:val="Compact"/>
            </w:pPr>
            <w:r>
              <w:t xml:space="preserve">None unresolved.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c1c0485f0c6c5e887f42357d76e14e1ee5f9d0a"/>
    <w:p>
      <w:pPr>
        <w:pStyle w:val="Heading3"/>
      </w:pPr>
      <w:r>
        <w:t xml:space="preserve">3.5 HLD_Maduuka.docx — High-Level Design Document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Correctness</w:t>
            </w:r>
          </w:p>
        </w:tc>
        <w:tc>
          <w:tcPr/>
          <w:p>
            <w:pPr>
              <w:pStyle w:val="Compact"/>
            </w:pPr>
            <w:r>
              <w:t xml:space="preserve">System context, component architecture, and multi-tenant data isolation model are consistent with the SRS scope and Design Covenant constraints DC-001 through DC-006.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Completeness</w:t>
            </w:r>
          </w:p>
        </w:tc>
        <w:tc>
          <w:tcPr/>
          <w:p>
            <w:pPr>
              <w:pStyle w:val="Compact"/>
            </w:pPr>
            <w:r>
              <w:t xml:space="preserve">Includes system context diagram, component architecture, data flow, multi-tenancy model (franchise_id scoping), technology stack selection, and deployment topology.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Consistency</w:t>
            </w:r>
          </w:p>
        </w:tc>
        <w:tc>
          <w:tcPr/>
          <w:p>
            <w:pPr>
              <w:pStyle w:val="Compact"/>
            </w:pPr>
            <w:r>
              <w:t xml:space="preserve">Module names, API boundary definitions, and database layer descriptions are consistent with the SRS, API Specification, and Database Design documents.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Verifiability</w:t>
            </w:r>
          </w:p>
        </w:tc>
        <w:tc>
          <w:tcPr/>
          <w:p>
            <w:pPr>
              <w:pStyle w:val="Compact"/>
            </w:pPr>
            <w:r>
              <w:t xml:space="preserve">Architecture decisions reference specific constraints (e.g., offline-first per DC-003, low-end Android per DC-004). Constraints are measurable and traceable to the SRS NFR section.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Anomalies</w:t>
            </w:r>
          </w:p>
        </w:tc>
        <w:tc>
          <w:tcPr/>
          <w:p>
            <w:pPr>
              <w:pStyle w:val="Compac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X819d188054054840a4477f3c8d11766c716629f"/>
    <w:p>
      <w:pPr>
        <w:pStyle w:val="Heading3"/>
      </w:pPr>
      <w:r>
        <w:t xml:space="preserve">3.6 DatabaseDesign_Maduuka.docx — Database Design Specification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Correctness</w:t>
            </w:r>
          </w:p>
        </w:tc>
        <w:tc>
          <w:tcPr/>
          <w:p>
            <w:pPr>
              <w:pStyle w:val="Compact"/>
            </w:pPr>
            <w:r>
              <w:t xml:space="preserve">Schema entities, relationships, and constraint definitions are consistent with the SRS business rules (BR-001–BR-016) and the multi-tenant architecture defined in the HLD.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Completeness</w:t>
            </w:r>
          </w:p>
        </w:tc>
        <w:tc>
          <w:tcPr/>
          <w:p>
            <w:pPr>
              <w:pStyle w:val="Compact"/>
            </w:pPr>
            <w:r>
              <w:t xml:space="preserve">All 10 core module entity groups are represented. Foreign key relationships, indexes, and audit columns are specified for all tables.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Consistency</w:t>
            </w:r>
          </w:p>
        </w:tc>
        <w:tc>
          <w:tcPr/>
          <w:p>
            <w:pPr>
              <w:pStyle w:val="Compact"/>
            </w:pPr>
            <w:r>
              <w:t xml:space="preserve">Table and column naming conventions are uniform.</w:t>
            </w:r>
            <w:r>
              <w:t xml:space="preserve"> </w:t>
            </w:r>
            <w:r>
              <w:rPr>
                <w:rStyle w:val="VerbatimChar"/>
              </w:rPr>
              <w:t xml:space="preserve">franchise_id</w:t>
            </w:r>
            <w:r>
              <w:t xml:space="preserve"> </w:t>
            </w:r>
            <w:r>
              <w:t xml:space="preserve">scoping is applied consistently as required by BR-001 and RISK-006 mitigation.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Verifiability</w:t>
            </w:r>
          </w:p>
        </w:tc>
        <w:tc>
          <w:tcPr/>
          <w:p>
            <w:pPr>
              <w:pStyle w:val="Compact"/>
            </w:pPr>
            <w:r>
              <w:t xml:space="preserve">Structural constraints (NOT NULL, UNIQUE, FK) are specified in DDL-compatible notation. However, two schema implementation details require confirmation before migration scripts are authored.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Anomalies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[CONTEXT-GAP: A-002]</w:t>
            </w:r>
            <w:r>
              <w:t xml:space="preserve"> </w:t>
            </w:r>
            <w:r>
              <w:t xml:space="preserve">— Soft-delete columns (</w:t>
            </w:r>
            <w:r>
              <w:rPr>
                <w:rStyle w:val="VerbatimChar"/>
              </w:rPr>
              <w:t xml:space="preserve">deleted_at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deleted_by</w:t>
            </w:r>
            <w:r>
              <w:t xml:space="preserve">) are specified in the design document but have not been confirmed in raw DDL scripts.</w:t>
            </w:r>
            <w:r>
              <w:t xml:space="preserve"> </w:t>
            </w:r>
            <w:r>
              <w:rPr>
                <w:rStyle w:val="VerbatimChar"/>
              </w:rPr>
              <w:t xml:space="preserve">[CONTEXT-GAP: A-003]</w:t>
            </w:r>
            <w:r>
              <w:t xml:space="preserve"> </w:t>
            </w:r>
            <w:r>
              <w:t xml:space="preserve">— MySQL collation policy for Unicode handling (e.g.,</w:t>
            </w:r>
            <w:r>
              <w:t xml:space="preserve"> </w:t>
            </w:r>
            <w:r>
              <w:rPr>
                <w:rStyle w:val="VerbatimChar"/>
              </w:rPr>
              <w:t xml:space="preserve">utf8mb4_unicode_ci</w:t>
            </w:r>
            <w:r>
              <w:t xml:space="preserve"> </w:t>
            </w:r>
            <w:r>
              <w:t xml:space="preserve">vs.</w:t>
            </w:r>
            <w:r>
              <w:t xml:space="preserve"> </w:t>
            </w:r>
            <w:r>
              <w:rPr>
                <w:rStyle w:val="VerbatimChar"/>
              </w:rPr>
              <w:t xml:space="preserve">utf8mb4_0900_ai_ci</w:t>
            </w:r>
            <w:r>
              <w:t xml:space="preserve">) is not documented.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with Minor Anomalies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X359ef2e50b6dfe74a53c1d87944d209b861c315"/>
    <w:p>
      <w:pPr>
        <w:pStyle w:val="Heading3"/>
      </w:pPr>
      <w:r>
        <w:t xml:space="preserve">3.7 APISpec_Maduuka_Phase1.docx — API Specification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Correctness</w:t>
            </w:r>
          </w:p>
        </w:tc>
        <w:tc>
          <w:tcPr/>
          <w:p>
            <w:pPr>
              <w:pStyle w:val="Compact"/>
            </w:pPr>
            <w:r>
              <w:t xml:space="preserve">All 64 endpoints are derived from the SRS functional requirements and are consistent with the HLD component architecture and the multi-tenant scoping model.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Completeness</w:t>
            </w:r>
          </w:p>
        </w:tc>
        <w:tc>
          <w:tcPr/>
          <w:p>
            <w:pPr>
              <w:pStyle w:val="Compact"/>
            </w:pPr>
            <w:r>
              <w:t xml:space="preserve">Endpoints cover all 10 core modules. Each endpoint specifies HTTP method, path, request schema, response schema, error codes, and RBAC permission requirements. A full RBAC matrix mapping roles to endpoint permissions is included.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Consistency</w:t>
            </w:r>
          </w:p>
        </w:tc>
        <w:tc>
          <w:tcPr/>
          <w:p>
            <w:pPr>
              <w:pStyle w:val="Compact"/>
            </w:pPr>
            <w:r>
              <w:t xml:space="preserve">Endpoint naming conventions, HTTP status code usage, and error response envelope format are uniform across all 64 endpoints.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Verifiability</w:t>
            </w:r>
          </w:p>
        </w:tc>
        <w:tc>
          <w:tcPr/>
          <w:p>
            <w:pPr>
              <w:pStyle w:val="Compact"/>
            </w:pPr>
            <w:r>
              <w:t xml:space="preserve">Request and response schemas use typed field definitions. Error codes are enumerated with descriptions, enabling deterministic test oracles for all API contracts.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Anomalies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[CONTEXT-GAP: A-005]</w:t>
            </w:r>
            <w:r>
              <w:t xml:space="preserve"> </w:t>
            </w:r>
            <w:r>
              <w:t xml:space="preserve">— MTN MoMo Business API callback endpoint URL and callback payload schema are not confirmed in the spec, pending GAP-001 sandbox credentials.</w:t>
            </w:r>
            <w:r>
              <w:t xml:space="preserve"> </w:t>
            </w:r>
            <w:r>
              <w:rPr>
                <w:rStyle w:val="VerbatimChar"/>
              </w:rPr>
              <w:t xml:space="preserve">[CONTEXT-GAP: A-006]</w:t>
            </w:r>
            <w:r>
              <w:t xml:space="preserve"> </w:t>
            </w:r>
            <w:r>
              <w:t xml:space="preserve">— Pagination strategy for list endpoints (cursor-based vs. offset-based, default page size) is not documented.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Xb8c9235ab03f21864bb15d5e27812b132b68143"/>
    <w:p>
      <w:pPr>
        <w:pStyle w:val="Heading3"/>
      </w:pPr>
      <w:r>
        <w:t xml:space="preserve">3.8 UXSpec_Maduuka.docx — UX and Interface Specification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Correctness</w:t>
            </w:r>
          </w:p>
        </w:tc>
        <w:tc>
          <w:tcPr/>
          <w:p>
            <w:pPr>
              <w:pStyle w:val="Compact"/>
            </w:pPr>
            <w:r>
              <w:t xml:space="preserve">All 39 screens are consistent with the SRS functional requirements and the Design Covenant (DC-002: zero mandatory training; DC-001: mobile-first, web-equal).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Completeness</w:t>
            </w:r>
          </w:p>
        </w:tc>
        <w:tc>
          <w:tcPr/>
          <w:p>
            <w:pPr>
              <w:pStyle w:val="Compact"/>
            </w:pPr>
            <w:r>
              <w:t xml:space="preserve">All 10 core modules have corresponding screen specifications. The Design Covenant validation checklist contains 59 criteria applied against the full screen inventory.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Consistency</w:t>
            </w:r>
          </w:p>
        </w:tc>
        <w:tc>
          <w:tcPr/>
          <w:p>
            <w:pPr>
              <w:pStyle w:val="Compact"/>
            </w:pPr>
            <w:r>
              <w:t xml:space="preserve">Terminology, component labels, and navigation flow are consistent with the SRS (field names, action labels, and error messages match FR stimulus-response descriptions).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Verifiability</w:t>
            </w:r>
          </w:p>
        </w:tc>
        <w:tc>
          <w:tcPr/>
          <w:p>
            <w:pPr>
              <w:pStyle w:val="Compact"/>
            </w:pPr>
            <w:r>
              <w:t xml:space="preserve">All 59 Design Covenant validation criteria are stated as binary pass/fail checks (e.g., "Every destructive action requires a confirmation step before execution"). Each criterion is testable without judgment.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Anomalies</w:t>
            </w:r>
          </w:p>
        </w:tc>
        <w:tc>
          <w:tcPr/>
          <w:p>
            <w:pPr>
              <w:pStyle w:val="Compac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Xf35c9da83cc4dde9d72af2877dd86f74e40c50d"/>
    <w:p>
      <w:pPr>
        <w:pStyle w:val="Heading3"/>
      </w:pPr>
      <w:r>
        <w:t xml:space="preserve">3.9 TestStrategy_Maduuka.docx — Test Strategy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Correctness</w:t>
            </w:r>
          </w:p>
        </w:tc>
        <w:tc>
          <w:tcPr/>
          <w:p>
            <w:pPr>
              <w:pStyle w:val="Compact"/>
            </w:pPr>
            <w:r>
              <w:t xml:space="preserve">The 8 test levels (unit, integration, system, user acceptance, performance, security, regression, and offline/sync) are aligned with the SRS scope, NFR categories, and risk register.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Completeness</w:t>
            </w:r>
          </w:p>
        </w:tc>
        <w:tc>
          <w:tcPr/>
          <w:p>
            <w:pPr>
              <w:pStyle w:val="Compact"/>
            </w:pPr>
            <w:r>
              <w:t xml:space="preserve">All test levels include entry criteria, exit criteria, tools, responsibilities, and reporting requirements. The strategy addresses all NFR categories from the SRS (performance, security, availability, offline-first).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Consistency</w:t>
            </w:r>
          </w:p>
        </w:tc>
        <w:tc>
          <w:tcPr/>
          <w:p>
            <w:pPr>
              <w:pStyle w:val="Compact"/>
            </w:pPr>
            <w:r>
              <w:t xml:space="preserve">Test level naming and scope descriptions are consistent with the Test Plan, Traceability Matrix, and Risk Assessment documents.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Verifiability</w:t>
            </w:r>
          </w:p>
        </w:tc>
        <w:tc>
          <w:tcPr/>
          <w:p>
            <w:pPr>
              <w:pStyle w:val="Compact"/>
            </w:pPr>
            <w:r>
              <w:t xml:space="preserve">Entry and exit criteria are measurable. For example, system test exit criterion specifies zero open Critical or High defects, not a subjective quality judgment.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Anomalies</w:t>
            </w:r>
          </w:p>
        </w:tc>
        <w:tc>
          <w:tcPr/>
          <w:p>
            <w:pPr>
              <w:pStyle w:val="Compac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X1da4cac831f32d38bf02d5486f9ae02d9f37b05"/>
    <w:p>
      <w:pPr>
        <w:pStyle w:val="Heading3"/>
      </w:pPr>
      <w:r>
        <w:t xml:space="preserve">3.10 TestPlan_Maduuka_Phase1.docx — Test Plan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Correctness</w:t>
            </w:r>
          </w:p>
        </w:tc>
        <w:tc>
          <w:tcPr/>
          <w:p>
            <w:pPr>
              <w:pStyle w:val="Compact"/>
            </w:pPr>
            <w:r>
              <w:t xml:space="preserve">All 110 test cases are derived directly from the 129 FRs in the SRS and the NFR thresholds in</w:t>
            </w:r>
            <w:r>
              <w:t xml:space="preserve"> </w:t>
            </w:r>
            <w:r>
              <w:rPr>
                <w:rStyle w:val="VerbatimChar"/>
              </w:rPr>
              <w:t xml:space="preserve">_context/quality_standards.md</w:t>
            </w:r>
            <w:r>
              <w:t xml:space="preserve">. No test case references a feature not in scope for Phase 1.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Completeness</w:t>
            </w:r>
          </w:p>
        </w:tc>
        <w:tc>
          <w:tcPr/>
          <w:p>
            <w:pPr>
              <w:pStyle w:val="Compact"/>
            </w:pPr>
            <w:r>
              <w:t xml:space="preserve">All 10 core modules have test case coverage. NFR test cases cover all 7 performance thresholds defined in</w:t>
            </w:r>
            <w:r>
              <w:t xml:space="preserve"> </w:t>
            </w:r>
            <w:r>
              <w:rPr>
                <w:rStyle w:val="VerbatimChar"/>
              </w:rPr>
              <w:t xml:space="preserve">quality_standards.md</w:t>
            </w:r>
            <w:r>
              <w:t xml:space="preserve">, all security baselines, and all availability targets.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Consistency</w:t>
            </w:r>
          </w:p>
        </w:tc>
        <w:tc>
          <w:tcPr/>
          <w:p>
            <w:pPr>
              <w:pStyle w:val="Compact"/>
            </w:pPr>
            <w:r>
              <w:t xml:space="preserve">Test case identifier format (</w:t>
            </w:r>
            <w:r>
              <w:rPr>
                <w:rStyle w:val="VerbatimChar"/>
              </w:rPr>
              <w:t xml:space="preserve">TC-[MODULE]-[NNN]</w:t>
            </w:r>
            <w:r>
              <w:t xml:space="preserve">) matches the identifiers assigned in the Traceability Matrix. Every TC ID referenced in the RTM has a corresponding test case definition in the Test Plan.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Verifiability</w:t>
            </w:r>
          </w:p>
        </w:tc>
        <w:tc>
          <w:tcPr/>
          <w:p>
            <w:pPr>
              <w:pStyle w:val="Compact"/>
            </w:pPr>
            <w:r>
              <w:t xml:space="preserve">Every test case specifies precondition, test steps, expected result, and pass/fail criterion. Expected results are deterministic test oracles (system output values, HTTP status codes, timing measurements), not subjective assessments.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Anomalies</w:t>
            </w:r>
          </w:p>
        </w:tc>
        <w:tc>
          <w:tcPr/>
          <w:p>
            <w:pPr>
              <w:pStyle w:val="Compac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X751b2e8cb737544f91273d553b48d73db5687b8"/>
    <w:p>
      <w:pPr>
        <w:pStyle w:val="Heading3"/>
      </w:pPr>
      <w:r>
        <w:t xml:space="preserve">3.11 RiskAssessment_Maduuka.docx — Risk Assessment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Correctness</w:t>
            </w:r>
          </w:p>
        </w:tc>
        <w:tc>
          <w:tcPr/>
          <w:p>
            <w:pPr>
              <w:pStyle w:val="Compact"/>
            </w:pPr>
            <w:r>
              <w:t xml:space="preserve">All 13 risks are derived from documented gaps (</w:t>
            </w:r>
            <w:r>
              <w:rPr>
                <w:rStyle w:val="VerbatimChar"/>
              </w:rPr>
              <w:t xml:space="preserve">_context/gap-analysis.md</w:t>
            </w:r>
            <w:r>
              <w:t xml:space="preserve">), business rules, and feature scope. Risk descriptions are consistent with the constraints stated in the SRS, HLD, and Database Design documents.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Completeness</w:t>
            </w:r>
          </w:p>
        </w:tc>
        <w:tc>
          <w:tcPr/>
          <w:p>
            <w:pPr>
              <w:pStyle w:val="Compact"/>
            </w:pPr>
            <w:r>
              <w:t xml:space="preserve">All 13 risks include: unique Risk ID, category, probability score (1–5), impact score (1–5), exposure calculation, qualitative rating, mitigation action, contingency action, and named owner. The heat map and top-5 risks summary are included. Coverage: 3 Critical (RISK-008, RISK-010, RISK-013), 6 High (RISK-001, RISK-005, RISK-006, RISK-007, RISK-009, RISK-012), 4 Medium (RISK-002, RISK-003, RISK-004, RISK-011).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Consistency</w:t>
            </w:r>
          </w:p>
        </w:tc>
        <w:tc>
          <w:tcPr/>
          <w:p>
            <w:pPr>
              <w:pStyle w:val="Compact"/>
            </w:pPr>
            <w:r>
              <w:t xml:space="preserve">Risk ID references are consistent with the gap analysis register (GAP-001 through GAP-010). IEEE 1058 methodology is applied uniformly across all 13 risks.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Verifiability</w:t>
            </w:r>
          </w:p>
        </w:tc>
        <w:tc>
          <w:tcPr/>
          <w:p>
            <w:pPr>
              <w:pStyle w:val="Compact"/>
            </w:pPr>
            <w:r>
              <w:t xml:space="preserve">Mitigation actions include specific, testable pass criteria (e.g., "scan-to-cart-add latency ≤ 1 second on 3 named target devices") and enumerated fallback triggers.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Anomalies</w:t>
            </w:r>
          </w:p>
        </w:tc>
        <w:tc>
          <w:tcPr/>
          <w:p>
            <w:pPr>
              <w:pStyle w:val="Compac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Xf57c7fd11ad0b2ce97a5c47c00c872197dd92d9"/>
    <w:p>
      <w:pPr>
        <w:pStyle w:val="Heading3"/>
      </w:pPr>
      <w:r>
        <w:t xml:space="preserve">3.12 TraceabilityMatrix_Maduuka.docx — Requirements Traceability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Correctness</w:t>
            </w:r>
          </w:p>
        </w:tc>
        <w:tc>
          <w:tcPr/>
          <w:p>
            <w:pPr>
              <w:pStyle w:val="Compact"/>
            </w:pPr>
            <w:r>
              <w:t xml:space="preserve">All 129 FRs from the SRS are present in the matrix. Business goal assignments (BG-001–BG-005) and business rule references (BR-001–BR-016) are consistent with the SRS and</w:t>
            </w:r>
            <w:r>
              <w:t xml:space="preserve"> </w:t>
            </w:r>
            <w:r>
              <w:rPr>
                <w:rStyle w:val="VerbatimChar"/>
              </w:rPr>
              <w:t xml:space="preserve">_context/business_rules.md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Completeness</w:t>
            </w:r>
          </w:p>
        </w:tc>
        <w:tc>
          <w:tcPr/>
          <w:p>
            <w:pPr>
              <w:pStyle w:val="Compact"/>
            </w:pPr>
            <w:r>
              <w:t xml:space="preserve">Every FR row includes: FR ID, requirement summary, business goal(s), business rule(s), test case ID, and MoSCoW priority. Design Covenant constraints (DC-001–DC-006) are included as a reference table. 0 TRACE-GAP flags raised across all 129 requirements.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Consistency</w:t>
            </w:r>
          </w:p>
        </w:tc>
        <w:tc>
          <w:tcPr/>
          <w:p>
            <w:pPr>
              <w:pStyle w:val="Compact"/>
            </w:pPr>
            <w:r>
              <w:t xml:space="preserve">FR identifiers, TC identifiers, BR references, and BG references are consistent across the SRS, Test Plan, and RTM without exception.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Verifiability</w:t>
            </w:r>
          </w:p>
        </w:tc>
        <w:tc>
          <w:tcPr/>
          <w:p>
            <w:pPr>
              <w:pStyle w:val="Compact"/>
            </w:pPr>
            <w:r>
              <w:t xml:space="preserve">Every FR has an assigned TC ID. The RTM provides the baseline for impact analysis, regression scoping, and compliance auditing under IEEE 1012.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Anomalies</w:t>
            </w:r>
          </w:p>
        </w:tc>
        <w:tc>
          <w:tcPr/>
          <w:p>
            <w:pPr>
              <w:pStyle w:val="Compact"/>
            </w:pPr>
            <w:r>
              <w:t xml:space="preserve">None.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4" w:name="Xac88db7110973e82f6c42d080a224e579d4588d"/>
    <w:p>
      <w:pPr>
        <w:pStyle w:val="Heading2"/>
      </w:pPr>
      <w:r>
        <w:t xml:space="preserve">4. Open Anomalies Register</w:t>
      </w:r>
    </w:p>
    <w:p>
      <w:pPr>
        <w:pStyle w:val="FirstParagraph"/>
      </w:pPr>
      <w:r>
        <w:t xml:space="preserve">All anomaly flags raised across the 12-document audit are recorded below. No document contains a</w:t>
      </w:r>
      <w:r>
        <w:t xml:space="preserve"> </w:t>
      </w:r>
      <w:r>
        <w:rPr>
          <w:rStyle w:val="VerbatimChar"/>
        </w:rPr>
        <w:t xml:space="preserve">[V&amp;V-FAIL]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[TRACE-GAP]</w:t>
      </w:r>
      <w:r>
        <w:t xml:space="preserve"> </w:t>
      </w:r>
      <w:r>
        <w:t xml:space="preserve">flag. All anomalies are</w:t>
      </w:r>
      <w:r>
        <w:t xml:space="preserve"> </w:t>
      </w:r>
      <w:r>
        <w:rPr>
          <w:rStyle w:val="VerbatimChar"/>
        </w:rPr>
        <w:t xml:space="preserve">[CONTEXT-GAP]</w:t>
      </w:r>
      <w:r>
        <w:t xml:space="preserve"> </w:t>
      </w:r>
      <w:r>
        <w:t xml:space="preserve">class, indicating missing external inputs rather than defects in the documents themselves.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A-001</w:t>
            </w:r>
          </w:p>
        </w:tc>
        <w:tc>
          <w:tcPr/>
          <w:p>
            <w:pPr>
              <w:pStyle w:val="Compact"/>
            </w:pPr>
            <w:r>
              <w:t xml:space="preserve">CONTEXT-GAP</w:t>
            </w:r>
          </w:p>
        </w:tc>
        <w:tc>
          <w:tcPr/>
          <w:p>
            <w:pPr>
              <w:pStyle w:val="Compact"/>
            </w:pPr>
            <w:r>
              <w:t xml:space="preserve">Business Case</w:t>
            </w:r>
          </w:p>
        </w:tc>
        <w:tc>
          <w:tcPr/>
          <w:p>
            <w:pPr>
              <w:pStyle w:val="Compact"/>
            </w:pPr>
            <w:r>
              <w:t xml:space="preserve">Market size estimates are sourced from government statistics and secondary data, not primary market research. Projections are approximations and are not independently verifiable without primary research.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Peter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A-002</w:t>
            </w:r>
          </w:p>
        </w:tc>
        <w:tc>
          <w:tcPr/>
          <w:p>
            <w:pPr>
              <w:pStyle w:val="Compact"/>
            </w:pPr>
            <w:r>
              <w:t xml:space="preserve">CONTEXT-GAP</w:t>
            </w:r>
          </w:p>
        </w:tc>
        <w:tc>
          <w:tcPr/>
          <w:p>
            <w:pPr>
              <w:pStyle w:val="Compact"/>
            </w:pPr>
            <w:r>
              <w:t xml:space="preserve">Database Design</w:t>
            </w:r>
          </w:p>
        </w:tc>
        <w:tc>
          <w:tcPr/>
          <w:p>
            <w:pPr>
              <w:pStyle w:val="Compact"/>
            </w:pPr>
            <w:r>
              <w:t xml:space="preserve">Soft-delete columns (</w:t>
            </w:r>
            <w:r>
              <w:rPr>
                <w:rStyle w:val="VerbatimChar"/>
              </w:rPr>
              <w:t xml:space="preserve">deleted_at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deleted_by</w:t>
            </w:r>
            <w:r>
              <w:t xml:space="preserve">) are specified in the design but have not been confirmed in raw DDL scripts. Risk of omission during migration script authoring.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Dev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A-003</w:t>
            </w:r>
          </w:p>
        </w:tc>
        <w:tc>
          <w:tcPr/>
          <w:p>
            <w:pPr>
              <w:pStyle w:val="Compact"/>
            </w:pPr>
            <w:r>
              <w:t xml:space="preserve">CONTEXT-GAP</w:t>
            </w:r>
          </w:p>
        </w:tc>
        <w:tc>
          <w:tcPr/>
          <w:p>
            <w:pPr>
              <w:pStyle w:val="Compact"/>
            </w:pPr>
            <w:r>
              <w:t xml:space="preserve">Database Design</w:t>
            </w:r>
          </w:p>
        </w:tc>
        <w:tc>
          <w:tcPr/>
          <w:p>
            <w:pPr>
              <w:pStyle w:val="Compact"/>
            </w:pPr>
            <w:r>
              <w:t xml:space="preserve">MySQL collation policy for Unicode text handling is not documented. The policy must be recorded in</w:t>
            </w:r>
            <w:r>
              <w:t xml:space="preserve"> </w:t>
            </w:r>
            <w:r>
              <w:rPr>
                <w:rStyle w:val="VerbatimChar"/>
              </w:rPr>
              <w:t xml:space="preserve">_context/tech_stack.md</w:t>
            </w:r>
            <w:r>
              <w:t xml:space="preserve"> </w:t>
            </w:r>
            <w:r>
              <w:t xml:space="preserve">before migration scripts are written to prevent data collation inconsistencies in multi-language deployments.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Dev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A-004</w:t>
            </w:r>
          </w:p>
        </w:tc>
        <w:tc>
          <w:tcPr/>
          <w:p>
            <w:pPr>
              <w:pStyle w:val="Compact"/>
            </w:pPr>
            <w:r>
              <w:t xml:space="preserve">CONTEXT-GAP</w:t>
            </w:r>
          </w:p>
        </w:tc>
        <w:tc>
          <w:tcPr/>
          <w:p>
            <w:pPr>
              <w:pStyle w:val="Compact"/>
            </w:pPr>
            <w:r>
              <w:t xml:space="preserve">Dashboard FR (FR-DASH-xxx)</w:t>
            </w:r>
          </w:p>
        </w:tc>
        <w:tc>
          <w:tcPr/>
          <w:p>
            <w:pPr>
              <w:pStyle w:val="Compact"/>
            </w:pPr>
            <w:r>
              <w:t xml:space="preserve">Industry gross margin benchmarks for Ugandan retail SMBs, used as a reference in dashboard profitability indicators, are not defined from a named authoritative source.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Peter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A-005</w:t>
            </w:r>
          </w:p>
        </w:tc>
        <w:tc>
          <w:tcPr/>
          <w:p>
            <w:pPr>
              <w:pStyle w:val="Compact"/>
            </w:pPr>
            <w:r>
              <w:t xml:space="preserve">CONTEXT-GAP</w:t>
            </w:r>
          </w:p>
        </w:tc>
        <w:tc>
          <w:tcPr/>
          <w:p>
            <w:pPr>
              <w:pStyle w:val="Compact"/>
            </w:pPr>
            <w:r>
              <w:t xml:space="preserve">API Specification</w:t>
            </w:r>
          </w:p>
        </w:tc>
        <w:tc>
          <w:tcPr/>
          <w:p>
            <w:pPr>
              <w:pStyle w:val="Compact"/>
            </w:pPr>
            <w:r>
              <w:t xml:space="preserve">MTN MoMo Business API callback endpoint URL and callback payload schema are not confirmed in the API Specification, pending sandbox credential acquisition (GAP-001).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Dev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A-006</w:t>
            </w:r>
          </w:p>
        </w:tc>
        <w:tc>
          <w:tcPr/>
          <w:p>
            <w:pPr>
              <w:pStyle w:val="Compact"/>
            </w:pPr>
            <w:r>
              <w:t xml:space="preserve">CONTEXT-GAP</w:t>
            </w:r>
          </w:p>
        </w:tc>
        <w:tc>
          <w:tcPr/>
          <w:p>
            <w:pPr>
              <w:pStyle w:val="Compact"/>
            </w:pPr>
            <w:r>
              <w:t xml:space="preserve">API Specification</w:t>
            </w:r>
          </w:p>
        </w:tc>
        <w:tc>
          <w:tcPr/>
          <w:p>
            <w:pPr>
              <w:pStyle w:val="Compact"/>
            </w:pPr>
            <w:r>
              <w:t xml:space="preserve">Pagination strategy for list endpoints (cursor-based vs. offset-based, default page size, maximum page size) is not documented in the API Specification.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Dev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A-007</w:t>
            </w:r>
          </w:p>
        </w:tc>
        <w:tc>
          <w:tcPr/>
          <w:p>
            <w:pPr>
              <w:pStyle w:val="Compact"/>
            </w:pPr>
            <w:r>
              <w:t xml:space="preserve">CONTEXT-GAP</w:t>
            </w:r>
          </w:p>
        </w:tc>
        <w:tc>
          <w:tcPr/>
          <w:p>
            <w:pPr>
              <w:pStyle w:val="Compact"/>
            </w:pPr>
            <w:r>
              <w:t xml:space="preserve">UX Specification / SRS</w:t>
            </w:r>
          </w:p>
        </w:tc>
        <w:tc>
          <w:tcPr/>
          <w:p>
            <w:pPr>
              <w:pStyle w:val="Compact"/>
            </w:pPr>
            <w:r>
              <w:t xml:space="preserve">PWA offline strategy for the web application is not documented. DC-003 (offline-first, always) applies to both Android and web; the offline data storage and sync mechanism for the web client requires a design decision before Sprint 3.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Dev team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X95d500a26e40d0711659a4cac8dff98d6cf530b"/>
    <w:p>
      <w:pPr>
        <w:pStyle w:val="Heading2"/>
      </w:pPr>
      <w:r>
        <w:t xml:space="preserve">5. External Dependency Status — GAP Registry</w:t>
      </w:r>
    </w:p>
    <w:p>
      <w:pPr>
        <w:pStyle w:val="FirstParagraph"/>
      </w:pPr>
      <w:r>
        <w:t xml:space="preserve">The following external dependencies were identified during document authoring and are tracked as blocking or deferral conditions for specific development phases.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GAP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Phase 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GAP-001</w:t>
            </w:r>
          </w:p>
        </w:tc>
        <w:tc>
          <w:tcPr/>
          <w:p>
            <w:pPr>
              <w:pStyle w:val="Compact"/>
            </w:pPr>
            <w:r>
              <w:t xml:space="preserve">MTN MoMo Business API sandbox credentials — required for POS push payment integration (FR-POS-012)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Peter</w:t>
            </w:r>
          </w:p>
        </w:tc>
        <w:tc>
          <w:tcPr/>
          <w:p>
            <w:pPr>
              <w:pStyle w:val="Compact"/>
            </w:pPr>
            <w:r>
              <w:t xml:space="preserve">Phase 1 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GAP-002</w:t>
            </w:r>
          </w:p>
        </w:tc>
        <w:tc>
          <w:tcPr/>
          <w:p>
            <w:pPr>
              <w:pStyle w:val="Compact"/>
            </w:pPr>
            <w:r>
              <w:t xml:space="preserve">Uganda Data Protection and Privacy Act 2019 legal review — required before storing customer PII at Phase 1 go-live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Peter</w:t>
            </w:r>
          </w:p>
        </w:tc>
        <w:tc>
          <w:tcPr/>
          <w:p>
            <w:pPr>
              <w:pStyle w:val="Compact"/>
            </w:pPr>
            <w:r>
              <w:t xml:space="preserve">Phase 1 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GAP-003</w:t>
            </w:r>
          </w:p>
        </w:tc>
        <w:tc>
          <w:tcPr/>
          <w:p>
            <w:pPr>
              <w:pStyle w:val="Compact"/>
            </w:pPr>
            <w:r>
              <w:t xml:space="preserve">NDA Uganda drug codes and formulary — required for the pharmacy industry add-on module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Peter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GAP-004</w:t>
            </w:r>
          </w:p>
        </w:tc>
        <w:tc>
          <w:tcPr/>
          <w:p>
            <w:pPr>
              <w:pStyle w:val="Compact"/>
            </w:pPr>
            <w:r>
              <w:t xml:space="preserve">iOS Bluetooth printer compatibility testing — required for thermal receipt printing on iOS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Dev team</w:t>
            </w:r>
          </w:p>
        </w:tc>
        <w:tc>
          <w:tcPr/>
          <w:p>
            <w:pPr>
              <w:pStyle w:val="Compact"/>
            </w:pPr>
            <w:r>
              <w:t xml:space="preserve">Phase 2 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GAP-005</w:t>
            </w:r>
          </w:p>
        </w:tc>
        <w:tc>
          <w:tcPr/>
          <w:p>
            <w:pPr>
              <w:pStyle w:val="Compact"/>
            </w:pPr>
            <w:r>
              <w:t xml:space="preserve">EFRIS API accreditation (URA registration) — required before Phase 3 fiscal integration development begins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Peter</w:t>
            </w:r>
          </w:p>
        </w:tc>
        <w:tc>
          <w:tcPr/>
          <w:p>
            <w:pPr>
              <w:pStyle w:val="Compact"/>
            </w:pPr>
            <w:r>
              <w:t xml:space="preserve">Phase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GAP-006</w:t>
            </w:r>
          </w:p>
        </w:tc>
        <w:tc>
          <w:tcPr/>
          <w:p>
            <w:pPr>
              <w:pStyle w:val="Compact"/>
            </w:pPr>
            <w:r>
              <w:t xml:space="preserve">Africa's Talking WhatsApp Business API tier — required to confirm message throughput limits for receipt delivery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Peter</w:t>
            </w:r>
          </w:p>
        </w:tc>
        <w:tc>
          <w:tcPr/>
          <w:p>
            <w:pPr>
              <w:pStyle w:val="Compact"/>
            </w:pPr>
            <w:r>
              <w:t xml:space="preserve">Phase 1 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GAP-007</w:t>
            </w:r>
          </w:p>
        </w:tc>
        <w:tc>
          <w:tcPr/>
          <w:p>
            <w:pPr>
              <w:pStyle w:val="Compact"/>
            </w:pPr>
            <w:r>
              <w:t xml:space="preserve">Hotel channel manager data model — required for the hotel industry add-on module (Phase 4)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Deferred</w:t>
            </w:r>
          </w:p>
        </w:tc>
        <w:tc>
          <w:tcPr/>
          <w:p>
            <w:pPr>
              <w:pStyle w:val="Compact"/>
            </w:pPr>
            <w:r>
              <w:t xml:space="preserve">Peter</w:t>
            </w:r>
          </w:p>
        </w:tc>
        <w:tc>
          <w:tcPr/>
          <w:p>
            <w:pPr>
              <w:pStyle w:val="Compact"/>
            </w:pPr>
            <w:r>
              <w:t xml:space="preserve">Phase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GAP-008</w:t>
            </w:r>
          </w:p>
        </w:tc>
        <w:tc>
          <w:tcPr/>
          <w:p>
            <w:pPr>
              <w:pStyle w:val="Compact"/>
            </w:pPr>
            <w:r>
              <w:t xml:space="preserve">NSSF/PAYE legal verification — NSSF (employer 10%, employee 5%) and PAYE bands must be verified by a Uganda HR/payroll professional before Phase 1 payroll module release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Peter</w:t>
            </w:r>
          </w:p>
        </w:tc>
        <w:tc>
          <w:tcPr/>
          <w:p>
            <w:pPr>
              <w:pStyle w:val="Compact"/>
            </w:pPr>
            <w:r>
              <w:t xml:space="preserve">Phase 1 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GAP-009</w:t>
            </w:r>
          </w:p>
        </w:tc>
        <w:tc>
          <w:tcPr/>
          <w:p>
            <w:pPr>
              <w:pStyle w:val="Compact"/>
            </w:pPr>
            <w:r>
              <w:t xml:space="preserve">NDA controlled drugs register format — required for controlled substance tracking in the pharmacy add-on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Peter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GAP-010</w:t>
            </w:r>
          </w:p>
        </w:tc>
        <w:tc>
          <w:tcPr/>
          <w:p>
            <w:pPr>
              <w:pStyle w:val="Compact"/>
            </w:pPr>
            <w:r>
              <w:t xml:space="preserve">Restaurant F&amp;B mixed VAT treatment — mixed VAT on food and beverages requires URA guidance before the restaurant add-on tax engine is built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Peter</w:t>
            </w:r>
          </w:p>
        </w:tc>
        <w:tc>
          <w:tcPr/>
          <w:p>
            <w:pPr>
              <w:pStyle w:val="Compact"/>
            </w:pPr>
            <w:r>
              <w:t xml:space="preserve">Phase 2/3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9" w:name="X5e6092edb2dfdab883ddee1c2042df081e56137"/>
    <w:p>
      <w:pPr>
        <w:pStyle w:val="Heading2"/>
      </w:pPr>
      <w:r>
        <w:t xml:space="preserve">6. Phase 1 Development Readiness Verdict</w:t>
      </w:r>
    </w:p>
    <w:bookmarkStart w:id="36" w:name="Xf1f8d52ffac8d67a1af0dc05c3a012ecfde63ba"/>
    <w:p>
      <w:pPr>
        <w:pStyle w:val="Heading3"/>
      </w:pPr>
      <w:r>
        <w:t xml:space="preserve">6.1 Overall Assessment</w:t>
      </w:r>
    </w:p>
    <w:p>
      <w:pPr>
        <w:pStyle w:val="FirstParagraph"/>
      </w:pPr>
      <w:r>
        <w:t xml:space="preserve">All 12 Phase 1 SRS documents are complete, IEEE 830-compliant, and meet the quality gates defined in</w:t>
      </w:r>
      <w:r>
        <w:t xml:space="preserve"> </w:t>
      </w:r>
      <w:r>
        <w:rPr>
          <w:rStyle w:val="VerbatimChar"/>
        </w:rPr>
        <w:t xml:space="preserve">_context/quality_standards.md</w:t>
      </w:r>
      <w:r>
        <w:t xml:space="preserve">. The document suite contains:</w:t>
      </w:r>
    </w:p>
    <w:p>
      <w:pPr>
        <w:pStyle w:val="Compact"/>
        <w:numPr>
          <w:ilvl w:val="0"/>
          <w:numId w:val="1002"/>
        </w:numPr>
      </w:pPr>
      <w:r>
        <w:t xml:space="preserve">0</w:t>
      </w:r>
      <w:r>
        <w:t xml:space="preserve"> </w:t>
      </w:r>
      <w:r>
        <w:rPr>
          <w:rStyle w:val="VerbatimChar"/>
        </w:rPr>
        <w:t xml:space="preserve">[V&amp;V-FAIL]</w:t>
      </w:r>
      <w:r>
        <w:t xml:space="preserve"> </w:t>
      </w:r>
      <w:r>
        <w:t xml:space="preserve">tags</w:t>
      </w:r>
    </w:p>
    <w:p>
      <w:pPr>
        <w:pStyle w:val="Compact"/>
        <w:numPr>
          <w:ilvl w:val="0"/>
          <w:numId w:val="1002"/>
        </w:numPr>
      </w:pPr>
      <w:r>
        <w:t xml:space="preserve">0</w:t>
      </w:r>
      <w:r>
        <w:t xml:space="preserve"> </w:t>
      </w:r>
      <w:r>
        <w:rPr>
          <w:rStyle w:val="VerbatimChar"/>
        </w:rPr>
        <w:t xml:space="preserve">[TRACE-GAP]</w:t>
      </w:r>
      <w:r>
        <w:t xml:space="preserve"> </w:t>
      </w:r>
      <w:r>
        <w:t xml:space="preserve">flags across 129 functional requirements</w:t>
      </w:r>
    </w:p>
    <w:p>
      <w:pPr>
        <w:pStyle w:val="Compact"/>
        <w:numPr>
          <w:ilvl w:val="0"/>
          <w:numId w:val="1002"/>
        </w:numPr>
      </w:pPr>
      <w:r>
        <w:t xml:space="preserve">0</w:t>
      </w:r>
      <w:r>
        <w:t xml:space="preserve"> </w:t>
      </w:r>
      <w:r>
        <w:rPr>
          <w:rStyle w:val="VerbatimChar"/>
        </w:rPr>
        <w:t xml:space="preserve">[SMART-FAIL]</w:t>
      </w:r>
      <w:r>
        <w:t xml:space="preserve"> </w:t>
      </w:r>
      <w:r>
        <w:t xml:space="preserve">tags — all NFRs carry measurable thresholds</w:t>
      </w:r>
    </w:p>
    <w:p>
      <w:pPr>
        <w:pStyle w:val="Compact"/>
        <w:numPr>
          <w:ilvl w:val="0"/>
          <w:numId w:val="1002"/>
        </w:numPr>
      </w:pPr>
      <w:r>
        <w:t xml:space="preserve">7</w:t>
      </w:r>
      <w:r>
        <w:t xml:space="preserve"> </w:t>
      </w:r>
      <w:r>
        <w:rPr>
          <w:rStyle w:val="VerbatimChar"/>
        </w:rPr>
        <w:t xml:space="preserve">[CONTEXT-GAP]</w:t>
      </w:r>
      <w:r>
        <w:t xml:space="preserve"> </w:t>
      </w:r>
      <w:r>
        <w:t xml:space="preserve">anomalies — all attributable to unresolved external dependencies, not to documentation defects</w:t>
      </w:r>
    </w:p>
    <w:p>
      <w:pPr>
        <w:pStyle w:val="FirstParagraph"/>
      </w:pPr>
      <w:r>
        <w:rPr>
          <w:b/>
          <w:bCs/>
        </w:rPr>
        <w:t xml:space="preserve">Documentation gate verdict: CONDITIONAL PASS</w:t>
      </w:r>
    </w:p>
    <w:bookmarkEnd w:id="36"/>
    <w:bookmarkStart w:id="37" w:name="X0f3fd8bd830e8e5329ba51ff116da4ef91563d4"/>
    <w:p>
      <w:pPr>
        <w:pStyle w:val="Heading3"/>
      </w:pPr>
      <w:r>
        <w:t xml:space="preserve">6.2 Conditions for Development Start</w:t>
      </w:r>
    </w:p>
    <w:p>
      <w:pPr>
        <w:pStyle w:val="FirstParagraph"/>
      </w:pPr>
      <w:r>
        <w:t xml:space="preserve">The following 3 conditions must be resolved before active development begins on the affected modules. Foundation work (authentication, RBAC, multi-tenant schema, offline sync framework) may proceed immediately.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GAP-001 resolved</w:t>
      </w:r>
      <w:r>
        <w:t xml:space="preserve"> </w:t>
      </w:r>
      <w:r>
        <w:t xml:space="preserve">— MTN MoMo Business API sandbox credentials obtained, or the POS payment module (FR-POS-012, FR-POS-013) stubbed with a documented</w:t>
      </w:r>
      <w:r>
        <w:t xml:space="preserve"> </w:t>
      </w:r>
      <w:r>
        <w:rPr>
          <w:rStyle w:val="VerbatimChar"/>
        </w:rPr>
        <w:t xml:space="preserve">[BLOCKED: GAP-001]</w:t>
      </w:r>
      <w:r>
        <w:t xml:space="preserve"> </w:t>
      </w:r>
      <w:r>
        <w:t xml:space="preserve">marker and a manual confirmation fallback.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GAP-002 resolved</w:t>
      </w:r>
      <w:r>
        <w:t xml:space="preserve"> </w:t>
      </w:r>
      <w:r>
        <w:t xml:space="preserve">— Uganda Data Protection and Privacy Act 2019 legal review completed, or all PII fields confirmed as compliant with Personal Data Protection Office interim guidance, with a signed acknowledgment from Peter.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GAP-008 resolved</w:t>
      </w:r>
      <w:r>
        <w:t xml:space="preserve"> </w:t>
      </w:r>
      <w:r>
        <w:t xml:space="preserve">— NSSF and PAYE computation logic verified by a qualified Uganda HR/payroll professional against current URA published rates before the payroll module (F-008) is released to users.</w:t>
      </w:r>
    </w:p>
    <w:bookmarkEnd w:id="37"/>
    <w:bookmarkStart w:id="38" w:name="X935932a47f17b41feefeefdea45df1ea72ca72b"/>
    <w:p>
      <w:pPr>
        <w:pStyle w:val="Heading3"/>
      </w:pPr>
      <w:r>
        <w:t xml:space="preserve">6.3 Recommended Development Sequence</w:t>
      </w:r>
    </w:p>
    <w:p>
      <w:pPr>
        <w:pStyle w:val="FirstParagraph"/>
      </w:pPr>
      <w:r>
        <w:t xml:space="preserve">Proceed immediately with Phase 1 foundation work while conditions above are resolved in parallel:</w:t>
      </w:r>
    </w:p>
    <w:p>
      <w:pPr>
        <w:pStyle w:val="Compact"/>
        <w:numPr>
          <w:ilvl w:val="0"/>
          <w:numId w:val="1004"/>
        </w:numPr>
      </w:pPr>
      <w:r>
        <w:t xml:space="preserve">Sprint 1–2: Multi-tenant schema, authentication, RBAC (FR-AUTH-xxx, FR-USER-xxx)</w:t>
      </w:r>
    </w:p>
    <w:p>
      <w:pPr>
        <w:pStyle w:val="Compact"/>
        <w:numPr>
          <w:ilvl w:val="0"/>
          <w:numId w:val="1004"/>
        </w:numPr>
      </w:pPr>
      <w:r>
        <w:t xml:space="preserve">Sprint 3–4: POS core flow — product discovery, cart, cash payment (FR-POS-001 to FR-POS-010, FR-POS-016 to FR-POS-020); hold mobile money integration until GAP-001 is closed</w:t>
      </w:r>
    </w:p>
    <w:p>
      <w:pPr>
        <w:pStyle w:val="Compact"/>
        <w:numPr>
          <w:ilvl w:val="0"/>
          <w:numId w:val="1004"/>
        </w:numPr>
      </w:pPr>
      <w:r>
        <w:t xml:space="preserve">Sprint 5–6: Inventory management (F-003), Customer Accounts (F-002)</w:t>
      </w:r>
    </w:p>
    <w:p>
      <w:pPr>
        <w:pStyle w:val="Compact"/>
        <w:numPr>
          <w:ilvl w:val="0"/>
          <w:numId w:val="1004"/>
        </w:numPr>
      </w:pPr>
      <w:r>
        <w:t xml:space="preserve">Sprint 7–8: Purchase Orders (F-004), Expense Tracking (F-005), Financial Accounts (F-006)</w:t>
      </w:r>
    </w:p>
    <w:p>
      <w:pPr>
        <w:pStyle w:val="Compact"/>
        <w:numPr>
          <w:ilvl w:val="0"/>
          <w:numId w:val="1004"/>
        </w:numPr>
      </w:pPr>
      <w:r>
        <w:t xml:space="preserve">Sprint 9–10: Sales Reporting (F-007), Dashboard (F-010)</w:t>
      </w:r>
    </w:p>
    <w:p>
      <w:pPr>
        <w:pStyle w:val="Compact"/>
        <w:numPr>
          <w:ilvl w:val="0"/>
          <w:numId w:val="1004"/>
        </w:numPr>
      </w:pPr>
      <w:r>
        <w:t xml:space="preserve">Sprint 11–12: HR and Payroll (F-008, conditional on GAP-008), Staff and Access Control (F-009)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X55a1309291fc50c62d94cf49f169f08902c7bbf"/>
    <w:p>
      <w:pPr>
        <w:pStyle w:val="Heading2"/>
      </w:pPr>
      <w:r>
        <w:t xml:space="preserve">7. Recommendations</w:t>
      </w:r>
    </w:p>
    <w:p>
      <w:pPr>
        <w:pStyle w:val="FirstParagraph"/>
      </w:pPr>
      <w:r>
        <w:t xml:space="preserve">The following actions are recommended, in priority order, to close open anomalies and unblock Phase 1 development.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Before Sprint 3 (POS development):</w:t>
      </w:r>
      <w:r>
        <w:t xml:space="preserve"> </w:t>
      </w:r>
      <w:r>
        <w:t xml:space="preserve">Resolve anomaly A-005 by confirming the MTN MoMo Business API callback endpoint URL and payload schema. If GAP-001 sandbox credentials have not arrived, document the manual fallback flow in the API Specification before POS sprint planning begins.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Before Sprint 3 (POS development):</w:t>
      </w:r>
      <w:r>
        <w:t xml:space="preserve"> </w:t>
      </w:r>
      <w:r>
        <w:t xml:space="preserve">Resolve anomaly A-007 by documenting the PWA offline storage strategy (IndexedDB + Service Worker sync queue, or equivalent) in a named design decision record. DC-003 mandates offline-first for both Android and web; this gap must not enter development unresolved.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Before database migration scripts are authored:</w:t>
      </w:r>
      <w:r>
        <w:t xml:space="preserve"> </w:t>
      </w:r>
      <w:r>
        <w:t xml:space="preserve">Resolve anomaly A-003 by documenting the MySQL collation policy in</w:t>
      </w:r>
      <w:r>
        <w:t xml:space="preserve"> </w:t>
      </w:r>
      <w:r>
        <w:rPr>
          <w:rStyle w:val="VerbatimChar"/>
        </w:rPr>
        <w:t xml:space="preserve">_context/tech_stack.md</w:t>
      </w:r>
      <w:r>
        <w:t xml:space="preserve">. The recommended policy is</w:t>
      </w:r>
      <w:r>
        <w:t xml:space="preserve"> </w:t>
      </w:r>
      <w:r>
        <w:rPr>
          <w:rStyle w:val="VerbatimChar"/>
        </w:rPr>
        <w:t xml:space="preserve">utf8mb4_unicode_ci</w:t>
      </w:r>
      <w:r>
        <w:t xml:space="preserve"> </w:t>
      </w:r>
      <w:r>
        <w:t xml:space="preserve">for all text columns to support multilingual and emoji-safe storage across all African market deployments.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Immediately:</w:t>
      </w:r>
      <w:r>
        <w:t xml:space="preserve"> </w:t>
      </w:r>
      <w:r>
        <w:t xml:space="preserve">Commission Uganda DPA 2019 registration and privacy policy drafting (GAP-002). This is a Critical-severity dependency that blocks Phase 1 general availability. Legal review lead time may exceed sprint duration.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Within 2 weeks of this report:</w:t>
      </w:r>
      <w:r>
        <w:t xml:space="preserve"> </w:t>
      </w:r>
      <w:r>
        <w:t xml:space="preserve">Schedule a review of this audit report with all project stakeholders. Assign explicit resolution owners and target dates for all 7 open anomalies and all High/Critical open GAPs. Record the review outcome in</w:t>
      </w:r>
      <w:r>
        <w:t xml:space="preserve"> </w:t>
      </w:r>
      <w:r>
        <w:rPr>
          <w:rStyle w:val="VerbatimChar"/>
        </w:rPr>
        <w:t xml:space="preserve">_context/quality-log.md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Before F-008 development begins:</w:t>
      </w:r>
      <w:r>
        <w:t xml:space="preserve"> </w:t>
      </w:r>
      <w:r>
        <w:t xml:space="preserve">Engage a Uganda HR/payroll professional to verify NSSF and PAYE computation logic (GAP-008). Do not release the payroll module to users without this sign-off. Add the mandatory disclaimer specified in RISK-007 contingency to every generated payslip until the review is complete.</w:t>
      </w:r>
    </w:p>
    <w:p>
      <w:r>
        <w:pict>
          <v:rect style="width:0;height:1.5pt" o:hralign="center" o:hrstd="t" o:hr="t"/>
        </w:pict>
      </w:r>
    </w:p>
    <w:bookmarkEnd w:id="40"/>
    <w:bookmarkStart w:id="41" w:name="X37710cbbd89c634ae9432286c92abc9e243e4d3"/>
    <w:p>
      <w:pPr>
        <w:pStyle w:val="Heading2"/>
      </w:pPr>
      <w:r>
        <w:t xml:space="preserve">8. Audit Sign-Off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Auditor (SRS-Skills Engine)</w:t>
            </w:r>
          </w:p>
        </w:tc>
        <w:tc>
          <w:tcPr/>
          <w:p>
            <w:pPr>
              <w:pStyle w:val="Compact"/>
            </w:pPr>
            <w:r>
              <w:t xml:space="preserve">Chwezi Core Systems</w:t>
            </w:r>
          </w:p>
        </w:tc>
        <w:tc>
          <w:tcPr/>
          <w:p>
            <w:pPr>
              <w:pStyle w:val="Compact"/>
            </w:pPr>
            <w:r>
              <w:t xml:space="preserve">2026-04-05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[Auto-generated — no wet signature required]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Owner</w:t>
            </w:r>
          </w:p>
        </w:tc>
        <w:tc>
          <w:tcPr/>
          <w:p>
            <w:pPr>
              <w:pStyle w:val="Compact"/>
            </w:pPr>
            <w:r>
              <w:t xml:space="preserve">Peter Bamuhigire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[Pending]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 Developer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[Pending]</w:t>
            </w:r>
          </w:p>
        </w:tc>
      </w:tr>
    </w:tbl>
    <w:p>
      <w:pPr>
        <w:pStyle w:val="BodyText"/>
      </w:pPr>
      <w:r>
        <w:rPr>
          <w:i/>
          <w:iCs/>
        </w:rPr>
        <w:t xml:space="preserve">This audit report is issued under the authority of IEEE 1012-2016. The findings recorded herein constitute the baseline verification record for Maduuka Phase 1. No downstream skill execution or development sprint planning resumes until the Project Owner acknowledges this report.</w:t>
      </w:r>
    </w:p>
    <w:bookmarkEnd w:id="41"/>
    <w:bookmarkEnd w:id="42"/>
    <w:sectPr w:rsidR="00FC693F" w:rsidRPr="0006063C" w:rsidSect="00034616">
      <w:footerReference r:id="rId9" w:type="default"/>
      <w:headerReference r:id="rId10" w:type="default"/>
      <w:pgSz w:h="16838" w:w="11906"/>
      <w:pgMar w:bottom="1134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rFonts w:ascii="Calibri" w:hAnsi="Calibri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4" w:color="CCCCCC"/>
      </w:pBdr>
    </w:pPr>
    <w:r>
      <w:rPr>
        <w:rFonts w:ascii="Calibri" w:hAnsi="Calibri"/>
        <w:color w:val="595959"/>
        <w:sz w:val="18"/>
      </w:rPr>
      <w:fldChar w:fldCharType="begin"/>
      <w:instrText xml:space="preserve"> TITLE </w:instrText>
      <w:fldChar w:fldCharType="separate"/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Lines/>
      <w:widowControl/>
      <w:spacing w:after="120" w:before="0" w:line="276" w:lineRule="auto"/>
    </w:pPr>
    <w:rPr>
      <w:rFonts w:ascii="Calibri" w:hAnsi="Calibri"/>
      <w:color w:val="2626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400"/>
      <w:outlineLvl w:val="0"/>
      <w:pBdr>
        <w:left w:color="1F3864" w:space="8" w:sz="18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5D8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4472C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6262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40" w:lineRule="auto"/>
      <w:contextualSpacing/>
      <w:jc w:val="left"/>
    </w:pPr>
    <w:rPr>
      <w:rFonts w:ascii="Calibri Light" w:asciiTheme="majorHAnsi" w:cstheme="majorBidi" w:eastAsiaTheme="majorEastAsia" w:hAnsi="Calibri Light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before="0"/>
    </w:pPr>
    <w:rPr>
      <w:rFonts w:ascii="Calibri" w:asciiTheme="majorHAnsi" w:cstheme="majorBidi" w:eastAsiaTheme="majorEastAsia" w:hAnsi="Calibri" w:hAnsiTheme="majorHAnsi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</w:pPr>
    <w:rPr>
      <w:rFonts w:ascii="Calibri" w:hAnsi="Calibri"/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ind w:firstLine="0"/>
    </w:pPr>
  </w:style>
  <w:style w:customStyle="1" w:styleId="VerbatimChar" w:type="character">
    <w:name w:val="Verbatim Char"/>
    <w:rPr>
      <w:rFonts w:ascii="Consolas" w:hAnsi="Consolas"/>
      <w:color w:val="1A1A1A"/>
      <w:sz w:val="19"/>
    </w:rPr>
  </w:style>
  <w:style w:customStyle="1" w:styleId="Verbatim" w:type="paragraph">
    <w:name w:val="Verbatim"/>
    <w:pPr>
      <w:spacing w:after="80" w:before="80"/>
    </w:pPr>
    <w:rPr>
      <w:rFonts w:ascii="Consolas" w:hAnsi="Consolas"/>
      <w:color w:val="1A1A1A"/>
      <w:sz w:val="19"/>
    </w:r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1A1A1A"/>
      <w:sz w:val="19"/>
    </w:rPr>
  </w:style>
  <w:style w:customStyle="1" w:styleId="BlockText" w:type="paragraph">
    <w:name w:val="Block Text"/>
    <w:pPr>
      <w:spacing w:after="120" w:before="120"/>
      <w:ind w:left="567" w:right="567"/>
    </w:pPr>
    <w:rPr>
      <w:rFonts w:ascii="Calibri" w:hAnsi="Calibri"/>
      <w:i/>
      <w:color w:val="595959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 Documentation Audit Report — Maduuka Phase 1</dc:title>
  <dc:creator/>
  <cp:keywords/>
  <dcterms:created xsi:type="dcterms:W3CDTF">2026-04-05T14:28:55Z</dcterms:created>
  <dcterms:modified xsi:type="dcterms:W3CDTF">2026-04-05T14:28:55Z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t-date">
    <vt:lpwstr>2026-04-05</vt:lpwstr>
  </property>
  <property fmtid="{D5CDD505-2E9C-101B-9397-08002B2CF9AE}" pid="3" name="auditor">
    <vt:lpwstr>Chwezi Core Systems (SRS-Skills Engine)</vt:lpwstr>
  </property>
  <property fmtid="{D5CDD505-2E9C-101B-9397-08002B2CF9AE}" pid="4" name="project">
    <vt:lpwstr>Maduuka</vt:lpwstr>
  </property>
  <property fmtid="{D5CDD505-2E9C-101B-9397-08002B2CF9AE}" pid="5" name="standard">
    <vt:lpwstr>IEEE 1012-2016, IEEE 830-1998</vt:lpwstr>
  </property>
  <property fmtid="{D5CDD505-2E9C-101B-9397-08002B2CF9AE}" pid="6" name="status">
    <vt:lpwstr>Final</vt:lpwstr>
  </property>
  <property fmtid="{D5CDD505-2E9C-101B-9397-08002B2CF9AE}" pid="7" name="version">
    <vt:lpwstr>1.0</vt:lpwstr>
  </property>
</Properties>
</file>