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audit-report-template----medic8"/>
    <w:p>
      <w:pPr>
        <w:pStyle w:val="Heading1"/>
      </w:pPr>
      <w:r>
        <w:t xml:space="preserve">Audit Report Template -- Medic8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Medic8-AUD-[SEQUENCE]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[VERSION]</w:t>
      </w:r>
      <w:r>
        <w:t xml:space="preserve"> </w:t>
      </w:r>
      <w:r>
        <w:rPr>
          <w:b/>
          <w:bCs/>
        </w:rPr>
        <w:t xml:space="preserve">Standards:</w:t>
      </w:r>
      <w:r>
        <w:t xml:space="preserve"> </w:t>
      </w:r>
      <w:r>
        <w:t xml:space="preserve">IEEE 1012-2016 (V&amp;V), ISO/IEC 15504 (Process Assessment), Uganda PDPA 2019</w:t>
      </w:r>
    </w:p>
    <w:p>
      <w:r>
        <w:pict>
          <v:rect style="width:0;height:1.5pt" o:hralign="center" o:hrstd="t" o:hr="t"/>
        </w:pict>
      </w:r>
    </w:p>
    <w:bookmarkStart w:id="9" w:name="X4f4204f712b1cd88f139f6540ad9e67b4bdeb48"/>
    <w:p>
      <w:pPr>
        <w:pStyle w:val="Heading2"/>
      </w:pPr>
      <w:r>
        <w:t xml:space="preserve">1. Audit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Medic8 -- Multi-Tenant Healthcare Management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[Phase number and name, e.g., "Phase 1 -- Core Clinical Platform"]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Type</w:t>
            </w:r>
          </w:p>
        </w:tc>
        <w:tc>
          <w:tcPr/>
          <w:p>
            <w:pPr>
              <w:pStyle w:val="Compact"/>
            </w:pPr>
            <w:r>
              <w:t xml:space="preserve">[Requirements / Design / Code / Security / Clinical Safety / Compliance / Data Protection]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ID</w:t>
            </w:r>
          </w:p>
        </w:tc>
        <w:tc>
          <w:tcPr/>
          <w:p>
            <w:pPr>
              <w:pStyle w:val="Compact"/>
            </w:pPr>
            <w:r>
              <w:t xml:space="preserve">AUD-[PHASE]-[TYPE]-[SEQUENCE], e.g., AUD-P1-REQ-001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[Name, role, and organisation]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Date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Period</w:t>
            </w:r>
          </w:p>
        </w:tc>
        <w:tc>
          <w:tcPr/>
          <w:p>
            <w:pPr>
              <w:pStyle w:val="Compact"/>
            </w:pPr>
            <w:r>
              <w:t xml:space="preserve">[Start date] to [End 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Date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[List of recipients]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-- contains references to patient health information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 Level</w:t>
            </w:r>
          </w:p>
        </w:tc>
        <w:tc>
          <w:tcPr/>
          <w:p>
            <w:pPr>
              <w:pStyle w:val="Compact"/>
            </w:pPr>
            <w:r>
              <w:t xml:space="preserve">[IL-1 / IL-2 / IL-3 / IL-4 per IEEE 1012-2016 Table 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b66d8751654b4b3bfdfa8df98730d37eb4be826"/>
    <w:p>
      <w:pPr>
        <w:pStyle w:val="Heading2"/>
      </w:pPr>
      <w:r>
        <w:t xml:space="preserve">2. Scope</w:t>
      </w:r>
    </w:p>
    <w:bookmarkStart w:id="10" w:name="X53949d39937ab8eb524d7d1b6ad58e267e703be"/>
    <w:p>
      <w:pPr>
        <w:pStyle w:val="Heading3"/>
      </w:pPr>
      <w:r>
        <w:t xml:space="preserve">2.1 Artifacts Audited</w:t>
      </w:r>
    </w:p>
    <w:p>
      <w:pPr>
        <w:pStyle w:val="FirstParagraph"/>
      </w:pPr>
      <w:r>
        <w:t xml:space="preserve">List all documents and artifacts reviewed during this audit: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[e.g., Software Requirements Specification]</w:t>
            </w:r>
          </w:p>
        </w:tc>
        <w:tc>
          <w:tcPr/>
          <w:p>
            <w:pPr>
              <w:pStyle w:val="Compact"/>
            </w:pPr>
            <w:r>
              <w:t xml:space="preserve">[e.g., 1.0]</w:t>
            </w:r>
          </w:p>
        </w:tc>
        <w:tc>
          <w:tcPr/>
          <w:p>
            <w:pPr>
              <w:pStyle w:val="Compact"/>
            </w:pPr>
            <w:r>
              <w:t xml:space="preserve">[e.g.,</w:t>
            </w:r>
            <w:r>
              <w:t xml:space="preserve"> </w:t>
            </w:r>
            <w:r>
              <w:rPr>
                <w:rStyle w:val="VerbatimChar"/>
              </w:rPr>
              <w:t xml:space="preserve">02-requirements-engineering/01-srs/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[e.g., High-Level Design Document]</w:t>
            </w:r>
          </w:p>
        </w:tc>
        <w:tc>
          <w:tcPr/>
          <w:p>
            <w:pPr>
              <w:pStyle w:val="Compact"/>
            </w:pPr>
            <w:r>
              <w:t xml:space="preserve">[e.g., 1.0]</w:t>
            </w:r>
          </w:p>
        </w:tc>
        <w:tc>
          <w:tcPr/>
          <w:p>
            <w:pPr>
              <w:pStyle w:val="Compact"/>
            </w:pPr>
            <w:r>
              <w:t xml:space="preserve">[e.g.,</w:t>
            </w:r>
            <w:r>
              <w:t xml:space="preserve"> </w:t>
            </w:r>
            <w:r>
              <w:rPr>
                <w:rStyle w:val="VerbatimChar"/>
              </w:rPr>
              <w:t xml:space="preserve">03-design-documentation/01-hld/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[e.g., Entity-Relationship Diagram]</w:t>
            </w:r>
          </w:p>
        </w:tc>
        <w:tc>
          <w:tcPr/>
          <w:p>
            <w:pPr>
              <w:pStyle w:val="Compact"/>
            </w:pPr>
            <w:r>
              <w:t xml:space="preserve">[e.g., 1.0]</w:t>
            </w:r>
          </w:p>
        </w:tc>
        <w:tc>
          <w:tcPr/>
          <w:p>
            <w:pPr>
              <w:pStyle w:val="Compact"/>
            </w:pPr>
            <w:r>
              <w:t xml:space="preserve">[e.g.,</w:t>
            </w:r>
            <w:r>
              <w:t xml:space="preserve"> </w:t>
            </w:r>
            <w:r>
              <w:rPr>
                <w:rStyle w:val="VerbatimChar"/>
              </w:rPr>
              <w:t xml:space="preserve">03-design-documentation/04-database-design/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[Continue for all audited artifacts]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Xbca6e61457d14b51830779737ec46c841b6f842"/>
    <w:p>
      <w:pPr>
        <w:pStyle w:val="Heading3"/>
      </w:pPr>
      <w:r>
        <w:t xml:space="preserve">2.2 Standards Applied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Scope of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830-1998</w:t>
            </w:r>
          </w:p>
        </w:tc>
        <w:tc>
          <w:tcPr/>
          <w:p>
            <w:pPr>
              <w:pStyle w:val="Compact"/>
            </w:pPr>
            <w:r>
              <w:t xml:space="preserve">SRS structure and requirement quality (correctness, unambiguity, completeness, verifiability)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1012-2016</w:t>
            </w:r>
          </w:p>
        </w:tc>
        <w:tc>
          <w:tcPr/>
          <w:p>
            <w:pPr>
              <w:pStyle w:val="Compact"/>
            </w:pPr>
            <w:r>
              <w:t xml:space="preserve">Verification and validation processes, integrity levels, anomaly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29148-2018</w:t>
            </w:r>
          </w:p>
        </w:tc>
        <w:tc>
          <w:tcPr/>
          <w:p>
            <w:pPr>
              <w:pStyle w:val="Compact"/>
            </w:pPr>
            <w:r>
              <w:t xml:space="preserve">Requirements engineering life cycle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Uganda PDPA 2019</w:t>
            </w:r>
          </w:p>
        </w:tc>
        <w:tc>
          <w:tcPr/>
          <w:p>
            <w:pPr>
              <w:pStyle w:val="Compact"/>
            </w:pPr>
            <w:r>
              <w:t xml:space="preserve">Data protection compliance for patient health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HIV/AIDS Prevention and Control Act 2014</w:t>
            </w:r>
          </w:p>
        </w:tc>
        <w:tc>
          <w:tcPr/>
          <w:p>
            <w:pPr>
              <w:pStyle w:val="Compact"/>
            </w:pPr>
            <w:r>
              <w:t xml:space="preserve">Mandatory confidentiality of HIV test results (Section 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Uganda MoH HMIS Standards</w:t>
            </w:r>
          </w:p>
        </w:tc>
        <w:tc>
          <w:tcPr/>
          <w:p>
            <w:pPr>
              <w:pStyle w:val="Compact"/>
            </w:pPr>
            <w:r>
              <w:t xml:space="preserve">HMIS 105, HMIS 108, HMIS 033b reporting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FHIR R4</w:t>
            </w:r>
          </w:p>
        </w:tc>
        <w:tc>
          <w:tcPr/>
          <w:p>
            <w:pPr>
              <w:pStyle w:val="Compact"/>
            </w:pPr>
            <w:r>
              <w:t xml:space="preserve">Interoperability standard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31000</w:t>
            </w:r>
          </w:p>
        </w:tc>
        <w:tc>
          <w:tcPr/>
          <w:p>
            <w:pPr>
              <w:pStyle w:val="Compact"/>
            </w:pPr>
            <w:r>
              <w:t xml:space="preserve">Risk management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15504</w:t>
            </w:r>
          </w:p>
        </w:tc>
        <w:tc>
          <w:tcPr/>
          <w:p>
            <w:pPr>
              <w:pStyle w:val="Compact"/>
            </w:pPr>
            <w:r>
              <w:t xml:space="preserve">Process assessment model for audit artifact traceability</w:t>
            </w:r>
          </w:p>
        </w:tc>
      </w:tr>
    </w:tbl>
    <w:bookmarkEnd w:id="11"/>
    <w:bookmarkStart w:id="12" w:name="X7e251872d929f37bfad47cf99fe3fe7206a94b5"/>
    <w:p>
      <w:pPr>
        <w:pStyle w:val="Heading3"/>
      </w:pPr>
      <w:r>
        <w:t xml:space="preserve">2.3 Out of Scope</w:t>
      </w:r>
    </w:p>
    <w:p>
      <w:pPr>
        <w:pStyle w:val="FirstParagraph"/>
      </w:pPr>
      <w:r>
        <w:t xml:space="preserve">List any artifacts, modules, or standards explicitly excluded from this audit and the reason for exclusion:</w:t>
      </w:r>
    </w:p>
    <w:p>
      <w:pPr>
        <w:pStyle w:val="Compact"/>
        <w:numPr>
          <w:ilvl w:val="0"/>
          <w:numId w:val="1001"/>
        </w:numPr>
      </w:pPr>
      <w:r>
        <w:t xml:space="preserve">[e.g., "Phase 2-4 requirements -- not yet elaborated"]</w:t>
      </w:r>
    </w:p>
    <w:p>
      <w:pPr>
        <w:pStyle w:val="Compact"/>
        <w:numPr>
          <w:ilvl w:val="0"/>
          <w:numId w:val="1001"/>
        </w:numPr>
      </w:pPr>
      <w:r>
        <w:t xml:space="preserve">[e.g., "Third-party library source code -- covered by dependency audit"]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d3ddf18c7c1d1ebb53583fc7764c0d560d89e2b"/>
    <w:p>
      <w:pPr>
        <w:pStyle w:val="Heading2"/>
      </w:pPr>
      <w:r>
        <w:t xml:space="preserve">3. Findings</w:t>
      </w:r>
    </w:p>
    <w:bookmarkStart w:id="14" w:name="Xc8bdb4ab9ba4fc3f78dbd9309e8263c1e7ca710"/>
    <w:p>
      <w:pPr>
        <w:pStyle w:val="Heading3"/>
      </w:pPr>
      <w:r>
        <w:t xml:space="preserve">3.1 Findings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[count]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[count]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[count]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[count]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[count]</w:t>
            </w:r>
          </w:p>
        </w:tc>
      </w:tr>
    </w:tbl>
    <w:bookmarkEnd w:id="14"/>
    <w:bookmarkStart w:id="15" w:name="X41f16cdab714876631b74c35daf34ee67f88568"/>
    <w:p>
      <w:pPr>
        <w:pStyle w:val="Heading3"/>
      </w:pPr>
      <w:r>
        <w:t xml:space="preserve">3.2 Findings Detail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 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Affected Artifact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F-[AUD-ID]-001</w:t>
            </w:r>
          </w:p>
        </w:tc>
        <w:tc>
          <w:tcPr/>
          <w:p>
            <w:pPr>
              <w:pStyle w:val="Compact"/>
            </w:pPr>
            <w:r>
              <w:t xml:space="preserve">Critical / Major / Minor / Observation</w:t>
            </w:r>
          </w:p>
        </w:tc>
        <w:tc>
          <w:tcPr/>
          <w:p>
            <w:pPr>
              <w:pStyle w:val="Compact"/>
            </w:pPr>
            <w:r>
              <w:t xml:space="preserve">Correctness / Consistency / Completeness / Verifiability / Traceability / Compliance</w:t>
            </w:r>
          </w:p>
        </w:tc>
        <w:tc>
          <w:tcPr/>
          <w:p>
            <w:pPr>
              <w:pStyle w:val="Compact"/>
            </w:pPr>
            <w:r>
              <w:t xml:space="preserve">[Clear description of the finding. State what was expected per the applicable standard and what was observed.]</w:t>
            </w:r>
          </w:p>
        </w:tc>
        <w:tc>
          <w:tcPr/>
          <w:p>
            <w:pPr>
              <w:pStyle w:val="Compact"/>
            </w:pPr>
            <w:r>
              <w:t xml:space="preserve">[Document name, section, and requirement ID]</w:t>
            </w:r>
          </w:p>
        </w:tc>
        <w:tc>
          <w:tcPr/>
          <w:p>
            <w:pPr>
              <w:pStyle w:val="Compact"/>
            </w:pPr>
            <w:r>
              <w:t xml:space="preserve">[Specific, actionable recommendation with a measurable completion criterion]</w:t>
            </w:r>
          </w:p>
        </w:tc>
        <w:tc>
          <w:tcPr/>
          <w:p>
            <w:pPr>
              <w:pStyle w:val="Compact"/>
            </w:pPr>
            <w:r>
              <w:t xml:space="preserve">Open / In Progress / Resolved /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F-[AUD-ID]-002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F-[AUD-ID]-003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Severity definitions: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Requirement or design defect that, if unresolved, would result in patient harm, data breach, regulatory violation, or system failure. Blocks release.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Defect that materially reduces system quality, creates a traceability gap, or violates a binding standard. Must be resolved before the phase gate.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Defect that does not materially affect system correctness or safety but should be corrected to maintain document quality.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Suggestion for improvement that does not constitute a defect. No mandatory action required.</w:t>
      </w:r>
    </w:p>
    <w:p>
      <w:pPr>
        <w:pStyle w:val="FirstParagraph"/>
      </w:pPr>
      <w:r>
        <w:rPr>
          <w:b/>
          <w:bCs/>
        </w:rPr>
        <w:t xml:space="preserve">Category definitions: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Correctness:</w:t>
      </w:r>
      <w:r>
        <w:t xml:space="preserve"> </w:t>
      </w:r>
      <w:r>
        <w:t xml:space="preserve">Artifact does not match stakeholder intent documented in</w:t>
      </w:r>
      <w:r>
        <w:t xml:space="preserve"> </w:t>
      </w:r>
      <w:r>
        <w:rPr>
          <w:rStyle w:val="VerbatimChar"/>
        </w:rPr>
        <w:t xml:space="preserve">_context/vision.md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Terminology, identifiers, or logical structure conflict between sections or documents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Missing requirement, missing test case, missing design mapping, or missing context file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Verifiability:</w:t>
      </w:r>
      <w:r>
        <w:t xml:space="preserve"> </w:t>
      </w:r>
      <w:r>
        <w:t xml:space="preserve">Requirement or test case does not provide a deterministic pass/fail criterion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Traceability:</w:t>
      </w:r>
      <w:r>
        <w:t xml:space="preserve"> </w:t>
      </w:r>
      <w:r>
        <w:t xml:space="preserve">Requirement cannot be traced forward to design/test or backward to business goal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Artifact violates a regulatory requirement (PDPA, HIV Act, HMIS, FHIR)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6a6c1a6eb93fcb3443085fab733bc87167ea609"/>
    <w:p>
      <w:pPr>
        <w:pStyle w:val="Heading2"/>
      </w:pPr>
      <w:r>
        <w:t xml:space="preserve">4. V&amp;V Assessment</w:t>
      </w:r>
    </w:p>
    <w:bookmarkStart w:id="17" w:name="Xd6575e258041ee405188d6eef70edff89e79dc1"/>
    <w:p>
      <w:pPr>
        <w:pStyle w:val="Heading3"/>
      </w:pPr>
      <w:r>
        <w:t xml:space="preserve">4.1 Correctness</w:t>
      </w:r>
    </w:p>
    <w:p>
      <w:pPr>
        <w:pStyle w:val="FirstParagraph"/>
      </w:pPr>
      <w:r>
        <w:t xml:space="preserve">Does the artifact accurately reflect stakeholder intent as documented in</w:t>
      </w:r>
      <w:r>
        <w:t xml:space="preserve"> </w:t>
      </w:r>
      <w:r>
        <w:rPr>
          <w:rStyle w:val="VerbatimChar"/>
        </w:rPr>
        <w:t xml:space="preserve">_context/vision.md</w:t>
      </w:r>
      <w:r>
        <w:t xml:space="preserve">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 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goals alignment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[Reference specific vision.md goals and how they map to the audited artifact]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role coverage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[Confirm all 18 roles from stakeholders.md are addressed where applicable]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constraint adherence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[Confirm domain.md regulatory requirements are reflected]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workflow accuracy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[Confirm business rules from business_rules.md are correctly implemented]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Correctness verdict:</w:t>
      </w:r>
      <w:r>
        <w:t xml:space="preserve"> </w:t>
      </w:r>
      <w:r>
        <w:t xml:space="preserve">[Pass / Conditional Pass / Fail]</w:t>
      </w:r>
    </w:p>
    <w:bookmarkEnd w:id="17"/>
    <w:bookmarkStart w:id="18" w:name="Xf30313f7b95747a2ba78edcf5225ceae965ed95"/>
    <w:p>
      <w:pPr>
        <w:pStyle w:val="Heading3"/>
      </w:pPr>
      <w:r>
        <w:t xml:space="preserve">4.2 Consistency</w:t>
      </w:r>
    </w:p>
    <w:p>
      <w:pPr>
        <w:pStyle w:val="FirstParagraph"/>
      </w:pPr>
      <w:r>
        <w:t xml:space="preserve">Is terminology uniform across sections and documents?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 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consistency (FR/NFR IDs)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no duplicate or skipped IDs]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Terminology uniformity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glossary terms used consistently]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Cross-document alignment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SRS Section 3.1 aligns with Section 3.2, HLD aligns with LLD]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 cross-references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BR-xxx references are valid and bidirectional]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Consistency verdict:</w:t>
      </w:r>
      <w:r>
        <w:t xml:space="preserve"> </w:t>
      </w:r>
      <w:r>
        <w:t xml:space="preserve">[Pass / Conditional Pass / Fail]</w:t>
      </w:r>
    </w:p>
    <w:bookmarkEnd w:id="18"/>
    <w:bookmarkStart w:id="19" w:name="Xbff04c0fc9051850da7d61cb7a7d619524a3a1e"/>
    <w:p>
      <w:pPr>
        <w:pStyle w:val="Heading3"/>
      </w:pPr>
      <w:r>
        <w:t xml:space="preserve">4.3 Completeness</w:t>
      </w:r>
    </w:p>
    <w:p>
      <w:pPr>
        <w:pStyle w:val="FirstParagraph"/>
      </w:pPr>
      <w:r>
        <w:t xml:space="preserve">Does every context file gap have a corresponding requirement? Does every requirement have all required elements?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 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analysis coverage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[Cross-reference gap-analysis.md HIGH-001 through HIGH-007 against requirements]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element completeness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each FR has: ID, stimulus, response, inputs, outputs, business rule ref, verifiability]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metric completeness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each NFR has a measurable threshold, not vague adjectives]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 coverage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context file edge cases have corresponding FRs]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Completeness verdict:</w:t>
      </w:r>
      <w:r>
        <w:t xml:space="preserve"> </w:t>
      </w:r>
      <w:r>
        <w:t xml:space="preserve">[Pass / Conditional Pass / Fail]</w:t>
      </w:r>
    </w:p>
    <w:bookmarkEnd w:id="19"/>
    <w:bookmarkStart w:id="20" w:name="X3cbcb2ddb52d1fdc9d25872bef7956ce927bcf6"/>
    <w:p>
      <w:pPr>
        <w:pStyle w:val="Heading3"/>
      </w:pPr>
      <w:r>
        <w:t xml:space="preserve">4.4 Verifiability</w:t>
      </w:r>
    </w:p>
    <w:p>
      <w:pPr>
        <w:pStyle w:val="FirstParagraph"/>
      </w:pPr>
      <w:r>
        <w:t xml:space="preserve">Does every requirement have a deterministic test case with a clear pass/fail criterion?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 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test oracle quality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[Sample 10 FRs; verify each has deterministic expected result]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measurement criterion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each NFR has a numeric threshold or observable outcome]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traceability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RTM links every requirement to at least 1 test case]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condition coverage</w:t>
            </w:r>
          </w:p>
        </w:tc>
        <w:tc>
          <w:tcPr/>
          <w:p>
            <w:pPr>
              <w:pStyle w:val="Compact"/>
            </w:pPr>
            <w:r>
              <w:t xml:space="preserve">[Pass / Fail / Partial]</w:t>
            </w:r>
          </w:p>
        </w:tc>
        <w:tc>
          <w:tcPr/>
          <w:p>
            <w:pPr>
              <w:pStyle w:val="Compact"/>
            </w:pPr>
            <w:r>
              <w:t xml:space="preserve">[Verify edge cases have explicit test cases]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Verifiability verdict:</w:t>
      </w:r>
      <w:r>
        <w:t xml:space="preserve"> </w:t>
      </w:r>
      <w:r>
        <w:t xml:space="preserve">[Pass / Conditional Pass / Fail]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2fd99b30e1832af9a557de6288b74b8fc8b3ff9"/>
    <w:p>
      <w:pPr>
        <w:pStyle w:val="Heading2"/>
      </w:pPr>
      <w:r>
        <w:t xml:space="preserve">5. Anomaly Identification</w:t>
      </w:r>
    </w:p>
    <w:p>
      <w:pPr>
        <w:pStyle w:val="FirstParagraph"/>
      </w:pPr>
      <w:r>
        <w:t xml:space="preserve">Per IEEE 1012-2016 Section 9.3, all anomalies discovered during the audit are recorded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Anomaly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A-[AUD-ID]-001</w:t>
            </w:r>
          </w:p>
        </w:tc>
        <w:tc>
          <w:tcPr/>
          <w:p>
            <w:pPr>
              <w:pStyle w:val="Compact"/>
            </w:pPr>
            <w:r>
              <w:t xml:space="preserve">[CONTEXT-GAP / GLOSSARY-GAP / V&amp;V-FAIL / TRACE-GAP / SMART-FAIL / VERIFIABILITY-FAIL]</w:t>
            </w:r>
          </w:p>
        </w:tc>
        <w:tc>
          <w:tcPr/>
          <w:p>
            <w:pPr>
              <w:pStyle w:val="Compact"/>
            </w:pPr>
            <w:r>
              <w:t xml:space="preserve">[Description of the anomaly, including what was expected and what was found]</w:t>
            </w:r>
          </w:p>
        </w:tc>
        <w:tc>
          <w:tcPr/>
          <w:p>
            <w:pPr>
              <w:pStyle w:val="Compact"/>
            </w:pPr>
            <w:r>
              <w:t xml:space="preserve">[Required corrective action]</w:t>
            </w:r>
          </w:p>
        </w:tc>
        <w:tc>
          <w:tcPr/>
          <w:p>
            <w:pPr>
              <w:pStyle w:val="Compact"/>
            </w:pPr>
            <w:r>
              <w:t xml:space="preserve">[Person responsible]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A-[AUD-ID]-002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A-[AUD-ID]-003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Anomaly type definitions: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[CONTEXT-GAP]</w:t>
      </w:r>
      <w:r>
        <w:t xml:space="preserve"> </w:t>
      </w:r>
      <w:r>
        <w:t xml:space="preserve">-- required context is absent from</w:t>
      </w:r>
      <w:r>
        <w:t xml:space="preserve"> </w:t>
      </w:r>
      <w:r>
        <w:rPr>
          <w:rStyle w:val="VerbatimChar"/>
        </w:rPr>
        <w:t xml:space="preserve">_context/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[GLOSSARY-GAP]</w:t>
      </w:r>
      <w:r>
        <w:t xml:space="preserve"> </w:t>
      </w:r>
      <w:r>
        <w:t xml:space="preserve">-- term used in output is not defined in</w:t>
      </w:r>
      <w:r>
        <w:t xml:space="preserve"> </w:t>
      </w:r>
      <w:r>
        <w:rPr>
          <w:rStyle w:val="VerbatimChar"/>
        </w:rPr>
        <w:t xml:space="preserve">_context/glossary.md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[V&amp;V-FAIL]</w:t>
      </w:r>
      <w:r>
        <w:t xml:space="preserve"> </w:t>
      </w:r>
      <w:r>
        <w:t xml:space="preserve">-- requirement fails verification/validation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[TRACE-GAP]</w:t>
      </w:r>
      <w:r>
        <w:t xml:space="preserve"> </w:t>
      </w:r>
      <w:r>
        <w:t xml:space="preserve">-- requirement has no traceability to a business goal or test case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[SMART-FAIL]</w:t>
      </w:r>
      <w:r>
        <w:t xml:space="preserve"> </w:t>
      </w:r>
      <w:r>
        <w:t xml:space="preserve">-- non-functional requirement lacks a specific, measurable metric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[VERIFIABILITY-FAIL]</w:t>
      </w:r>
      <w:r>
        <w:t xml:space="preserve"> </w:t>
      </w:r>
      <w:r>
        <w:t xml:space="preserve">-- expected result is not a deterministic test oracle</w:t>
      </w:r>
    </w:p>
    <w:p>
      <w:r>
        <w:pict>
          <v:rect style="width:0;height:1.5pt" o:hralign="center" o:hrstd="t" o:hr="t"/>
        </w:pict>
      </w:r>
    </w:p>
    <w:bookmarkEnd w:id="22"/>
    <w:bookmarkStart w:id="26" w:name="X4c325e063942492498d8007cb9a0aae94481910"/>
    <w:p>
      <w:pPr>
        <w:pStyle w:val="Heading2"/>
      </w:pPr>
      <w:r>
        <w:t xml:space="preserve">6. Recommendations</w:t>
      </w:r>
    </w:p>
    <w:bookmarkStart w:id="23" w:name="X7900c0a05670c4f0667993d55c14d39ecd4c4a5"/>
    <w:p>
      <w:pPr>
        <w:pStyle w:val="Heading3"/>
      </w:pPr>
      <w:r>
        <w:t xml:space="preserve">6.1 Phase Gate Decision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Zero Critical findings AND zero Major findings AND all anomalies have assigned owners and due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Go</w:t>
            </w:r>
          </w:p>
        </w:tc>
        <w:tc>
          <w:tcPr/>
          <w:p>
            <w:pPr>
              <w:pStyle w:val="Compact"/>
            </w:pPr>
            <w:r>
              <w:t xml:space="preserve">Zero Critical findings AND all Major findings have approved remediation plans with due dates before the next phase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One or more Critical findings remain unresolved OR Major findings exceed the remediation capacity before the next phase gate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[Go / Conditional Go / No-Go]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[2-3 sentences explaining the recommendation based on the findings]</w:t>
      </w:r>
    </w:p>
    <w:bookmarkEnd w:id="23"/>
    <w:bookmarkStart w:id="24" w:name="X794d48e7157e6df8154f255fc05c1e026d674bb"/>
    <w:p>
      <w:pPr>
        <w:pStyle w:val="Heading3"/>
      </w:pPr>
      <w:r>
        <w:t xml:space="preserve">6.2 Required Actions Before Next Phase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[e.g., Resolve HIGH-001: Licence drug interaction database]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[e.g., Blocks FR-OPD-008 implementation]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[e.g., Resolve HIGH-002: Complete PDPA compliance documentation]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[e.g., Blocks data protection audit]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[Continue for all required actions]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88dd414cc9f78486debbb5ae444aea4364ea3d2"/>
    <w:p>
      <w:pPr>
        <w:pStyle w:val="Heading3"/>
      </w:pPr>
      <w:r>
        <w:t xml:space="preserve">6.3 Observations for Continuous Improvement</w:t>
      </w:r>
    </w:p>
    <w:p>
      <w:pPr>
        <w:pStyle w:val="Compact"/>
        <w:numPr>
          <w:ilvl w:val="0"/>
          <w:numId w:val="1005"/>
        </w:numPr>
      </w:pPr>
      <w:r>
        <w:t xml:space="preserve">[e.g., "Consider automating RTM maintenance to reduce manual traceability effort"]</w:t>
      </w:r>
    </w:p>
    <w:p>
      <w:pPr>
        <w:pStyle w:val="Compact"/>
        <w:numPr>
          <w:ilvl w:val="0"/>
          <w:numId w:val="1005"/>
        </w:numPr>
      </w:pPr>
      <w:r>
        <w:t xml:space="preserve">[e.g., "Document drug interaction database licensing decision before Phase 1 development sprint 1"]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49ee2ce8e68afadfee2f45d7192720b571b005c"/>
    <w:p>
      <w:pPr>
        <w:pStyle w:val="Heading2"/>
      </w:pPr>
      <w:r>
        <w:t xml:space="preserve">7.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[Go / Conditional Go / No-Go]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Safety Officer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[Go / Conditional Go / No-Go]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Officer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[Go / Conditional Go / No-Go]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Architect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[Go / Conditional Go / No-Go]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Assurance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[Go / Conditional Go / No-Go]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appendix-a-audit-checklist"/>
    <w:p>
      <w:pPr>
        <w:pStyle w:val="Heading2"/>
      </w:pPr>
      <w:r>
        <w:t xml:space="preserve">Appendix A: Audit Checklist</w:t>
      </w:r>
    </w:p>
    <w:p>
      <w:pPr>
        <w:pStyle w:val="FirstParagraph"/>
      </w:pPr>
      <w:r>
        <w:t xml:space="preserve">The following checklist was used during this audit. Items marked [x] were verified; items marked [ ] were not applicable or deferred.</w:t>
      </w:r>
    </w:p>
    <w:bookmarkStart w:id="28" w:name="a1-requirements-audit-checklist"/>
    <w:p>
      <w:pPr>
        <w:pStyle w:val="Heading3"/>
      </w:pPr>
      <w:r>
        <w:t xml:space="preserve">A.1 Requirements Audit Checklist</w:t>
      </w:r>
    </w:p>
    <w:p>
      <w:pPr>
        <w:pStyle w:val="Compact"/>
        <w:numPr>
          <w:ilvl w:val="0"/>
          <w:numId w:val="1006"/>
        </w:numPr>
      </w:pPr>
      <w:r>
        <w:t xml:space="preserve">Every FR has a unique identifier</w:t>
      </w:r>
    </w:p>
    <w:p>
      <w:pPr>
        <w:pStyle w:val="Compact"/>
        <w:numPr>
          <w:ilvl w:val="0"/>
          <w:numId w:val="1007"/>
        </w:numPr>
      </w:pPr>
      <w:r>
        <w:t xml:space="preserve">Every FR follows stimulus-response format</w:t>
      </w:r>
    </w:p>
    <w:p>
      <w:pPr>
        <w:pStyle w:val="Compact"/>
        <w:numPr>
          <w:ilvl w:val="0"/>
          <w:numId w:val="1008"/>
        </w:numPr>
      </w:pPr>
      <w:r>
        <w:t xml:space="preserve">Every FR includes input specifications</w:t>
      </w:r>
    </w:p>
    <w:p>
      <w:pPr>
        <w:pStyle w:val="Compact"/>
        <w:numPr>
          <w:ilvl w:val="0"/>
          <w:numId w:val="1009"/>
        </w:numPr>
      </w:pPr>
      <w:r>
        <w:t xml:space="preserve">Every FR includes error conditions</w:t>
      </w:r>
    </w:p>
    <w:p>
      <w:pPr>
        <w:pStyle w:val="Compact"/>
        <w:numPr>
          <w:ilvl w:val="0"/>
          <w:numId w:val="1010"/>
        </w:numPr>
      </w:pPr>
      <w:r>
        <w:t xml:space="preserve">Every FR cross-references applicable business rules</w:t>
      </w:r>
    </w:p>
    <w:p>
      <w:pPr>
        <w:pStyle w:val="Compact"/>
        <w:numPr>
          <w:ilvl w:val="0"/>
          <w:numId w:val="1011"/>
        </w:numPr>
      </w:pPr>
      <w:r>
        <w:t xml:space="preserve">Every FR has a verifiability section with deterministic test oracle</w:t>
      </w:r>
    </w:p>
    <w:p>
      <w:pPr>
        <w:pStyle w:val="Compact"/>
        <w:numPr>
          <w:ilvl w:val="0"/>
          <w:numId w:val="1012"/>
        </w:numPr>
      </w:pPr>
      <w:r>
        <w:t xml:space="preserve">Every NFR has a measurable metric (no vague adjectives)</w:t>
      </w:r>
    </w:p>
    <w:p>
      <w:pPr>
        <w:pStyle w:val="Compact"/>
        <w:numPr>
          <w:ilvl w:val="0"/>
          <w:numId w:val="1013"/>
        </w:numPr>
      </w:pPr>
      <w:r>
        <w:t xml:space="preserve">All PDPA-relevant requirements reference specific PDPA sections</w:t>
      </w:r>
    </w:p>
    <w:p>
      <w:pPr>
        <w:pStyle w:val="Compact"/>
        <w:numPr>
          <w:ilvl w:val="0"/>
          <w:numId w:val="1014"/>
        </w:numPr>
      </w:pPr>
      <w:r>
        <w:t xml:space="preserve">All HIV-related requirements enforce Section 18 confidentiality</w:t>
      </w:r>
    </w:p>
    <w:p>
      <w:pPr>
        <w:pStyle w:val="Compact"/>
        <w:numPr>
          <w:ilvl w:val="0"/>
          <w:numId w:val="1015"/>
        </w:numPr>
      </w:pPr>
      <w:r>
        <w:t xml:space="preserve">All HMIS requirements reference specific HMIS form numbers</w:t>
      </w:r>
    </w:p>
    <w:bookmarkEnd w:id="28"/>
    <w:bookmarkStart w:id="29" w:name="a2-design-audit-checklist"/>
    <w:p>
      <w:pPr>
        <w:pStyle w:val="Heading3"/>
      </w:pPr>
      <w:r>
        <w:t xml:space="preserve">A.2 Design Audit Checklist</w:t>
      </w:r>
    </w:p>
    <w:p>
      <w:pPr>
        <w:pStyle w:val="Compact"/>
        <w:numPr>
          <w:ilvl w:val="0"/>
          <w:numId w:val="1016"/>
        </w:numPr>
      </w:pPr>
      <w:r>
        <w:t xml:space="preserve">HLD covers all FR groups (AUTH, TNT, REG, OPD, LAB, PHR, BIL, APT, RBAC)</w:t>
      </w:r>
    </w:p>
    <w:p>
      <w:pPr>
        <w:pStyle w:val="Compact"/>
        <w:numPr>
          <w:ilvl w:val="0"/>
          <w:numId w:val="1017"/>
        </w:numPr>
      </w:pPr>
      <w:r>
        <w:t xml:space="preserve">LLD specifies service classes for every FR group</w:t>
      </w:r>
    </w:p>
    <w:p>
      <w:pPr>
        <w:pStyle w:val="Compact"/>
        <w:numPr>
          <w:ilvl w:val="0"/>
          <w:numId w:val="1018"/>
        </w:numPr>
      </w:pPr>
      <w:r>
        <w:t xml:space="preserve">ERD defines tables for all data entities referenced in FRs</w:t>
      </w:r>
    </w:p>
    <w:p>
      <w:pPr>
        <w:pStyle w:val="Compact"/>
        <w:numPr>
          <w:ilvl w:val="0"/>
          <w:numId w:val="1019"/>
        </w:numPr>
      </w:pPr>
      <w:r>
        <w:t xml:space="preserve">API spec defines endpoints for all FRs requiring HTTP interfaces</w:t>
      </w:r>
    </w:p>
    <w:p>
      <w:pPr>
        <w:pStyle w:val="Compact"/>
        <w:numPr>
          <w:ilvl w:val="0"/>
          <w:numId w:val="1020"/>
        </w:numPr>
      </w:pPr>
      <w:r>
        <w:t xml:space="preserve">Tenant isolation (BR-DATA-004) is enforced at HLD, LLD, and ERD levels</w:t>
      </w:r>
    </w:p>
    <w:p>
      <w:pPr>
        <w:pStyle w:val="Compact"/>
        <w:numPr>
          <w:ilvl w:val="0"/>
          <w:numId w:val="1021"/>
        </w:numPr>
      </w:pPr>
      <w:r>
        <w:t xml:space="preserve">Offline architecture (HLD Section 6) addresses NFR-HC-013</w:t>
      </w:r>
    </w:p>
    <w:bookmarkEnd w:id="29"/>
    <w:bookmarkStart w:id="30" w:name="a3-clinical-safety-audit-checklist"/>
    <w:p>
      <w:pPr>
        <w:pStyle w:val="Heading3"/>
      </w:pPr>
      <w:r>
        <w:t xml:space="preserve">A.3 Clinical Safety Audit Checklist</w:t>
      </w:r>
    </w:p>
    <w:p>
      <w:pPr>
        <w:pStyle w:val="Compact"/>
        <w:numPr>
          <w:ilvl w:val="0"/>
          <w:numId w:val="1022"/>
        </w:numPr>
      </w:pPr>
      <w:r>
        <w:t xml:space="preserve">Drug interaction checking covers all 4 tiers (BR-CLIN-004)</w:t>
      </w:r>
    </w:p>
    <w:p>
      <w:pPr>
        <w:pStyle w:val="Compact"/>
        <w:numPr>
          <w:ilvl w:val="0"/>
          <w:numId w:val="1023"/>
        </w:numPr>
      </w:pPr>
      <w:r>
        <w:t xml:space="preserve">Paediatric dosing safeguards are specified (BR-CLIN-006)</w:t>
      </w:r>
    </w:p>
    <w:p>
      <w:pPr>
        <w:pStyle w:val="Compact"/>
        <w:numPr>
          <w:ilvl w:val="0"/>
          <w:numId w:val="1024"/>
        </w:numPr>
      </w:pPr>
      <w:r>
        <w:t xml:space="preserve">Critical value escalation cascade is defined (BR-CLIN-003)</w:t>
      </w:r>
    </w:p>
    <w:p>
      <w:pPr>
        <w:pStyle w:val="Compact"/>
        <w:numPr>
          <w:ilvl w:val="0"/>
          <w:numId w:val="1025"/>
        </w:numPr>
      </w:pPr>
      <w:r>
        <w:t xml:space="preserve">Five Rights CPOE enforcement is specified (BR-CLIN-008)</w:t>
      </w:r>
    </w:p>
    <w:p>
      <w:pPr>
        <w:pStyle w:val="Compact"/>
        <w:numPr>
          <w:ilvl w:val="0"/>
          <w:numId w:val="1026"/>
        </w:numPr>
      </w:pPr>
      <w:r>
        <w:t xml:space="preserve">NEWS2 early warning score is calculated (BR-CLIN-007)</w:t>
      </w:r>
    </w:p>
    <w:p>
      <w:pPr>
        <w:pStyle w:val="Compact"/>
        <w:numPr>
          <w:ilvl w:val="0"/>
          <w:numId w:val="1027"/>
        </w:numPr>
      </w:pPr>
      <w:r>
        <w:t xml:space="preserve">Medication reconciliation is enforced at transitions (BR-CLIN-005)</w:t>
      </w:r>
    </w:p>
    <w:p>
      <w:pPr>
        <w:pStyle w:val="Compact"/>
        <w:numPr>
          <w:ilvl w:val="0"/>
          <w:numId w:val="1028"/>
        </w:numPr>
      </w:pPr>
      <w:r>
        <w:t xml:space="preserve">Tall Man Lettering is applied to LASA drugs (BR-RX-003)</w:t>
      </w:r>
    </w:p>
    <w:p>
      <w:pPr>
        <w:pStyle w:val="Compact"/>
        <w:numPr>
          <w:ilvl w:val="0"/>
          <w:numId w:val="1029"/>
        </w:numPr>
      </w:pPr>
      <w:r>
        <w:t xml:space="preserve">Narcotic register maintains running balance (BR-RX-001)</w:t>
      </w:r>
    </w:p>
    <w:bookmarkEnd w:id="30"/>
    <w:bookmarkStart w:id="31" w:name="a4-compliance-audit-checklist"/>
    <w:p>
      <w:pPr>
        <w:pStyle w:val="Heading3"/>
      </w:pPr>
      <w:r>
        <w:t xml:space="preserve">A.4 Compliance Audit Checklist</w:t>
      </w:r>
    </w:p>
    <w:p>
      <w:pPr>
        <w:pStyle w:val="Compact"/>
        <w:numPr>
          <w:ilvl w:val="0"/>
          <w:numId w:val="1030"/>
        </w:numPr>
      </w:pPr>
      <w:r>
        <w:t xml:space="preserve">PDPA Section 5 (principles of data processing) addressed</w:t>
      </w:r>
    </w:p>
    <w:p>
      <w:pPr>
        <w:pStyle w:val="Compact"/>
        <w:numPr>
          <w:ilvl w:val="0"/>
          <w:numId w:val="1031"/>
        </w:numPr>
      </w:pPr>
      <w:r>
        <w:t xml:space="preserve">PDPA Section 10 (consent requirements) addressed</w:t>
      </w:r>
    </w:p>
    <w:p>
      <w:pPr>
        <w:pStyle w:val="Compact"/>
        <w:numPr>
          <w:ilvl w:val="0"/>
          <w:numId w:val="1032"/>
        </w:numPr>
      </w:pPr>
      <w:r>
        <w:t xml:space="preserve">PDPA Section 16 (rights of data subjects) addressed</w:t>
      </w:r>
    </w:p>
    <w:p>
      <w:pPr>
        <w:pStyle w:val="Compact"/>
        <w:numPr>
          <w:ilvl w:val="0"/>
          <w:numId w:val="1033"/>
        </w:numPr>
      </w:pPr>
      <w:r>
        <w:t xml:space="preserve">PDPA Section 22 (security of personal data) addressed</w:t>
      </w:r>
    </w:p>
    <w:p>
      <w:pPr>
        <w:pStyle w:val="Compact"/>
        <w:numPr>
          <w:ilvl w:val="0"/>
          <w:numId w:val="1034"/>
        </w:numPr>
      </w:pPr>
      <w:r>
        <w:t xml:space="preserve">PDPA Section 24 (record of processing) addressed</w:t>
      </w:r>
    </w:p>
    <w:p>
      <w:pPr>
        <w:pStyle w:val="Compact"/>
        <w:numPr>
          <w:ilvl w:val="0"/>
          <w:numId w:val="1035"/>
        </w:numPr>
      </w:pPr>
      <w:r>
        <w:t xml:space="preserve">PDPA Section 31 (breach notification) addressed</w:t>
      </w:r>
    </w:p>
    <w:p>
      <w:pPr>
        <w:pStyle w:val="Compact"/>
        <w:numPr>
          <w:ilvl w:val="0"/>
          <w:numId w:val="1036"/>
        </w:numPr>
      </w:pPr>
      <w:r>
        <w:t xml:space="preserve">PDPA Section 34 (cross-border transfer) addressed</w:t>
      </w:r>
    </w:p>
    <w:p>
      <w:pPr>
        <w:pStyle w:val="Compact"/>
        <w:numPr>
          <w:ilvl w:val="0"/>
          <w:numId w:val="1037"/>
        </w:numPr>
      </w:pPr>
      <w:r>
        <w:t xml:space="preserve">HIV/AIDS Act Section 18 (mandatory confidentiality) addressed</w:t>
      </w:r>
    </w:p>
    <w:p>
      <w:pPr>
        <w:pStyle w:val="Compact"/>
        <w:numPr>
          <w:ilvl w:val="0"/>
          <w:numId w:val="1038"/>
        </w:numPr>
      </w:pPr>
      <w:r>
        <w:t xml:space="preserve">HMIS 105, 108, 033b reporting compliance verified</w:t>
      </w:r>
    </w:p>
    <w:p>
      <w:pPr>
        <w:pStyle w:val="Compact"/>
        <w:numPr>
          <w:ilvl w:val="0"/>
          <w:numId w:val="1039"/>
        </w:numPr>
      </w:pPr>
      <w:r>
        <w:t xml:space="preserve">DHIS2 integration capability confirmed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ppendix-b-document-revision-history"/>
    <w:p>
      <w:pPr>
        <w:pStyle w:val="Heading2"/>
      </w:pPr>
      <w:r>
        <w:t xml:space="preserve">Appendix B: 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Initial audit report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2026-04-03T15:11:33Z</dcterms:created>
  <dcterms:modified xsi:type="dcterms:W3CDTF">2026-04-03T15:11:33Z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