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0" w:name="risk-assessment----medic8"/>
    <w:p>
      <w:pPr>
        <w:pStyle w:val="Heading1"/>
      </w:pPr>
      <w:r>
        <w:t xml:space="preserve">Risk Assessment -- Medic8</w:t>
      </w:r>
    </w:p>
    <w:p>
      <w:pPr>
        <w:pStyle w:val="FirstParagraph"/>
      </w:pPr>
      <w:r>
        <w:rPr>
          <w:b/>
          <w:bCs/>
        </w:rPr>
        <w:t xml:space="preserve">Document ID:</w:t>
      </w:r>
      <w:r>
        <w:t xml:space="preserve"> </w:t>
      </w:r>
      <w:r>
        <w:t xml:space="preserve">Medic8-RISK-001</w:t>
      </w:r>
      <w:r>
        <w:t xml:space="preserve"> </w:t>
      </w:r>
      <w:r>
        <w:rPr>
          <w:b/>
          <w:bCs/>
        </w:rPr>
        <w:t xml:space="preserve">Version:</w:t>
      </w:r>
      <w:r>
        <w:t xml:space="preserve"> </w:t>
      </w:r>
      <w:r>
        <w:t xml:space="preserve">1.0</w:t>
      </w:r>
      <w:r>
        <w:t xml:space="preserve"> </w:t>
      </w:r>
      <w:r>
        <w:rPr>
          <w:b/>
          <w:bCs/>
        </w:rPr>
        <w:t xml:space="preserve">Date:</w:t>
      </w:r>
      <w:r>
        <w:t xml:space="preserve"> </w:t>
      </w:r>
      <w:r>
        <w:t xml:space="preserve">2026-04-03</w:t>
      </w:r>
      <w:r>
        <w:t xml:space="preserve"> </w:t>
      </w:r>
      <w:r>
        <w:rPr>
          <w:b/>
          <w:bCs/>
        </w:rPr>
        <w:t xml:space="preserve">Author:</w:t>
      </w:r>
      <w:r>
        <w:t xml:space="preserve"> </w:t>
      </w:r>
      <w:r>
        <w:t xml:space="preserve">Peter Bamuhigire</w:t>
      </w:r>
      <w:r>
        <w:t xml:space="preserve"> </w:t>
      </w:r>
      <w:r>
        <w:rPr>
          <w:b/>
          <w:bCs/>
        </w:rPr>
        <w:t xml:space="preserve">Standards:</w:t>
      </w:r>
      <w:r>
        <w:t xml:space="preserve"> </w:t>
      </w:r>
      <w:r>
        <w:t xml:space="preserve">ISO 31000:2018 (Risk Management), IEEE 1012-2016 (V&amp;V), Uganda PDPA 2019</w:t>
      </w:r>
    </w:p>
    <w:p>
      <w:r>
        <w:pict>
          <v:rect style="width:0;height:1.5pt" o:hralign="center" o:hrstd="t" o:hr="t"/>
        </w:pict>
      </w:r>
    </w:p>
    <w:bookmarkStart w:id="12" w:name="X89c9ea7cf5890711408d6af3971cfb251d23d16"/>
    <w:p>
      <w:pPr>
        <w:pStyle w:val="Heading2"/>
      </w:pPr>
      <w:r>
        <w:t xml:space="preserve">1. Risk Assessment Context</w:t>
      </w:r>
    </w:p>
    <w:bookmarkStart w:id="9" w:name="Xd6a42351a060e0c72eb51660fc45537b6ad4c4d"/>
    <w:p>
      <w:pPr>
        <w:pStyle w:val="Heading3"/>
      </w:pPr>
      <w:r>
        <w:t xml:space="preserve">1.1 Scope</w:t>
      </w:r>
    </w:p>
    <w:p>
      <w:pPr>
        <w:pStyle w:val="FirstParagraph"/>
      </w:pPr>
      <w:r>
        <w:t xml:space="preserve">This risk assessment covers the Medic8 multi-tenant SaaS healthcare management system across all planned phases:</w:t>
      </w:r>
    </w:p>
    <w:p>
      <w:pPr>
        <w:pStyle w:val="Compact"/>
        <w:numPr>
          <w:ilvl w:val="0"/>
          <w:numId w:val="1001"/>
        </w:numPr>
      </w:pPr>
      <w:r>
        <w:rPr>
          <w:b/>
          <w:bCs/>
        </w:rPr>
        <w:t xml:space="preserve">Phase 1:</w:t>
      </w:r>
      <w:r>
        <w:t xml:space="preserve"> </w:t>
      </w:r>
      <w:r>
        <w:t xml:space="preserve">Core clinical platform (OPD, lab, pharmacy, billing, appointments, RBAC)</w:t>
      </w:r>
    </w:p>
    <w:p>
      <w:pPr>
        <w:pStyle w:val="Compact"/>
        <w:numPr>
          <w:ilvl w:val="0"/>
          <w:numId w:val="1001"/>
        </w:numPr>
      </w:pPr>
      <w:r>
        <w:rPr>
          <w:b/>
          <w:bCs/>
        </w:rPr>
        <w:t xml:space="preserve">Phase 2:</w:t>
      </w:r>
      <w:r>
        <w:t xml:space="preserve"> </w:t>
      </w:r>
      <w:r>
        <w:t xml:space="preserve">Expansion (IPD, maternity, immunisation, insurance, HR, HMIS, accounting, inventory)</w:t>
      </w:r>
    </w:p>
    <w:p>
      <w:pPr>
        <w:pStyle w:val="Compact"/>
        <w:numPr>
          <w:ilvl w:val="0"/>
          <w:numId w:val="1001"/>
        </w:numPr>
      </w:pPr>
      <w:r>
        <w:rPr>
          <w:b/>
          <w:bCs/>
        </w:rPr>
        <w:t xml:space="preserve">Phase 3:</w:t>
      </w:r>
      <w:r>
        <w:t xml:space="preserve"> </w:t>
      </w:r>
      <w:r>
        <w:t xml:space="preserve">Programmes and patient engagement (ART, TB, antenatal, patient portal, telemedicine)</w:t>
      </w:r>
    </w:p>
    <w:p>
      <w:pPr>
        <w:pStyle w:val="Compact"/>
        <w:numPr>
          <w:ilvl w:val="0"/>
          <w:numId w:val="1001"/>
        </w:numPr>
      </w:pPr>
      <w:r>
        <w:rPr>
          <w:b/>
          <w:bCs/>
        </w:rPr>
        <w:t xml:space="preserve">Phase 4:</w:t>
      </w:r>
      <w:r>
        <w:t xml:space="preserve"> </w:t>
      </w:r>
      <w:r>
        <w:t xml:space="preserve">Advanced specialty (radiology, theatre, blood bank, dental, ophthalmology)</w:t>
      </w:r>
    </w:p>
    <w:bookmarkEnd w:id="9"/>
    <w:bookmarkStart w:id="10" w:name="Xa2ef7d6137b46fd7650bba15856e1c9dca2c9b2"/>
    <w:p>
      <w:pPr>
        <w:pStyle w:val="Heading3"/>
      </w:pPr>
      <w:r>
        <w:t xml:space="preserve">1.2 Risk Categories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Code</w:t>
            </w:r>
          </w:p>
        </w:tc>
        <w:tc>
          <w:tcPr/>
          <w:p>
            <w:pPr>
              <w:pStyle w:val="Compact"/>
            </w:pPr>
            <w:r>
              <w:t xml:space="preserve">Description</w:t>
            </w:r>
          </w:p>
        </w:tc>
      </w:tr>
      <w:tr>
        <w:tc>
          <w:tcPr/>
          <w:p>
            <w:pPr>
              <w:pStyle w:val="Compact"/>
            </w:pPr>
            <w:r>
              <w:t xml:space="preserve">Clinical Safety</w:t>
            </w:r>
          </w:p>
        </w:tc>
        <w:tc>
          <w:tcPr/>
          <w:p>
            <w:pPr>
              <w:pStyle w:val="Compact"/>
            </w:pPr>
            <w:r>
              <w:t xml:space="preserve">R-CS</w:t>
            </w:r>
          </w:p>
        </w:tc>
        <w:tc>
          <w:tcPr/>
          <w:p>
            <w:pPr>
              <w:pStyle w:val="Compact"/>
            </w:pPr>
            <w:r>
              <w:t xml:space="preserve">Risks that could result in patient harm or adverse clinical outcomes</w:t>
            </w:r>
          </w:p>
        </w:tc>
      </w:tr>
      <w:tr>
        <w:tc>
          <w:tcPr/>
          <w:p>
            <w:pPr>
              <w:pStyle w:val="Compact"/>
            </w:pPr>
            <w:r>
              <w:t xml:space="preserve">Data Security</w:t>
            </w:r>
          </w:p>
        </w:tc>
        <w:tc>
          <w:tcPr/>
          <w:p>
            <w:pPr>
              <w:pStyle w:val="Compact"/>
            </w:pPr>
            <w:r>
              <w:t xml:space="preserve">R-DS</w:t>
            </w:r>
          </w:p>
        </w:tc>
        <w:tc>
          <w:tcPr/>
          <w:p>
            <w:pPr>
              <w:pStyle w:val="Compact"/>
            </w:pPr>
            <w:r>
              <w:t xml:space="preserve">Risks to the confidentiality, integrity, or availability of patient health information</w:t>
            </w:r>
          </w:p>
        </w:tc>
      </w:tr>
      <w:tr>
        <w:tc>
          <w:tcPr/>
          <w:p>
            <w:pPr>
              <w:pStyle w:val="Compact"/>
            </w:pPr>
            <w:r>
              <w:t xml:space="preserve">Regulatory</w:t>
            </w:r>
          </w:p>
        </w:tc>
        <w:tc>
          <w:tcPr/>
          <w:p>
            <w:pPr>
              <w:pStyle w:val="Compact"/>
            </w:pPr>
            <w:r>
              <w:t xml:space="preserve">R-RG</w:t>
            </w:r>
          </w:p>
        </w:tc>
        <w:tc>
          <w:tcPr/>
          <w:p>
            <w:pPr>
              <w:pStyle w:val="Compact"/>
            </w:pPr>
            <w:r>
              <w:t xml:space="preserve">Risks of non-compliance with laws, regulations, or standards</w:t>
            </w:r>
          </w:p>
        </w:tc>
      </w:tr>
      <w:tr>
        <w:tc>
          <w:tcPr/>
          <w:p>
            <w:pPr>
              <w:pStyle w:val="Compact"/>
            </w:pPr>
            <w:r>
              <w:t xml:space="preserve">Technical</w:t>
            </w:r>
          </w:p>
        </w:tc>
        <w:tc>
          <w:tcPr/>
          <w:p>
            <w:pPr>
              <w:pStyle w:val="Compact"/>
            </w:pPr>
            <w:r>
              <w:t xml:space="preserve">R-TC</w:t>
            </w:r>
          </w:p>
        </w:tc>
        <w:tc>
          <w:tcPr/>
          <w:p>
            <w:pPr>
              <w:pStyle w:val="Compact"/>
            </w:pPr>
            <w:r>
              <w:t xml:space="preserve">Risks to system reliability, performance, or interoperability</w:t>
            </w:r>
          </w:p>
        </w:tc>
      </w:tr>
      <w:tr>
        <w:tc>
          <w:tcPr/>
          <w:p>
            <w:pPr>
              <w:pStyle w:val="Compact"/>
            </w:pPr>
            <w:r>
              <w:t xml:space="preserve">Business</w:t>
            </w:r>
          </w:p>
        </w:tc>
        <w:tc>
          <w:tcPr/>
          <w:p>
            <w:pPr>
              <w:pStyle w:val="Compact"/>
            </w:pPr>
            <w:r>
              <w:t xml:space="preserve">R-BS</w:t>
            </w:r>
          </w:p>
        </w:tc>
        <w:tc>
          <w:tcPr/>
          <w:p>
            <w:pPr>
              <w:pStyle w:val="Compact"/>
            </w:pPr>
            <w:r>
              <w:t xml:space="preserve">Risks to commercial viability, market position, or organisational capacity</w:t>
            </w:r>
          </w:p>
        </w:tc>
      </w:tr>
      <w:tr>
        <w:tc>
          <w:tcPr/>
          <w:p>
            <w:pPr>
              <w:pStyle w:val="Compact"/>
            </w:pPr>
            <w:r>
              <w:t xml:space="preserve">Operational</w:t>
            </w:r>
          </w:p>
        </w:tc>
        <w:tc>
          <w:tcPr/>
          <w:p>
            <w:pPr>
              <w:pStyle w:val="Compact"/>
            </w:pPr>
            <w:r>
              <w:t xml:space="preserve">R-OP</w:t>
            </w:r>
          </w:p>
        </w:tc>
        <w:tc>
          <w:tcPr/>
          <w:p>
            <w:pPr>
              <w:pStyle w:val="Compact"/>
            </w:pPr>
            <w:r>
              <w:t xml:space="preserve">Risks to day-to-day system operation at deployed facilities</w:t>
            </w:r>
          </w:p>
        </w:tc>
      </w:tr>
    </w:tbl>
    <w:bookmarkEnd w:id="10"/>
    <w:bookmarkStart w:id="11" w:name="X1774db3a92d161838f9757c084d5af66f236517"/>
    <w:p>
      <w:pPr>
        <w:pStyle w:val="Heading3"/>
      </w:pPr>
      <w:r>
        <w:t xml:space="preserve">1.3 Risk Scoring Methodology</w:t>
      </w:r>
    </w:p>
    <w:p>
      <w:pPr>
        <w:pStyle w:val="FirstParagraph"/>
      </w:pPr>
      <w:r>
        <w:rPr>
          <w:b/>
          <w:bCs/>
        </w:rPr>
        <w:t xml:space="preserve">Likelihood scale: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Score</w:t>
            </w:r>
          </w:p>
        </w:tc>
        <w:tc>
          <w:tcPr/>
          <w:p>
            <w:pPr>
              <w:pStyle w:val="Compact"/>
            </w:pPr>
            <w:r>
              <w:t xml:space="preserve">Level</w:t>
            </w:r>
          </w:p>
        </w:tc>
        <w:tc>
          <w:tcPr/>
          <w:p>
            <w:pPr>
              <w:pStyle w:val="Compact"/>
            </w:pPr>
            <w:r>
              <w:t xml:space="preserve">Description</w:t>
            </w:r>
          </w:p>
        </w:tc>
      </w:tr>
      <w:tr>
        <w:tc>
          <w:tcPr/>
          <w:p>
            <w:pPr>
              <w:pStyle w:val="Compact"/>
            </w:pPr>
            <w:r>
              <w:t xml:space="preserve">1</w:t>
            </w:r>
          </w:p>
        </w:tc>
        <w:tc>
          <w:tcPr/>
          <w:p>
            <w:pPr>
              <w:pStyle w:val="Compact"/>
            </w:pPr>
            <w:r>
              <w:t xml:space="preserve">Rare</w:t>
            </w:r>
          </w:p>
        </w:tc>
        <w:tc>
          <w:tcPr/>
          <w:p>
            <w:pPr>
              <w:pStyle w:val="Compact"/>
            </w:pPr>
            <w:r>
              <w:t xml:space="preserve">Less than 5% probability within the assessment period</w:t>
            </w:r>
          </w:p>
        </w:tc>
      </w:tr>
      <w:tr>
        <w:tc>
          <w:tcPr/>
          <w:p>
            <w:pPr>
              <w:pStyle w:val="Compact"/>
            </w:pPr>
            <w:r>
              <w:t xml:space="preserve">2</w:t>
            </w:r>
          </w:p>
        </w:tc>
        <w:tc>
          <w:tcPr/>
          <w:p>
            <w:pPr>
              <w:pStyle w:val="Compact"/>
            </w:pPr>
            <w:r>
              <w:t xml:space="preserve">Unlikely</w:t>
            </w:r>
          </w:p>
        </w:tc>
        <w:tc>
          <w:tcPr/>
          <w:p>
            <w:pPr>
              <w:pStyle w:val="Compact"/>
            </w:pPr>
            <w:r>
              <w:t xml:space="preserve">5-20% probability</w:t>
            </w:r>
          </w:p>
        </w:tc>
      </w:tr>
      <w:tr>
        <w:tc>
          <w:tcPr/>
          <w:p>
            <w:pPr>
              <w:pStyle w:val="Compact"/>
            </w:pPr>
            <w:r>
              <w:t xml:space="preserve">3</w:t>
            </w:r>
          </w:p>
        </w:tc>
        <w:tc>
          <w:tcPr/>
          <w:p>
            <w:pPr>
              <w:pStyle w:val="Compact"/>
            </w:pPr>
            <w:r>
              <w:t xml:space="preserve">Possible</w:t>
            </w:r>
          </w:p>
        </w:tc>
        <w:tc>
          <w:tcPr/>
          <w:p>
            <w:pPr>
              <w:pStyle w:val="Compact"/>
            </w:pPr>
            <w:r>
              <w:t xml:space="preserve">20-50% probability</w:t>
            </w:r>
          </w:p>
        </w:tc>
      </w:tr>
      <w:tr>
        <w:tc>
          <w:tcPr/>
          <w:p>
            <w:pPr>
              <w:pStyle w:val="Compact"/>
            </w:pPr>
            <w:r>
              <w:t xml:space="preserve">4</w:t>
            </w:r>
          </w:p>
        </w:tc>
        <w:tc>
          <w:tcPr/>
          <w:p>
            <w:pPr>
              <w:pStyle w:val="Compact"/>
            </w:pPr>
            <w:r>
              <w:t xml:space="preserve">Likely</w:t>
            </w:r>
          </w:p>
        </w:tc>
        <w:tc>
          <w:tcPr/>
          <w:p>
            <w:pPr>
              <w:pStyle w:val="Compact"/>
            </w:pPr>
            <w:r>
              <w:t xml:space="preserve">50-80% probability</w:t>
            </w:r>
          </w:p>
        </w:tc>
      </w:tr>
      <w:tr>
        <w:tc>
          <w:tcPr/>
          <w:p>
            <w:pPr>
              <w:pStyle w:val="Compact"/>
            </w:pPr>
            <w:r>
              <w:t xml:space="preserve">5</w:t>
            </w:r>
          </w:p>
        </w:tc>
        <w:tc>
          <w:tcPr/>
          <w:p>
            <w:pPr>
              <w:pStyle w:val="Compact"/>
            </w:pPr>
            <w:r>
              <w:t xml:space="preserve">Almost certain</w:t>
            </w:r>
          </w:p>
        </w:tc>
        <w:tc>
          <w:tcPr/>
          <w:p>
            <w:pPr>
              <w:pStyle w:val="Compact"/>
            </w:pPr>
            <w:r>
              <w:t xml:space="preserve">Greater than 80% probability</w:t>
            </w:r>
          </w:p>
        </w:tc>
      </w:tr>
    </w:tbl>
    <w:p>
      <w:pPr>
        <w:pStyle w:val="BodyText"/>
      </w:pPr>
      <w:r>
        <w:rPr>
          <w:b/>
          <w:bCs/>
        </w:rPr>
        <w:t xml:space="preserve">Impact scale: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Score</w:t>
            </w:r>
          </w:p>
        </w:tc>
        <w:tc>
          <w:tcPr/>
          <w:p>
            <w:pPr>
              <w:pStyle w:val="Compact"/>
            </w:pPr>
            <w:r>
              <w:t xml:space="preserve">Level</w:t>
            </w:r>
          </w:p>
        </w:tc>
        <w:tc>
          <w:tcPr/>
          <w:p>
            <w:pPr>
              <w:pStyle w:val="Compact"/>
            </w:pPr>
            <w:r>
              <w:t xml:space="preserve">Description</w:t>
            </w:r>
          </w:p>
        </w:tc>
      </w:tr>
      <w:tr>
        <w:tc>
          <w:tcPr/>
          <w:p>
            <w:pPr>
              <w:pStyle w:val="Compact"/>
            </w:pPr>
            <w:r>
              <w:t xml:space="preserve">1</w:t>
            </w:r>
          </w:p>
        </w:tc>
        <w:tc>
          <w:tcPr/>
          <w:p>
            <w:pPr>
              <w:pStyle w:val="Compact"/>
            </w:pPr>
            <w:r>
              <w:t xml:space="preserve">Negligible</w:t>
            </w:r>
          </w:p>
        </w:tc>
        <w:tc>
          <w:tcPr/>
          <w:p>
            <w:pPr>
              <w:pStyle w:val="Compact"/>
            </w:pPr>
            <w:r>
              <w:t xml:space="preserve">Minor inconvenience; no patient harm; no regulatory consequence</w:t>
            </w:r>
          </w:p>
        </w:tc>
      </w:tr>
      <w:tr>
        <w:tc>
          <w:tcPr/>
          <w:p>
            <w:pPr>
              <w:pStyle w:val="Compact"/>
            </w:pPr>
            <w:r>
              <w:t xml:space="preserve">2</w:t>
            </w:r>
          </w:p>
        </w:tc>
        <w:tc>
          <w:tcPr/>
          <w:p>
            <w:pPr>
              <w:pStyle w:val="Compact"/>
            </w:pPr>
            <w:r>
              <w:t xml:space="preserve">Minor</w:t>
            </w:r>
          </w:p>
        </w:tc>
        <w:tc>
          <w:tcPr/>
          <w:p>
            <w:pPr>
              <w:pStyle w:val="Compact"/>
            </w:pPr>
            <w:r>
              <w:t xml:space="preserve">Limited impact; recoverable without significant effort</w:t>
            </w:r>
          </w:p>
        </w:tc>
      </w:tr>
      <w:tr>
        <w:tc>
          <w:tcPr/>
          <w:p>
            <w:pPr>
              <w:pStyle w:val="Compact"/>
            </w:pPr>
            <w:r>
              <w:t xml:space="preserve">3</w:t>
            </w:r>
          </w:p>
        </w:tc>
        <w:tc>
          <w:tcPr/>
          <w:p>
            <w:pPr>
              <w:pStyle w:val="Compact"/>
            </w:pPr>
            <w:r>
              <w:t xml:space="preserve">Moderate</w:t>
            </w:r>
          </w:p>
        </w:tc>
        <w:tc>
          <w:tcPr/>
          <w:p>
            <w:pPr>
              <w:pStyle w:val="Compact"/>
            </w:pPr>
            <w:r>
              <w:t xml:space="preserve">Noticeable degradation; requires intervention; potential minor regulatory finding</w:t>
            </w:r>
          </w:p>
        </w:tc>
      </w:tr>
      <w:tr>
        <w:tc>
          <w:tcPr/>
          <w:p>
            <w:pPr>
              <w:pStyle w:val="Compact"/>
            </w:pPr>
            <w:r>
              <w:t xml:space="preserve">4</w:t>
            </w:r>
          </w:p>
        </w:tc>
        <w:tc>
          <w:tcPr/>
          <w:p>
            <w:pPr>
              <w:pStyle w:val="Compact"/>
            </w:pPr>
            <w:r>
              <w:t xml:space="preserve">Major</w:t>
            </w:r>
          </w:p>
        </w:tc>
        <w:tc>
          <w:tcPr/>
          <w:p>
            <w:pPr>
              <w:pStyle w:val="Compact"/>
            </w:pPr>
            <w:r>
              <w:t xml:space="preserve">Significant harm, data breach, or regulatory enforcement action</w:t>
            </w:r>
          </w:p>
        </w:tc>
      </w:tr>
      <w:tr>
        <w:tc>
          <w:tcPr/>
          <w:p>
            <w:pPr>
              <w:pStyle w:val="Compact"/>
            </w:pPr>
            <w:r>
              <w:t xml:space="preserve">5</w:t>
            </w:r>
          </w:p>
        </w:tc>
        <w:tc>
          <w:tcPr/>
          <w:p>
            <w:pPr>
              <w:pStyle w:val="Compact"/>
            </w:pPr>
            <w:r>
              <w:t xml:space="preserve">Catastrophic</w:t>
            </w:r>
          </w:p>
        </w:tc>
        <w:tc>
          <w:tcPr/>
          <w:p>
            <w:pPr>
              <w:pStyle w:val="Compact"/>
            </w:pPr>
            <w:r>
              <w:t xml:space="preserve">Patient death or serious harm; large-scale data breach; criminal prosecution</w:t>
            </w:r>
          </w:p>
        </w:tc>
      </w:tr>
    </w:tbl>
    <w:p>
      <w:pPr>
        <w:pStyle w:val="BodyText"/>
      </w:pPr>
      <w:r>
        <w:rPr>
          <w:b/>
          <w:bCs/>
        </w:rPr>
        <w:t xml:space="preserve">Risk score:</w:t>
      </w:r>
      <w:r>
        <w:t xml:space="preserve"> </w:t>
      </w:r>
      <m:oMath>
        <m:r>
          <m:t>R</m:t>
        </m:r>
        <m:r>
          <m:t>i</m:t>
        </m:r>
        <m:r>
          <m:t>s</m:t>
        </m:r>
        <m:r>
          <m:t>k</m:t>
        </m:r>
        <m:r>
          <m:t> </m:t>
        </m:r>
        <m:r>
          <m:t>S</m:t>
        </m:r>
        <m:r>
          <m:t>c</m:t>
        </m:r>
        <m:r>
          <m:t>o</m:t>
        </m:r>
        <m:r>
          <m:t>r</m:t>
        </m:r>
        <m:r>
          <m:t>e</m:t>
        </m:r>
        <m:r>
          <m:rPr>
            <m:sty m:val="p"/>
          </m:rPr>
          <m:t>=</m:t>
        </m:r>
        <m:r>
          <m:t>L</m:t>
        </m:r>
        <m:r>
          <m:t>i</m:t>
        </m:r>
        <m:r>
          <m:t>k</m:t>
        </m:r>
        <m:r>
          <m:t>e</m:t>
        </m:r>
        <m:r>
          <m:t>l</m:t>
        </m:r>
        <m:r>
          <m:t>i</m:t>
        </m:r>
        <m:r>
          <m:t>h</m:t>
        </m:r>
        <m:r>
          <m:t>o</m:t>
        </m:r>
        <m:r>
          <m:t>o</m:t>
        </m:r>
        <m:r>
          <m:t>d</m:t>
        </m:r>
        <m:r>
          <m:rPr>
            <m:sty m:val="p"/>
          </m:rPr>
          <m:t>×</m:t>
        </m:r>
        <m:r>
          <m:t>I</m:t>
        </m:r>
        <m:r>
          <m:t>m</m:t>
        </m:r>
        <m:r>
          <m:t>p</m:t>
        </m:r>
        <m:r>
          <m:t>a</m:t>
        </m:r>
        <m:r>
          <m:t>c</m:t>
        </m:r>
        <m:r>
          <m:t>t</m:t>
        </m:r>
      </m:oMath>
    </w:p>
    <w:p>
      <w:pPr>
        <w:pStyle w:val="BodyText"/>
      </w:pPr>
      <w:r>
        <w:rPr>
          <w:b/>
          <w:bCs/>
        </w:rPr>
        <w:t xml:space="preserve">Risk classification: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Score Range</w:t>
            </w:r>
          </w:p>
        </w:tc>
        <w:tc>
          <w:tcPr/>
          <w:p>
            <w:pPr>
              <w:pStyle w:val="Compact"/>
            </w:pPr>
            <w:r>
              <w:t xml:space="preserve">Classification</w:t>
            </w:r>
          </w:p>
        </w:tc>
        <w:tc>
          <w:tcPr/>
          <w:p>
            <w:pPr>
              <w:pStyle w:val="Compact"/>
            </w:pPr>
            <w:r>
              <w:t xml:space="preserve">Action Required</w:t>
            </w:r>
          </w:p>
        </w:tc>
      </w:tr>
      <w:tr>
        <w:tc>
          <w:tcPr/>
          <w:p>
            <w:pPr>
              <w:pStyle w:val="Compact"/>
            </w:pPr>
            <w:r>
              <w:t xml:space="preserve">1-4</w:t>
            </w:r>
          </w:p>
        </w:tc>
        <w:tc>
          <w:tcPr/>
          <w:p>
            <w:pPr>
              <w:pStyle w:val="Compact"/>
            </w:pPr>
            <w:r>
              <w:t xml:space="preserve">LOW</w:t>
            </w:r>
          </w:p>
        </w:tc>
        <w:tc>
          <w:tcPr/>
          <w:p>
            <w:pPr>
              <w:pStyle w:val="Compact"/>
            </w:pPr>
            <w:r>
              <w:t xml:space="preserve">Accept and monitor</w:t>
            </w:r>
          </w:p>
        </w:tc>
      </w:tr>
      <w:tr>
        <w:tc>
          <w:tcPr/>
          <w:p>
            <w:pPr>
              <w:pStyle w:val="Compact"/>
            </w:pPr>
            <w:r>
              <w:t xml:space="preserve">5-9</w:t>
            </w:r>
          </w:p>
        </w:tc>
        <w:tc>
          <w:tcPr/>
          <w:p>
            <w:pPr>
              <w:pStyle w:val="Compact"/>
            </w:pPr>
            <w:r>
              <w:t xml:space="preserve">MEDIUM</w:t>
            </w:r>
          </w:p>
        </w:tc>
        <w:tc>
          <w:tcPr/>
          <w:p>
            <w:pPr>
              <w:pStyle w:val="Compact"/>
            </w:pPr>
            <w:r>
              <w:t xml:space="preserve">Mitigate and monitor quarterly</w:t>
            </w:r>
          </w:p>
        </w:tc>
      </w:tr>
      <w:tr>
        <w:tc>
          <w:tcPr/>
          <w:p>
            <w:pPr>
              <w:pStyle w:val="Compact"/>
            </w:pPr>
            <w:r>
              <w:t xml:space="preserve">10-14</w:t>
            </w:r>
          </w:p>
        </w:tc>
        <w:tc>
          <w:tcPr/>
          <w:p>
            <w:pPr>
              <w:pStyle w:val="Compact"/>
            </w:pPr>
            <w:r>
              <w:t xml:space="preserve">HIGH</w:t>
            </w:r>
          </w:p>
        </w:tc>
        <w:tc>
          <w:tcPr/>
          <w:p>
            <w:pPr>
              <w:pStyle w:val="Compact"/>
            </w:pPr>
            <w:r>
              <w:t xml:space="preserve">Mitigate urgently; monthly review</w:t>
            </w:r>
          </w:p>
        </w:tc>
      </w:tr>
      <w:tr>
        <w:tc>
          <w:tcPr/>
          <w:p>
            <w:pPr>
              <w:pStyle w:val="Compact"/>
            </w:pPr>
            <w:r>
              <w:t xml:space="preserve">15-25</w:t>
            </w:r>
          </w:p>
        </w:tc>
        <w:tc>
          <w:tcPr/>
          <w:p>
            <w:pPr>
              <w:pStyle w:val="Compact"/>
            </w:pPr>
            <w:r>
              <w:t xml:space="preserve">CRITICAL</w:t>
            </w:r>
          </w:p>
        </w:tc>
        <w:tc>
          <w:tcPr/>
          <w:p>
            <w:pPr>
              <w:pStyle w:val="Compact"/>
            </w:pPr>
            <w:r>
              <w:t xml:space="preserve">Immediate action; weekly review until reduced</w:t>
            </w:r>
          </w:p>
        </w:tc>
      </w:tr>
    </w:tbl>
    <w:p>
      <w:r>
        <w:pict>
          <v:rect style="width:0;height:1.5pt" o:hralign="center" o:hrstd="t" o:hr="t"/>
        </w:pict>
      </w:r>
    </w:p>
    <w:bookmarkEnd w:id="11"/>
    <w:bookmarkEnd w:id="12"/>
    <w:bookmarkStart w:id="19" w:name="X11fa80402853ad4af4e211c3ee57d2b89347057"/>
    <w:p>
      <w:pPr>
        <w:pStyle w:val="Heading2"/>
      </w:pPr>
      <w:r>
        <w:t xml:space="preserve">2. Risk Register</w:t>
      </w:r>
    </w:p>
    <w:bookmarkStart w:id="13" w:name="Xd7232d86e53da81dcba225bce6ed0d4b4b938e1"/>
    <w:p>
      <w:pPr>
        <w:pStyle w:val="Heading3"/>
      </w:pPr>
      <w:r>
        <w:t xml:space="preserve">2.1 Clinical Safety Risks</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Risk ID</w:t>
            </w:r>
          </w:p>
        </w:tc>
        <w:tc>
          <w:tcPr/>
          <w:p>
            <w:pPr>
              <w:pStyle w:val="Compact"/>
            </w:pPr>
            <w:r>
              <w:t xml:space="preserve">Risk Description</w:t>
            </w:r>
          </w:p>
        </w:tc>
        <w:tc>
          <w:tcPr/>
          <w:p>
            <w:pPr>
              <w:pStyle w:val="Compact"/>
            </w:pPr>
            <w:r>
              <w:t xml:space="preserve">L</w:t>
            </w:r>
          </w:p>
        </w:tc>
        <w:tc>
          <w:tcPr/>
          <w:p>
            <w:pPr>
              <w:pStyle w:val="Compact"/>
            </w:pPr>
            <w:r>
              <w:t xml:space="preserve">I</w:t>
            </w:r>
          </w:p>
        </w:tc>
        <w:tc>
          <w:tcPr/>
          <w:p>
            <w:pPr>
              <w:pStyle w:val="Compact"/>
            </w:pPr>
            <w:r>
              <w:t xml:space="preserve">Score</w:t>
            </w:r>
          </w:p>
        </w:tc>
        <w:tc>
          <w:tcPr/>
          <w:p>
            <w:pPr>
              <w:pStyle w:val="Compact"/>
            </w:pPr>
            <w:r>
              <w:t xml:space="preserve">Classification</w:t>
            </w:r>
          </w:p>
        </w:tc>
        <w:tc>
          <w:tcPr/>
          <w:p>
            <w:pPr>
              <w:pStyle w:val="Compact"/>
            </w:pPr>
            <w:r>
              <w:t xml:space="preserve">Mitigation Strategy</w:t>
            </w:r>
          </w:p>
        </w:tc>
        <w:tc>
          <w:tcPr/>
          <w:p>
            <w:pPr>
              <w:pStyle w:val="Compact"/>
            </w:pPr>
            <w:r>
              <w:t xml:space="preserve">Owner</w:t>
            </w:r>
          </w:p>
        </w:tc>
        <w:tc>
          <w:tcPr/>
          <w:p>
            <w:pPr>
              <w:pStyle w:val="Compact"/>
            </w:pPr>
            <w:r>
              <w:t xml:space="preserve">Status</w:t>
            </w:r>
          </w:p>
        </w:tc>
      </w:tr>
      <w:tr>
        <w:tc>
          <w:tcPr/>
          <w:p>
            <w:pPr>
              <w:pStyle w:val="Compact"/>
            </w:pPr>
            <w:r>
              <w:t xml:space="preserve">R-CS-001</w:t>
            </w:r>
          </w:p>
        </w:tc>
        <w:tc>
          <w:tcPr/>
          <w:p>
            <w:pPr>
              <w:pStyle w:val="Compact"/>
            </w:pPr>
            <w:r>
              <w:t xml:space="preserve">Drug interaction missed due to incomplete or unlicensed database. A clinician prescribes a contraindicated drug combination because the interaction is absent from the database, resulting in an adverse drug event.</w:t>
            </w:r>
          </w:p>
        </w:tc>
        <w:tc>
          <w:tcPr/>
          <w:p>
            <w:pPr>
              <w:pStyle w:val="Compact"/>
            </w:pPr>
            <w:r>
              <w:t xml:space="preserve">3</w:t>
            </w:r>
          </w:p>
        </w:tc>
        <w:tc>
          <w:tcPr/>
          <w:p>
            <w:pPr>
              <w:pStyle w:val="Compact"/>
            </w:pPr>
            <w:r>
              <w:t xml:space="preserve">5</w:t>
            </w:r>
          </w:p>
        </w:tc>
        <w:tc>
          <w:tcPr/>
          <w:p>
            <w:pPr>
              <w:pStyle w:val="Compact"/>
            </w:pPr>
            <w:r>
              <w:t xml:space="preserve">15</w:t>
            </w:r>
          </w:p>
        </w:tc>
        <w:tc>
          <w:tcPr/>
          <w:p>
            <w:pPr>
              <w:pStyle w:val="Compact"/>
            </w:pPr>
            <w:r>
              <w:t xml:space="preserve">CRITICAL</w:t>
            </w:r>
          </w:p>
        </w:tc>
        <w:tc>
          <w:tcPr/>
          <w:p>
            <w:pPr>
              <w:pStyle w:val="Compact"/>
            </w:pPr>
            <w:r>
              <w:t xml:space="preserve">Licence a comprehensive, commercially maintained drug interaction database (DrugBank or RxNorm/NLM). Establish a 30-day update cycle. Include Uganda NDA formulary data. Do not build in-house. Implement 4-tier alert system (BR-CLIN-004). Require clinical validation of alert thresholds before production.</w:t>
            </w:r>
          </w:p>
        </w:tc>
        <w:tc>
          <w:tcPr/>
          <w:p>
            <w:pPr>
              <w:pStyle w:val="Compact"/>
            </w:pPr>
            <w:r>
              <w:t xml:space="preserve">Peter</w:t>
            </w:r>
          </w:p>
        </w:tc>
        <w:tc>
          <w:tcPr/>
          <w:p>
            <w:pPr>
              <w:pStyle w:val="Compact"/>
            </w:pPr>
            <w:r>
              <w:t xml:space="preserve">Open -- Gap Analysis HIGH-001 unresolved</w:t>
            </w:r>
          </w:p>
        </w:tc>
      </w:tr>
      <w:tr>
        <w:tc>
          <w:tcPr/>
          <w:p>
            <w:pPr>
              <w:pStyle w:val="Compact"/>
            </w:pPr>
            <w:r>
              <w:t xml:space="preserve">R-CS-002</w:t>
            </w:r>
          </w:p>
        </w:tc>
        <w:tc>
          <w:tcPr/>
          <w:p>
            <w:pPr>
              <w:pStyle w:val="Compact"/>
            </w:pPr>
            <w:r>
              <w:t xml:space="preserve">Paediatric overdose from dosing calculation error. A decimal error in weight-based dose calculation (e.g., 50 mg entered as 500 mg) results in a paediatric overdose.</w:t>
            </w:r>
          </w:p>
        </w:tc>
        <w:tc>
          <w:tcPr/>
          <w:p>
            <w:pPr>
              <w:pStyle w:val="Compact"/>
            </w:pPr>
            <w:r>
              <w:t xml:space="preserve">2</w:t>
            </w:r>
          </w:p>
        </w:tc>
        <w:tc>
          <w:tcPr/>
          <w:p>
            <w:pPr>
              <w:pStyle w:val="Compact"/>
            </w:pPr>
            <w:r>
              <w:t xml:space="preserve">5</w:t>
            </w:r>
          </w:p>
        </w:tc>
        <w:tc>
          <w:tcPr/>
          <w:p>
            <w:pPr>
              <w:pStyle w:val="Compact"/>
            </w:pPr>
            <w:r>
              <w:t xml:space="preserve">10</w:t>
            </w:r>
          </w:p>
        </w:tc>
        <w:tc>
          <w:tcPr/>
          <w:p>
            <w:pPr>
              <w:pStyle w:val="Compact"/>
            </w:pPr>
            <w:r>
              <w:t xml:space="preserve">HIGH</w:t>
            </w:r>
          </w:p>
        </w:tc>
        <w:tc>
          <w:tcPr/>
          <w:p>
            <w:pPr>
              <w:pStyle w:val="Compact"/>
            </w:pPr>
            <w:r>
              <w:t xml:space="preserve">Enforce weight-based dosing for patients under 12 (BR-CLIN-006). Flag 10x deviation as decimal error. Apply adult ceiling dose cap. Block prescription if no weight recorded within 24 hours.</w:t>
            </w:r>
          </w:p>
        </w:tc>
        <w:tc>
          <w:tcPr/>
          <w:p>
            <w:pPr>
              <w:pStyle w:val="Compact"/>
            </w:pPr>
            <w:r>
              <w:t xml:space="preserve">Peter</w:t>
            </w:r>
          </w:p>
        </w:tc>
        <w:tc>
          <w:tcPr/>
          <w:p>
            <w:pPr>
              <w:pStyle w:val="Compact"/>
            </w:pPr>
            <w:r>
              <w:t xml:space="preserve">Designed -- FR-PHR-014, NFR-HC-011</w:t>
            </w:r>
          </w:p>
        </w:tc>
      </w:tr>
      <w:tr>
        <w:tc>
          <w:tcPr/>
          <w:p>
            <w:pPr>
              <w:pStyle w:val="Compact"/>
            </w:pPr>
            <w:r>
              <w:t xml:space="preserve">R-CS-003</w:t>
            </w:r>
          </w:p>
        </w:tc>
        <w:tc>
          <w:tcPr/>
          <w:p>
            <w:pPr>
              <w:pStyle w:val="Compact"/>
            </w:pPr>
            <w:r>
              <w:t xml:space="preserve">Critical lab value not escalated. A panic-range lab result (e.g., potassium 7.0 mmol/L) is entered but the requesting doctor is not notified, leading to delayed treatment.</w:t>
            </w:r>
          </w:p>
        </w:tc>
        <w:tc>
          <w:tcPr/>
          <w:p>
            <w:pPr>
              <w:pStyle w:val="Compact"/>
            </w:pPr>
            <w:r>
              <w:t xml:space="preserve">2</w:t>
            </w:r>
          </w:p>
        </w:tc>
        <w:tc>
          <w:tcPr/>
          <w:p>
            <w:pPr>
              <w:pStyle w:val="Compact"/>
            </w:pPr>
            <w:r>
              <w:t xml:space="preserve">5</w:t>
            </w:r>
          </w:p>
        </w:tc>
        <w:tc>
          <w:tcPr/>
          <w:p>
            <w:pPr>
              <w:pStyle w:val="Compact"/>
            </w:pPr>
            <w:r>
              <w:t xml:space="preserve">10</w:t>
            </w:r>
          </w:p>
        </w:tc>
        <w:tc>
          <w:tcPr/>
          <w:p>
            <w:pPr>
              <w:pStyle w:val="Compact"/>
            </w:pPr>
            <w:r>
              <w:t xml:space="preserve">HIGH</w:t>
            </w:r>
          </w:p>
        </w:tc>
        <w:tc>
          <w:tcPr/>
          <w:p>
            <w:pPr>
              <w:pStyle w:val="Compact"/>
            </w:pPr>
            <w:r>
              <w:t xml:space="preserve">Implement timed escalation cascade: notification within 60 seconds, escalation to ward sister at 30 minutes, escalation to Facility Admin at 60 minutes (BR-CLIN-003). Multi-channel delivery: WebSocket, push notification, SMS fallback. Audit all escalation timestamps.</w:t>
            </w:r>
          </w:p>
        </w:tc>
        <w:tc>
          <w:tcPr/>
          <w:p>
            <w:pPr>
              <w:pStyle w:val="Compact"/>
            </w:pPr>
            <w:r>
              <w:t xml:space="preserve">Peter</w:t>
            </w:r>
          </w:p>
        </w:tc>
        <w:tc>
          <w:tcPr/>
          <w:p>
            <w:pPr>
              <w:pStyle w:val="Compact"/>
            </w:pPr>
            <w:r>
              <w:t xml:space="preserve">Designed -- FR-LAB-005, NFR-HC-022</w:t>
            </w:r>
          </w:p>
        </w:tc>
      </w:tr>
      <w:tr>
        <w:tc>
          <w:tcPr/>
          <w:p>
            <w:pPr>
              <w:pStyle w:val="Compact"/>
            </w:pPr>
            <w:r>
              <w:t xml:space="preserve">R-CS-004</w:t>
            </w:r>
          </w:p>
        </w:tc>
        <w:tc>
          <w:tcPr/>
          <w:p>
            <w:pPr>
              <w:pStyle w:val="Compact"/>
            </w:pPr>
            <w:r>
              <w:t xml:space="preserve">Wrong patient record accessed. A clinician opens the wrong patient's record and makes clinical entries (prescriptions, diagnoses) against the incorrect patient.</w:t>
            </w:r>
          </w:p>
        </w:tc>
        <w:tc>
          <w:tcPr/>
          <w:p>
            <w:pPr>
              <w:pStyle w:val="Compact"/>
            </w:pPr>
            <w:r>
              <w:t xml:space="preserve">3</w:t>
            </w:r>
          </w:p>
        </w:tc>
        <w:tc>
          <w:tcPr/>
          <w:p>
            <w:pPr>
              <w:pStyle w:val="Compact"/>
            </w:pPr>
            <w:r>
              <w:t xml:space="preserve">5</w:t>
            </w:r>
          </w:p>
        </w:tc>
        <w:tc>
          <w:tcPr/>
          <w:p>
            <w:pPr>
              <w:pStyle w:val="Compact"/>
            </w:pPr>
            <w:r>
              <w:t xml:space="preserve">15</w:t>
            </w:r>
          </w:p>
        </w:tc>
        <w:tc>
          <w:tcPr/>
          <w:p>
            <w:pPr>
              <w:pStyle w:val="Compact"/>
            </w:pPr>
            <w:r>
              <w:t xml:space="preserve">CRITICAL</w:t>
            </w:r>
          </w:p>
        </w:tc>
        <w:tc>
          <w:tcPr/>
          <w:p>
            <w:pPr>
              <w:pStyle w:val="Compact"/>
            </w:pPr>
            <w:r>
              <w:t xml:space="preserve">Require patient ID confirmation at the start of every encounter. Display patient photo (if available), name, age, and MRN prominently on all clinical screens. Implement barcode/QR patient identification. EMPI duplicate detection at registration reduces identity confusion (FR-REG-009).</w:t>
            </w:r>
          </w:p>
        </w:tc>
        <w:tc>
          <w:tcPr/>
          <w:p>
            <w:pPr>
              <w:pStyle w:val="Compact"/>
            </w:pPr>
            <w:r>
              <w:t xml:space="preserve">Peter</w:t>
            </w:r>
          </w:p>
        </w:tc>
        <w:tc>
          <w:tcPr/>
          <w:p>
            <w:pPr>
              <w:pStyle w:val="Compact"/>
            </w:pPr>
            <w:r>
              <w:t xml:space="preserve">Partially designed -- additional patient confirmation workflow recommended</w:t>
            </w:r>
          </w:p>
        </w:tc>
      </w:tr>
      <w:tr>
        <w:tc>
          <w:tcPr/>
          <w:p>
            <w:pPr>
              <w:pStyle w:val="Compact"/>
            </w:pPr>
            <w:r>
              <w:t xml:space="preserve">R-CS-005</w:t>
            </w:r>
          </w:p>
        </w:tc>
        <w:tc>
          <w:tcPr/>
          <w:p>
            <w:pPr>
              <w:pStyle w:val="Compact"/>
            </w:pPr>
            <w:r>
              <w:t xml:space="preserve">CDS alert fatigue leading to override of serious alert. Clinicians routinely override drug interaction alerts due to high alert volume, causing a Tier 3 (Serious) override that results in an adverse event.</w:t>
            </w:r>
          </w:p>
        </w:tc>
        <w:tc>
          <w:tcPr/>
          <w:p>
            <w:pPr>
              <w:pStyle w:val="Compact"/>
            </w:pPr>
            <w:r>
              <w:t xml:space="preserve">4</w:t>
            </w:r>
          </w:p>
        </w:tc>
        <w:tc>
          <w:tcPr/>
          <w:p>
            <w:pPr>
              <w:pStyle w:val="Compact"/>
            </w:pPr>
            <w:r>
              <w:t xml:space="preserve">4</w:t>
            </w:r>
          </w:p>
        </w:tc>
        <w:tc>
          <w:tcPr/>
          <w:p>
            <w:pPr>
              <w:pStyle w:val="Compact"/>
            </w:pPr>
            <w:r>
              <w:t xml:space="preserve">16</w:t>
            </w:r>
          </w:p>
        </w:tc>
        <w:tc>
          <w:tcPr/>
          <w:p>
            <w:pPr>
              <w:pStyle w:val="Compact"/>
            </w:pPr>
            <w:r>
              <w:t xml:space="preserve">CRITICAL</w:t>
            </w:r>
          </w:p>
        </w:tc>
        <w:tc>
          <w:tcPr/>
          <w:p>
            <w:pPr>
              <w:pStyle w:val="Compact"/>
            </w:pPr>
            <w:r>
              <w:t xml:space="preserve">Track override rates per facility and per clinician (NFR-HC-012). Flag override rates exceeding 80% for review. Limit Info-tier alerts to sidebar display only (no modal). Clinician-validated alert thresholds reduce false positives. Monthly override rate reports to Clinical Safety Officer.</w:t>
            </w:r>
          </w:p>
        </w:tc>
        <w:tc>
          <w:tcPr/>
          <w:p>
            <w:pPr>
              <w:pStyle w:val="Compact"/>
            </w:pPr>
            <w:r>
              <w:t xml:space="preserve">Peter</w:t>
            </w:r>
          </w:p>
        </w:tc>
        <w:tc>
          <w:tcPr/>
          <w:p>
            <w:pPr>
              <w:pStyle w:val="Compact"/>
            </w:pPr>
            <w:r>
              <w:t xml:space="preserve">Designed -- NFR-HC-012</w:t>
            </w:r>
          </w:p>
        </w:tc>
      </w:tr>
    </w:tbl>
    <w:bookmarkEnd w:id="13"/>
    <w:bookmarkStart w:id="14" w:name="Xe3628ff9f19eed015609efdd49bca94c340bbd7"/>
    <w:p>
      <w:pPr>
        <w:pStyle w:val="Heading3"/>
      </w:pPr>
      <w:r>
        <w:t xml:space="preserve">2.2 Data Security Risks</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Risk ID</w:t>
            </w:r>
          </w:p>
        </w:tc>
        <w:tc>
          <w:tcPr/>
          <w:p>
            <w:pPr>
              <w:pStyle w:val="Compact"/>
            </w:pPr>
            <w:r>
              <w:t xml:space="preserve">Risk Description</w:t>
            </w:r>
          </w:p>
        </w:tc>
        <w:tc>
          <w:tcPr/>
          <w:p>
            <w:pPr>
              <w:pStyle w:val="Compact"/>
            </w:pPr>
            <w:r>
              <w:t xml:space="preserve">L</w:t>
            </w:r>
          </w:p>
        </w:tc>
        <w:tc>
          <w:tcPr/>
          <w:p>
            <w:pPr>
              <w:pStyle w:val="Compact"/>
            </w:pPr>
            <w:r>
              <w:t xml:space="preserve">I</w:t>
            </w:r>
          </w:p>
        </w:tc>
        <w:tc>
          <w:tcPr/>
          <w:p>
            <w:pPr>
              <w:pStyle w:val="Compact"/>
            </w:pPr>
            <w:r>
              <w:t xml:space="preserve">Score</w:t>
            </w:r>
          </w:p>
        </w:tc>
        <w:tc>
          <w:tcPr/>
          <w:p>
            <w:pPr>
              <w:pStyle w:val="Compact"/>
            </w:pPr>
            <w:r>
              <w:t xml:space="preserve">Classification</w:t>
            </w:r>
          </w:p>
        </w:tc>
        <w:tc>
          <w:tcPr/>
          <w:p>
            <w:pPr>
              <w:pStyle w:val="Compact"/>
            </w:pPr>
            <w:r>
              <w:t xml:space="preserve">Mitigation Strategy</w:t>
            </w:r>
          </w:p>
        </w:tc>
        <w:tc>
          <w:tcPr/>
          <w:p>
            <w:pPr>
              <w:pStyle w:val="Compact"/>
            </w:pPr>
            <w:r>
              <w:t xml:space="preserve">Owner</w:t>
            </w:r>
          </w:p>
        </w:tc>
        <w:tc>
          <w:tcPr/>
          <w:p>
            <w:pPr>
              <w:pStyle w:val="Compact"/>
            </w:pPr>
            <w:r>
              <w:t xml:space="preserve">Status</w:t>
            </w:r>
          </w:p>
        </w:tc>
      </w:tr>
      <w:tr>
        <w:tc>
          <w:tcPr/>
          <w:p>
            <w:pPr>
              <w:pStyle w:val="Compact"/>
            </w:pPr>
            <w:r>
              <w:t xml:space="preserve">R-DS-001</w:t>
            </w:r>
          </w:p>
        </w:tc>
        <w:tc>
          <w:tcPr/>
          <w:p>
            <w:pPr>
              <w:pStyle w:val="Compact"/>
            </w:pPr>
            <w:r>
              <w:t xml:space="preserve">Patient data breach. Unauthorised access to the Medic8 database exposes patient health information (demographics, diagnoses, HIV status, billing), triggering PDPA Section 31 breach notification and reputational damage.</w:t>
            </w:r>
          </w:p>
        </w:tc>
        <w:tc>
          <w:tcPr/>
          <w:p>
            <w:pPr>
              <w:pStyle w:val="Compact"/>
            </w:pPr>
            <w:r>
              <w:t xml:space="preserve">2</w:t>
            </w:r>
          </w:p>
        </w:tc>
        <w:tc>
          <w:tcPr/>
          <w:p>
            <w:pPr>
              <w:pStyle w:val="Compact"/>
            </w:pPr>
            <w:r>
              <w:t xml:space="preserve">5</w:t>
            </w:r>
          </w:p>
        </w:tc>
        <w:tc>
          <w:tcPr/>
          <w:p>
            <w:pPr>
              <w:pStyle w:val="Compact"/>
            </w:pPr>
            <w:r>
              <w:t xml:space="preserve">10</w:t>
            </w:r>
          </w:p>
        </w:tc>
        <w:tc>
          <w:tcPr/>
          <w:p>
            <w:pPr>
              <w:pStyle w:val="Compact"/>
            </w:pPr>
            <w:r>
              <w:t xml:space="preserve">HIGH</w:t>
            </w:r>
          </w:p>
        </w:tc>
        <w:tc>
          <w:tcPr/>
          <w:p>
            <w:pPr>
              <w:pStyle w:val="Compact"/>
            </w:pPr>
            <w:r>
              <w:t xml:space="preserve">AES-256-GCM encryption at rest (NFR-HC-002). TLS 1.2+ in transit (NFR-HC-003). 15-minute session timeout (NFR-HC-004). MFA for admin roles (NFR-HC-005). Tamper-proof audit trail (NFR-HC-001). 72-hour breach notification tooling (NFR-HC-008). Regular penetration testing. WAF on all public endpoints.</w:t>
            </w:r>
          </w:p>
        </w:tc>
        <w:tc>
          <w:tcPr/>
          <w:p>
            <w:pPr>
              <w:pStyle w:val="Compact"/>
            </w:pPr>
            <w:r>
              <w:t xml:space="preserve">Peter</w:t>
            </w:r>
          </w:p>
        </w:tc>
        <w:tc>
          <w:tcPr/>
          <w:p>
            <w:pPr>
              <w:pStyle w:val="Compact"/>
            </w:pPr>
            <w:r>
              <w:t xml:space="preserve">Designed</w:t>
            </w:r>
          </w:p>
        </w:tc>
      </w:tr>
      <w:tr>
        <w:tc>
          <w:tcPr/>
          <w:p>
            <w:pPr>
              <w:pStyle w:val="Compact"/>
            </w:pPr>
            <w:r>
              <w:t xml:space="preserve">R-DS-002</w:t>
            </w:r>
          </w:p>
        </w:tc>
        <w:tc>
          <w:tcPr/>
          <w:p>
            <w:pPr>
              <w:pStyle w:val="Compact"/>
            </w:pPr>
            <w:r>
              <w:t xml:space="preserve">Cross-tenant data leakage. A bug or SQL injection bypasses tenant isolation, exposing Facility A's patient data to Facility B users.</w:t>
            </w:r>
          </w:p>
        </w:tc>
        <w:tc>
          <w:tcPr/>
          <w:p>
            <w:pPr>
              <w:pStyle w:val="Compact"/>
            </w:pPr>
            <w:r>
              <w:t xml:space="preserve">1</w:t>
            </w:r>
          </w:p>
        </w:tc>
        <w:tc>
          <w:tcPr/>
          <w:p>
            <w:pPr>
              <w:pStyle w:val="Compact"/>
            </w:pPr>
            <w:r>
              <w:t xml:space="preserve">5</w:t>
            </w:r>
          </w:p>
        </w:tc>
        <w:tc>
          <w:tcPr/>
          <w:p>
            <w:pPr>
              <w:pStyle w:val="Compact"/>
            </w:pPr>
            <w:r>
              <w:t xml:space="preserve">5</w:t>
            </w:r>
          </w:p>
        </w:tc>
        <w:tc>
          <w:tcPr/>
          <w:p>
            <w:pPr>
              <w:pStyle w:val="Compact"/>
            </w:pPr>
            <w:r>
              <w:t xml:space="preserve">MEDIUM</w:t>
            </w:r>
          </w:p>
        </w:tc>
        <w:tc>
          <w:tcPr/>
          <w:p>
            <w:pPr>
              <w:pStyle w:val="Compact"/>
            </w:pPr>
            <w:r>
              <w:rPr>
                <w:rStyle w:val="VerbatimChar"/>
              </w:rPr>
              <w:t xml:space="preserve">facility_id</w:t>
            </w:r>
            <w:r>
              <w:t xml:space="preserve"> </w:t>
            </w:r>
            <w:r>
              <w:t xml:space="preserve">WHERE clause enforced at Repository base class (NFR-HC-015). Eloquent global scope as secondary defence. CI audit rule rejects raw SQL without tenant scope. Integration tests verify cross-tenant queries return zero results. Penetration test specifically targeting tenant boundaries.</w:t>
            </w:r>
          </w:p>
        </w:tc>
        <w:tc>
          <w:tcPr/>
          <w:p>
            <w:pPr>
              <w:pStyle w:val="Compact"/>
            </w:pPr>
            <w:r>
              <w:t xml:space="preserve">Peter</w:t>
            </w:r>
          </w:p>
        </w:tc>
        <w:tc>
          <w:tcPr/>
          <w:p>
            <w:pPr>
              <w:pStyle w:val="Compact"/>
            </w:pPr>
            <w:r>
              <w:t xml:space="preserve">Designed -- NFR-HC-015</w:t>
            </w:r>
          </w:p>
        </w:tc>
      </w:tr>
      <w:tr>
        <w:tc>
          <w:tcPr/>
          <w:p>
            <w:pPr>
              <w:pStyle w:val="Compact"/>
            </w:pPr>
            <w:r>
              <w:t xml:space="preserve">R-DS-003</w:t>
            </w:r>
          </w:p>
        </w:tc>
        <w:tc>
          <w:tcPr/>
          <w:p>
            <w:pPr>
              <w:pStyle w:val="Compact"/>
            </w:pPr>
            <w:r>
              <w:t xml:space="preserve">Insider threat: staff member accesses patient records without clinical justification. A staff member with legitimate system access views patient records for personal reasons (curiosity, family disputes, celebrity patients).</w:t>
            </w:r>
          </w:p>
        </w:tc>
        <w:tc>
          <w:tcPr/>
          <w:p>
            <w:pPr>
              <w:pStyle w:val="Compact"/>
            </w:pPr>
            <w:r>
              <w:t xml:space="preserve">3</w:t>
            </w:r>
          </w:p>
        </w:tc>
        <w:tc>
          <w:tcPr/>
          <w:p>
            <w:pPr>
              <w:pStyle w:val="Compact"/>
            </w:pPr>
            <w:r>
              <w:t xml:space="preserve">4</w:t>
            </w:r>
          </w:p>
        </w:tc>
        <w:tc>
          <w:tcPr/>
          <w:p>
            <w:pPr>
              <w:pStyle w:val="Compact"/>
            </w:pPr>
            <w:r>
              <w:t xml:space="preserve">12</w:t>
            </w:r>
          </w:p>
        </w:tc>
        <w:tc>
          <w:tcPr/>
          <w:p>
            <w:pPr>
              <w:pStyle w:val="Compact"/>
            </w:pPr>
            <w:r>
              <w:t xml:space="preserve">HIGH</w:t>
            </w:r>
          </w:p>
        </w:tc>
        <w:tc>
          <w:tcPr/>
          <w:p>
            <w:pPr>
              <w:pStyle w:val="Compact"/>
            </w:pPr>
            <w:r>
              <w:t xml:space="preserve">Tamper-proof audit trail logs all access (NFR-HC-001). ABAC restricts sensitive records to authorised clinicians with active treatment relationships (NFR-HC-010). Break-the-glass access triggers mandatory post-access review and patient SMS notification (FR-RBAC-007). Anomalous access pattern detection (future enhancement). Monthly audit trail sampling by Facility Admin.</w:t>
            </w:r>
          </w:p>
        </w:tc>
        <w:tc>
          <w:tcPr/>
          <w:p>
            <w:pPr>
              <w:pStyle w:val="Compact"/>
            </w:pPr>
            <w:r>
              <w:t xml:space="preserve">Peter</w:t>
            </w:r>
          </w:p>
        </w:tc>
        <w:tc>
          <w:tcPr/>
          <w:p>
            <w:pPr>
              <w:pStyle w:val="Compact"/>
            </w:pPr>
            <w:r>
              <w:t xml:space="preserve">Designed</w:t>
            </w:r>
          </w:p>
        </w:tc>
      </w:tr>
      <w:tr>
        <w:tc>
          <w:tcPr/>
          <w:p>
            <w:pPr>
              <w:pStyle w:val="Compact"/>
            </w:pPr>
            <w:r>
              <w:t xml:space="preserve">R-DS-004</w:t>
            </w:r>
          </w:p>
        </w:tc>
        <w:tc>
          <w:tcPr/>
          <w:p>
            <w:pPr>
              <w:pStyle w:val="Compact"/>
            </w:pPr>
            <w:r>
              <w:t xml:space="preserve">Mobile device theft with cached patient data. A healthcare worker's mobile device is stolen, exposing locally cached patient records from the offline queue.</w:t>
            </w:r>
          </w:p>
        </w:tc>
        <w:tc>
          <w:tcPr/>
          <w:p>
            <w:pPr>
              <w:pStyle w:val="Compact"/>
            </w:pPr>
            <w:r>
              <w:t xml:space="preserve">3</w:t>
            </w:r>
          </w:p>
        </w:tc>
        <w:tc>
          <w:tcPr/>
          <w:p>
            <w:pPr>
              <w:pStyle w:val="Compact"/>
            </w:pPr>
            <w:r>
              <w:t xml:space="preserve">3</w:t>
            </w:r>
          </w:p>
        </w:tc>
        <w:tc>
          <w:tcPr/>
          <w:p>
            <w:pPr>
              <w:pStyle w:val="Compact"/>
            </w:pPr>
            <w:r>
              <w:t xml:space="preserve">9</w:t>
            </w:r>
          </w:p>
        </w:tc>
        <w:tc>
          <w:tcPr/>
          <w:p>
            <w:pPr>
              <w:pStyle w:val="Compact"/>
            </w:pPr>
            <w:r>
              <w:t xml:space="preserve">MEDIUM</w:t>
            </w:r>
          </w:p>
        </w:tc>
        <w:tc>
          <w:tcPr/>
          <w:p>
            <w:pPr>
              <w:pStyle w:val="Compact"/>
            </w:pPr>
            <w:r>
              <w:t xml:space="preserve">Encrypt local storage (IndexedDB/Room/SwiftData) with device-level encryption. Remote wipe capability via session revocation (FR-RBAC-004). Auto-lock after 5 minutes of device inactivity. Biometric authentication on mobile app. Limit offline cache to essential clinical data only.</w:t>
            </w:r>
          </w:p>
        </w:tc>
        <w:tc>
          <w:tcPr/>
          <w:p>
            <w:pPr>
              <w:pStyle w:val="Compact"/>
            </w:pPr>
            <w:r>
              <w:t xml:space="preserve">Peter</w:t>
            </w:r>
          </w:p>
        </w:tc>
        <w:tc>
          <w:tcPr/>
          <w:p>
            <w:pPr>
              <w:pStyle w:val="Compact"/>
            </w:pPr>
            <w:r>
              <w:t xml:space="preserve">Partially designed -- remote wipe designed; local encryption enforcement TBD</w:t>
            </w:r>
          </w:p>
        </w:tc>
      </w:tr>
      <w:tr>
        <w:tc>
          <w:tcPr/>
          <w:p>
            <w:pPr>
              <w:pStyle w:val="Compact"/>
            </w:pPr>
            <w:r>
              <w:t xml:space="preserve">R-DS-005</w:t>
            </w:r>
          </w:p>
        </w:tc>
        <w:tc>
          <w:tcPr/>
          <w:p>
            <w:pPr>
              <w:pStyle w:val="Compact"/>
            </w:pPr>
            <w:r>
              <w:t xml:space="preserve">Unencrypted backup exposure. A database backup file stored without encryption is accessed by an unauthorised party, exposing patient data in plaintext.</w:t>
            </w:r>
          </w:p>
        </w:tc>
        <w:tc>
          <w:tcPr/>
          <w:p>
            <w:pPr>
              <w:pStyle w:val="Compact"/>
            </w:pPr>
            <w:r>
              <w:t xml:space="preserve">2</w:t>
            </w:r>
          </w:p>
        </w:tc>
        <w:tc>
          <w:tcPr/>
          <w:p>
            <w:pPr>
              <w:pStyle w:val="Compact"/>
            </w:pPr>
            <w:r>
              <w:t xml:space="preserve">4</w:t>
            </w:r>
          </w:p>
        </w:tc>
        <w:tc>
          <w:tcPr/>
          <w:p>
            <w:pPr>
              <w:pStyle w:val="Compact"/>
            </w:pPr>
            <w:r>
              <w:t xml:space="preserve">8</w:t>
            </w:r>
          </w:p>
        </w:tc>
        <w:tc>
          <w:tcPr/>
          <w:p>
            <w:pPr>
              <w:pStyle w:val="Compact"/>
            </w:pPr>
            <w:r>
              <w:t xml:space="preserve">MEDIUM</w:t>
            </w:r>
          </w:p>
        </w:tc>
        <w:tc>
          <w:tcPr/>
          <w:p>
            <w:pPr>
              <w:pStyle w:val="Compact"/>
            </w:pPr>
            <w:r>
              <w:t xml:space="preserve">Encrypt all backup files with AES-256. Restrict backup storage access to Super Admin and automated backup service only. Backup verification testing uses anonymised restore, not production data (NFR-HC-020). Backup storage location access logged.</w:t>
            </w:r>
          </w:p>
        </w:tc>
        <w:tc>
          <w:tcPr/>
          <w:p>
            <w:pPr>
              <w:pStyle w:val="Compact"/>
            </w:pPr>
            <w:r>
              <w:t xml:space="preserve">Peter</w:t>
            </w:r>
          </w:p>
        </w:tc>
        <w:tc>
          <w:tcPr/>
          <w:p>
            <w:pPr>
              <w:pStyle w:val="Compact"/>
            </w:pPr>
            <w:r>
              <w:t xml:space="preserve">Designed -- NFR-HC-020</w:t>
            </w:r>
          </w:p>
        </w:tc>
      </w:tr>
    </w:tbl>
    <w:bookmarkEnd w:id="14"/>
    <w:bookmarkStart w:id="15" w:name="X9c9438eeccbd44b76de11bca9594a2bee076df3"/>
    <w:p>
      <w:pPr>
        <w:pStyle w:val="Heading3"/>
      </w:pPr>
      <w:r>
        <w:t xml:space="preserve">2.3 Regulatory Risks</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Risk ID</w:t>
            </w:r>
          </w:p>
        </w:tc>
        <w:tc>
          <w:tcPr/>
          <w:p>
            <w:pPr>
              <w:pStyle w:val="Compact"/>
            </w:pPr>
            <w:r>
              <w:t xml:space="preserve">Risk Description</w:t>
            </w:r>
          </w:p>
        </w:tc>
        <w:tc>
          <w:tcPr/>
          <w:p>
            <w:pPr>
              <w:pStyle w:val="Compact"/>
            </w:pPr>
            <w:r>
              <w:t xml:space="preserve">L</w:t>
            </w:r>
          </w:p>
        </w:tc>
        <w:tc>
          <w:tcPr/>
          <w:p>
            <w:pPr>
              <w:pStyle w:val="Compact"/>
            </w:pPr>
            <w:r>
              <w:t xml:space="preserve">I</w:t>
            </w:r>
          </w:p>
        </w:tc>
        <w:tc>
          <w:tcPr/>
          <w:p>
            <w:pPr>
              <w:pStyle w:val="Compact"/>
            </w:pPr>
            <w:r>
              <w:t xml:space="preserve">Score</w:t>
            </w:r>
          </w:p>
        </w:tc>
        <w:tc>
          <w:tcPr/>
          <w:p>
            <w:pPr>
              <w:pStyle w:val="Compact"/>
            </w:pPr>
            <w:r>
              <w:t xml:space="preserve">Classification</w:t>
            </w:r>
          </w:p>
        </w:tc>
        <w:tc>
          <w:tcPr/>
          <w:p>
            <w:pPr>
              <w:pStyle w:val="Compact"/>
            </w:pPr>
            <w:r>
              <w:t xml:space="preserve">Mitigation Strategy</w:t>
            </w:r>
          </w:p>
        </w:tc>
        <w:tc>
          <w:tcPr/>
          <w:p>
            <w:pPr>
              <w:pStyle w:val="Compact"/>
            </w:pPr>
            <w:r>
              <w:t xml:space="preserve">Owner</w:t>
            </w:r>
          </w:p>
        </w:tc>
        <w:tc>
          <w:tcPr/>
          <w:p>
            <w:pPr>
              <w:pStyle w:val="Compact"/>
            </w:pPr>
            <w:r>
              <w:t xml:space="preserve">Status</w:t>
            </w:r>
          </w:p>
        </w:tc>
      </w:tr>
      <w:tr>
        <w:tc>
          <w:tcPr/>
          <w:p>
            <w:pPr>
              <w:pStyle w:val="Compact"/>
            </w:pPr>
            <w:r>
              <w:t xml:space="preserve">R-RG-001</w:t>
            </w:r>
          </w:p>
        </w:tc>
        <w:tc>
          <w:tcPr/>
          <w:p>
            <w:pPr>
              <w:pStyle w:val="Compact"/>
            </w:pPr>
            <w:r>
              <w:t xml:space="preserve">UMDPC software registration required. If Medic8 is classified as a medical device under Uganda regulations because it supports prescribing, dispensing, and clinical decision support, it may require registration with UMDPC before commercial sale.</w:t>
            </w:r>
          </w:p>
        </w:tc>
        <w:tc>
          <w:tcPr/>
          <w:p>
            <w:pPr>
              <w:pStyle w:val="Compact"/>
            </w:pPr>
            <w:r>
              <w:t xml:space="preserve">3</w:t>
            </w:r>
          </w:p>
        </w:tc>
        <w:tc>
          <w:tcPr/>
          <w:p>
            <w:pPr>
              <w:pStyle w:val="Compact"/>
            </w:pPr>
            <w:r>
              <w:t xml:space="preserve">4</w:t>
            </w:r>
          </w:p>
        </w:tc>
        <w:tc>
          <w:tcPr/>
          <w:p>
            <w:pPr>
              <w:pStyle w:val="Compact"/>
            </w:pPr>
            <w:r>
              <w:t xml:space="preserve">12</w:t>
            </w:r>
          </w:p>
        </w:tc>
        <w:tc>
          <w:tcPr/>
          <w:p>
            <w:pPr>
              <w:pStyle w:val="Compact"/>
            </w:pPr>
            <w:r>
              <w:t xml:space="preserve">HIGH</w:t>
            </w:r>
          </w:p>
        </w:tc>
        <w:tc>
          <w:tcPr/>
          <w:p>
            <w:pPr>
              <w:pStyle w:val="Compact"/>
            </w:pPr>
            <w:r>
              <w:t xml:space="preserve">Submit registration enquiry to UMDPC (Gap Analysis HIGH-003). Prepare software classification documentation. Budget for registration fees and compliance audits. Ensure CDS is documented as decision support, not decision making.</w:t>
            </w:r>
          </w:p>
        </w:tc>
        <w:tc>
          <w:tcPr/>
          <w:p>
            <w:pPr>
              <w:pStyle w:val="Compact"/>
            </w:pPr>
            <w:r>
              <w:t xml:space="preserve">Peter</w:t>
            </w:r>
          </w:p>
        </w:tc>
        <w:tc>
          <w:tcPr/>
          <w:p>
            <w:pPr>
              <w:pStyle w:val="Compact"/>
            </w:pPr>
            <w:r>
              <w:t xml:space="preserve">Open -- Gap Analysis HIGH-003 unresolved</w:t>
            </w:r>
          </w:p>
        </w:tc>
      </w:tr>
      <w:tr>
        <w:tc>
          <w:tcPr/>
          <w:p>
            <w:pPr>
              <w:pStyle w:val="Compact"/>
            </w:pPr>
            <w:r>
              <w:t xml:space="preserve">R-RG-002</w:t>
            </w:r>
          </w:p>
        </w:tc>
        <w:tc>
          <w:tcPr/>
          <w:p>
            <w:pPr>
              <w:pStyle w:val="Compact"/>
            </w:pPr>
            <w:r>
              <w:t xml:space="preserve">PDPA enforcement action. The Personal Data Protection Office initiates enforcement action against Medic8 for non-compliance with consent, data subject rights, or breach notification requirements.</w:t>
            </w:r>
          </w:p>
        </w:tc>
        <w:tc>
          <w:tcPr/>
          <w:p>
            <w:pPr>
              <w:pStyle w:val="Compact"/>
            </w:pPr>
            <w:r>
              <w:t xml:space="preserve">2</w:t>
            </w:r>
          </w:p>
        </w:tc>
        <w:tc>
          <w:tcPr/>
          <w:p>
            <w:pPr>
              <w:pStyle w:val="Compact"/>
            </w:pPr>
            <w:r>
              <w:t xml:space="preserve">4</w:t>
            </w:r>
          </w:p>
        </w:tc>
        <w:tc>
          <w:tcPr/>
          <w:p>
            <w:pPr>
              <w:pStyle w:val="Compact"/>
            </w:pPr>
            <w:r>
              <w:t xml:space="preserve">8</w:t>
            </w:r>
          </w:p>
        </w:tc>
        <w:tc>
          <w:tcPr/>
          <w:p>
            <w:pPr>
              <w:pStyle w:val="Compact"/>
            </w:pPr>
            <w:r>
              <w:t xml:space="preserve">MEDIUM</w:t>
            </w:r>
          </w:p>
        </w:tc>
        <w:tc>
          <w:tcPr/>
          <w:p>
            <w:pPr>
              <w:pStyle w:val="Compact"/>
            </w:pPr>
            <w:r>
              <w:t xml:space="preserve">Complete PDPA compliance documentation (this document). Engage a Uganda data protection lawyer (Gap Analysis HIGH-002). Register with PDPO. Conduct DPIA for all processing activities. Implement breach notification tooling (NFR-HC-008). Appoint a Data Protection Officer.</w:t>
            </w:r>
          </w:p>
        </w:tc>
        <w:tc>
          <w:tcPr/>
          <w:p>
            <w:pPr>
              <w:pStyle w:val="Compact"/>
            </w:pPr>
            <w:r>
              <w:t xml:space="preserve">Peter</w:t>
            </w:r>
          </w:p>
        </w:tc>
        <w:tc>
          <w:tcPr/>
          <w:p>
            <w:pPr>
              <w:pStyle w:val="Compact"/>
            </w:pPr>
            <w:r>
              <w:t xml:space="preserve">In progress -- compliance documentation drafted; legal review pending</w:t>
            </w:r>
          </w:p>
        </w:tc>
      </w:tr>
      <w:tr>
        <w:tc>
          <w:tcPr/>
          <w:p>
            <w:pPr>
              <w:pStyle w:val="Compact"/>
            </w:pPr>
            <w:r>
              <w:t xml:space="preserve">R-RG-003</w:t>
            </w:r>
          </w:p>
        </w:tc>
        <w:tc>
          <w:tcPr/>
          <w:p>
            <w:pPr>
              <w:pStyle w:val="Compact"/>
            </w:pPr>
            <w:r>
              <w:t xml:space="preserve">NHIS API not published. Uganda National Health Insurance Scheme API documentation is not publicly available, blocking insurance claims integration.</w:t>
            </w:r>
          </w:p>
        </w:tc>
        <w:tc>
          <w:tcPr/>
          <w:p>
            <w:pPr>
              <w:pStyle w:val="Compact"/>
            </w:pPr>
            <w:r>
              <w:t xml:space="preserve">3</w:t>
            </w:r>
          </w:p>
        </w:tc>
        <w:tc>
          <w:tcPr/>
          <w:p>
            <w:pPr>
              <w:pStyle w:val="Compact"/>
            </w:pPr>
            <w:r>
              <w:t xml:space="preserve">3</w:t>
            </w:r>
          </w:p>
        </w:tc>
        <w:tc>
          <w:tcPr/>
          <w:p>
            <w:pPr>
              <w:pStyle w:val="Compact"/>
            </w:pPr>
            <w:r>
              <w:t xml:space="preserve">9</w:t>
            </w:r>
          </w:p>
        </w:tc>
        <w:tc>
          <w:tcPr/>
          <w:p>
            <w:pPr>
              <w:pStyle w:val="Compact"/>
            </w:pPr>
            <w:r>
              <w:t xml:space="preserve">MEDIUM</w:t>
            </w:r>
          </w:p>
        </w:tc>
        <w:tc>
          <w:tcPr/>
          <w:p>
            <w:pPr>
              <w:pStyle w:val="Compact"/>
            </w:pPr>
            <w:r>
              <w:t xml:space="preserve">Register with NHIS as licensed healthcare software. Request API documentation. Design insurance module with configurable claims format (Phase 2). Implement manual claims export as interim solution.</w:t>
            </w:r>
          </w:p>
        </w:tc>
        <w:tc>
          <w:tcPr/>
          <w:p>
            <w:pPr>
              <w:pStyle w:val="Compact"/>
            </w:pPr>
            <w:r>
              <w:t xml:space="preserve">Peter</w:t>
            </w:r>
          </w:p>
        </w:tc>
        <w:tc>
          <w:tcPr/>
          <w:p>
            <w:pPr>
              <w:pStyle w:val="Compact"/>
            </w:pPr>
            <w:r>
              <w:t xml:space="preserve">Open -- NHIS engagement not yet initiated</w:t>
            </w:r>
          </w:p>
        </w:tc>
      </w:tr>
      <w:tr>
        <w:tc>
          <w:tcPr/>
          <w:p>
            <w:pPr>
              <w:pStyle w:val="Compact"/>
            </w:pPr>
            <w:r>
              <w:t xml:space="preserve">R-RG-004</w:t>
            </w:r>
          </w:p>
        </w:tc>
        <w:tc>
          <w:tcPr/>
          <w:p>
            <w:pPr>
              <w:pStyle w:val="Compact"/>
            </w:pPr>
            <w:r>
              <w:t xml:space="preserve">HIV data disclosure violation. A system defect or misconfiguration exposes a patient's HIV status to a user without the required ABAC permission, violating the HIV/AIDS Prevention and Control Act 2014 Section 18.</w:t>
            </w:r>
          </w:p>
        </w:tc>
        <w:tc>
          <w:tcPr/>
          <w:p>
            <w:pPr>
              <w:pStyle w:val="Compact"/>
            </w:pPr>
            <w:r>
              <w:t xml:space="preserve">2</w:t>
            </w:r>
          </w:p>
        </w:tc>
        <w:tc>
          <w:tcPr/>
          <w:p>
            <w:pPr>
              <w:pStyle w:val="Compact"/>
            </w:pPr>
            <w:r>
              <w:t xml:space="preserve">5</w:t>
            </w:r>
          </w:p>
        </w:tc>
        <w:tc>
          <w:tcPr/>
          <w:p>
            <w:pPr>
              <w:pStyle w:val="Compact"/>
            </w:pPr>
            <w:r>
              <w:t xml:space="preserve">10</w:t>
            </w:r>
          </w:p>
        </w:tc>
        <w:tc>
          <w:tcPr/>
          <w:p>
            <w:pPr>
              <w:pStyle w:val="Compact"/>
            </w:pPr>
            <w:r>
              <w:t xml:space="preserve">HIGH</w:t>
            </w:r>
          </w:p>
        </w:tc>
        <w:tc>
          <w:tcPr/>
          <w:p>
            <w:pPr>
              <w:pStyle w:val="Compact"/>
            </w:pPr>
            <w:r>
              <w:t xml:space="preserve">ABAC sensitive record access tier with 3-attribute check (NFR-HC-010, FR-RBAC-003). Break-the-glass audit with patient SMS notification (FR-RBAC-007). Integration tests verify "[Restricted]" display for unauthorised users. Penetration test targeting HIV data access paths.</w:t>
            </w:r>
          </w:p>
        </w:tc>
        <w:tc>
          <w:tcPr/>
          <w:p>
            <w:pPr>
              <w:pStyle w:val="Compact"/>
            </w:pPr>
            <w:r>
              <w:t xml:space="preserve">Peter</w:t>
            </w:r>
          </w:p>
        </w:tc>
        <w:tc>
          <w:tcPr/>
          <w:p>
            <w:pPr>
              <w:pStyle w:val="Compact"/>
            </w:pPr>
            <w:r>
              <w:t xml:space="preserve">Designed</w:t>
            </w:r>
          </w:p>
        </w:tc>
      </w:tr>
    </w:tbl>
    <w:bookmarkEnd w:id="15"/>
    <w:bookmarkStart w:id="16" w:name="X4deb122d8f841075b4c98ddf9abe9c82a2f8581"/>
    <w:p>
      <w:pPr>
        <w:pStyle w:val="Heading3"/>
      </w:pPr>
      <w:r>
        <w:t xml:space="preserve">2.4 Technical Risks</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Risk ID</w:t>
            </w:r>
          </w:p>
        </w:tc>
        <w:tc>
          <w:tcPr/>
          <w:p>
            <w:pPr>
              <w:pStyle w:val="Compact"/>
            </w:pPr>
            <w:r>
              <w:t xml:space="preserve">Risk Description</w:t>
            </w:r>
          </w:p>
        </w:tc>
        <w:tc>
          <w:tcPr/>
          <w:p>
            <w:pPr>
              <w:pStyle w:val="Compact"/>
            </w:pPr>
            <w:r>
              <w:t xml:space="preserve">L</w:t>
            </w:r>
          </w:p>
        </w:tc>
        <w:tc>
          <w:tcPr/>
          <w:p>
            <w:pPr>
              <w:pStyle w:val="Compact"/>
            </w:pPr>
            <w:r>
              <w:t xml:space="preserve">I</w:t>
            </w:r>
          </w:p>
        </w:tc>
        <w:tc>
          <w:tcPr/>
          <w:p>
            <w:pPr>
              <w:pStyle w:val="Compact"/>
            </w:pPr>
            <w:r>
              <w:t xml:space="preserve">Score</w:t>
            </w:r>
          </w:p>
        </w:tc>
        <w:tc>
          <w:tcPr/>
          <w:p>
            <w:pPr>
              <w:pStyle w:val="Compact"/>
            </w:pPr>
            <w:r>
              <w:t xml:space="preserve">Classification</w:t>
            </w:r>
          </w:p>
        </w:tc>
        <w:tc>
          <w:tcPr/>
          <w:p>
            <w:pPr>
              <w:pStyle w:val="Compact"/>
            </w:pPr>
            <w:r>
              <w:t xml:space="preserve">Mitigation Strategy</w:t>
            </w:r>
          </w:p>
        </w:tc>
        <w:tc>
          <w:tcPr/>
          <w:p>
            <w:pPr>
              <w:pStyle w:val="Compact"/>
            </w:pPr>
            <w:r>
              <w:t xml:space="preserve">Owner</w:t>
            </w:r>
          </w:p>
        </w:tc>
        <w:tc>
          <w:tcPr/>
          <w:p>
            <w:pPr>
              <w:pStyle w:val="Compact"/>
            </w:pPr>
            <w:r>
              <w:t xml:space="preserve">Status</w:t>
            </w:r>
          </w:p>
        </w:tc>
      </w:tr>
      <w:tr>
        <w:tc>
          <w:tcPr/>
          <w:p>
            <w:pPr>
              <w:pStyle w:val="Compact"/>
            </w:pPr>
            <w:r>
              <w:t xml:space="preserve">R-TC-001</w:t>
            </w:r>
          </w:p>
        </w:tc>
        <w:tc>
          <w:tcPr/>
          <w:p>
            <w:pPr>
              <w:pStyle w:val="Compact"/>
            </w:pPr>
            <w:r>
              <w:t xml:space="preserve">Offline sync data corruption. After extended offline operation (approaching 72-hour queue limit), the sync process fails or produces corrupted records, leading to data loss or inconsistency.</w:t>
            </w:r>
          </w:p>
        </w:tc>
        <w:tc>
          <w:tcPr/>
          <w:p>
            <w:pPr>
              <w:pStyle w:val="Compact"/>
            </w:pPr>
            <w:r>
              <w:t xml:space="preserve">2</w:t>
            </w:r>
          </w:p>
        </w:tc>
        <w:tc>
          <w:tcPr/>
          <w:p>
            <w:pPr>
              <w:pStyle w:val="Compact"/>
            </w:pPr>
            <w:r>
              <w:t xml:space="preserve">4</w:t>
            </w:r>
          </w:p>
        </w:tc>
        <w:tc>
          <w:tcPr/>
          <w:p>
            <w:pPr>
              <w:pStyle w:val="Compact"/>
            </w:pPr>
            <w:r>
              <w:t xml:space="preserve">8</w:t>
            </w:r>
          </w:p>
        </w:tc>
        <w:tc>
          <w:tcPr/>
          <w:p>
            <w:pPr>
              <w:pStyle w:val="Compact"/>
            </w:pPr>
            <w:r>
              <w:t xml:space="preserve">MEDIUM</w:t>
            </w:r>
          </w:p>
        </w:tc>
        <w:tc>
          <w:tcPr/>
          <w:p>
            <w:pPr>
              <w:pStyle w:val="Compact"/>
            </w:pPr>
            <w:r>
              <w:t xml:space="preserve">Field-level merge with conflict log (BR-DATA-003). Clinical field conflicts preserved side by side (not overwritten). Sync transaction integrity (all-or-nothing per record). Sync progress indicator with retry. Daily sync verification report. 72-hour queue limit with pre-limit warning at 48 hours.</w:t>
            </w:r>
          </w:p>
        </w:tc>
        <w:tc>
          <w:tcPr/>
          <w:p>
            <w:pPr>
              <w:pStyle w:val="Compact"/>
            </w:pPr>
            <w:r>
              <w:t xml:space="preserve">Peter</w:t>
            </w:r>
          </w:p>
        </w:tc>
        <w:tc>
          <w:tcPr/>
          <w:p>
            <w:pPr>
              <w:pStyle w:val="Compact"/>
            </w:pPr>
            <w:r>
              <w:t xml:space="preserve">Designed -- NFR-HC-013</w:t>
            </w:r>
          </w:p>
        </w:tc>
      </w:tr>
      <w:tr>
        <w:tc>
          <w:tcPr/>
          <w:p>
            <w:pPr>
              <w:pStyle w:val="Compact"/>
            </w:pPr>
            <w:r>
              <w:t xml:space="preserve">R-TC-002</w:t>
            </w:r>
          </w:p>
        </w:tc>
        <w:tc>
          <w:tcPr/>
          <w:p>
            <w:pPr>
              <w:pStyle w:val="Compact"/>
            </w:pPr>
            <w:r>
              <w:t xml:space="preserve">HL7 v2 analyser interface incompatibility. A laboratory analyser's HL7 v2 message format deviates from the expected structure, causing result auto-population failures or incorrect result mapping.</w:t>
            </w:r>
          </w:p>
        </w:tc>
        <w:tc>
          <w:tcPr/>
          <w:p>
            <w:pPr>
              <w:pStyle w:val="Compact"/>
            </w:pPr>
            <w:r>
              <w:t xml:space="preserve">3</w:t>
            </w:r>
          </w:p>
        </w:tc>
        <w:tc>
          <w:tcPr/>
          <w:p>
            <w:pPr>
              <w:pStyle w:val="Compact"/>
            </w:pPr>
            <w:r>
              <w:t xml:space="preserve">3</w:t>
            </w:r>
          </w:p>
        </w:tc>
        <w:tc>
          <w:tcPr/>
          <w:p>
            <w:pPr>
              <w:pStyle w:val="Compact"/>
            </w:pPr>
            <w:r>
              <w:t xml:space="preserve">9</w:t>
            </w:r>
          </w:p>
        </w:tc>
        <w:tc>
          <w:tcPr/>
          <w:p>
            <w:pPr>
              <w:pStyle w:val="Compact"/>
            </w:pPr>
            <w:r>
              <w:t xml:space="preserve">MEDIUM</w:t>
            </w:r>
          </w:p>
        </w:tc>
        <w:tc>
          <w:tcPr/>
          <w:p>
            <w:pPr>
              <w:pStyle w:val="Compact"/>
            </w:pPr>
            <w:r>
              <w:t xml:space="preserve">Implement configurable HL7 v2 message parser with per-analyser mapping profiles (HLD 8.2 HL7 v2 Gateway). Validate sample ID before accepting results. Reject unrecognised message formats with notification to Lab Technician. Maintain a compatibility register of tested analyser models.</w:t>
            </w:r>
          </w:p>
        </w:tc>
        <w:tc>
          <w:tcPr/>
          <w:p>
            <w:pPr>
              <w:pStyle w:val="Compact"/>
            </w:pPr>
            <w:r>
              <w:t xml:space="preserve">Peter</w:t>
            </w:r>
          </w:p>
        </w:tc>
        <w:tc>
          <w:tcPr/>
          <w:p>
            <w:pPr>
              <w:pStyle w:val="Compact"/>
            </w:pPr>
            <w:r>
              <w:t xml:space="preserve">Designed -- FR-LAB-008, LLD 3.6</w:t>
            </w:r>
          </w:p>
        </w:tc>
      </w:tr>
      <w:tr>
        <w:tc>
          <w:tcPr/>
          <w:p>
            <w:pPr>
              <w:pStyle w:val="Compact"/>
            </w:pPr>
            <w:r>
              <w:t xml:space="preserve">R-TC-003</w:t>
            </w:r>
          </w:p>
        </w:tc>
        <w:tc>
          <w:tcPr/>
          <w:p>
            <w:pPr>
              <w:pStyle w:val="Compact"/>
            </w:pPr>
            <w:r>
              <w:t xml:space="preserve">FHIR R4 conformance failure. Medic8 FHIR resource responses fail validation against the official HL7 FHIR R4 schema, preventing interoperability with partner systems.</w:t>
            </w:r>
          </w:p>
        </w:tc>
        <w:tc>
          <w:tcPr/>
          <w:p>
            <w:pPr>
              <w:pStyle w:val="Compact"/>
            </w:pPr>
            <w:r>
              <w:t xml:space="preserve">2</w:t>
            </w:r>
          </w:p>
        </w:tc>
        <w:tc>
          <w:tcPr/>
          <w:p>
            <w:pPr>
              <w:pStyle w:val="Compact"/>
            </w:pPr>
            <w:r>
              <w:t xml:space="preserve">3</w:t>
            </w:r>
          </w:p>
        </w:tc>
        <w:tc>
          <w:tcPr/>
          <w:p>
            <w:pPr>
              <w:pStyle w:val="Compact"/>
            </w:pPr>
            <w:r>
              <w:t xml:space="preserve">6</w:t>
            </w:r>
          </w:p>
        </w:tc>
        <w:tc>
          <w:tcPr/>
          <w:p>
            <w:pPr>
              <w:pStyle w:val="Compact"/>
            </w:pPr>
            <w:r>
              <w:t xml:space="preserve">MEDIUM</w:t>
            </w:r>
          </w:p>
        </w:tc>
        <w:tc>
          <w:tcPr/>
          <w:p>
            <w:pPr>
              <w:pStyle w:val="Compact"/>
            </w:pPr>
            <w:r>
              <w:t xml:space="preserve">Validate all 14 resource types against the official FHIR Validator during CI/CD build. Include HTML narrative fallback in every response. SMART on FHIR integration testing. Maintain FHIR conformance test suite as part of regression testing.</w:t>
            </w:r>
          </w:p>
        </w:tc>
        <w:tc>
          <w:tcPr/>
          <w:p>
            <w:pPr>
              <w:pStyle w:val="Compact"/>
            </w:pPr>
            <w:r>
              <w:t xml:space="preserve">Peter</w:t>
            </w:r>
          </w:p>
        </w:tc>
        <w:tc>
          <w:tcPr/>
          <w:p>
            <w:pPr>
              <w:pStyle w:val="Compact"/>
            </w:pPr>
            <w:r>
              <w:t xml:space="preserve">Designed -- NFR-HC-014</w:t>
            </w:r>
          </w:p>
        </w:tc>
      </w:tr>
      <w:tr>
        <w:tc>
          <w:tcPr/>
          <w:p>
            <w:pPr>
              <w:pStyle w:val="Compact"/>
            </w:pPr>
            <w:r>
              <w:t xml:space="preserve">R-TC-004</w:t>
            </w:r>
          </w:p>
        </w:tc>
        <w:tc>
          <w:tcPr/>
          <w:p>
            <w:pPr>
              <w:pStyle w:val="Compact"/>
            </w:pPr>
            <w:r>
              <w:t xml:space="preserve">Performance degradation at scale. As facility count and patient volume grow, API response times exceed the P95 500 ms threshold, degrading clinical workflow speed.</w:t>
            </w:r>
          </w:p>
        </w:tc>
        <w:tc>
          <w:tcPr/>
          <w:p>
            <w:pPr>
              <w:pStyle w:val="Compact"/>
            </w:pPr>
            <w:r>
              <w:t xml:space="preserve">3</w:t>
            </w:r>
          </w:p>
        </w:tc>
        <w:tc>
          <w:tcPr/>
          <w:p>
            <w:pPr>
              <w:pStyle w:val="Compact"/>
            </w:pPr>
            <w:r>
              <w:t xml:space="preserve">3</w:t>
            </w:r>
          </w:p>
        </w:tc>
        <w:tc>
          <w:tcPr/>
          <w:p>
            <w:pPr>
              <w:pStyle w:val="Compact"/>
            </w:pPr>
            <w:r>
              <w:t xml:space="preserve">9</w:t>
            </w:r>
          </w:p>
        </w:tc>
        <w:tc>
          <w:tcPr/>
          <w:p>
            <w:pPr>
              <w:pStyle w:val="Compact"/>
            </w:pPr>
            <w:r>
              <w:t xml:space="preserve">MEDIUM</w:t>
            </w:r>
          </w:p>
        </w:tc>
        <w:tc>
          <w:tcPr/>
          <w:p>
            <w:pPr>
              <w:pStyle w:val="Compact"/>
            </w:pPr>
            <w:r>
              <w:t xml:space="preserve">Tenant-scoped database indexes on all query paths (ERD 13.1). Read replica for reporting queries. Horizontal scaling via container orchestration. Load testing at 50 concurrent users per facility. CDN for static assets. Database query plan monitoring. Performance regression testing in CI.</w:t>
            </w:r>
          </w:p>
        </w:tc>
        <w:tc>
          <w:tcPr/>
          <w:p>
            <w:pPr>
              <w:pStyle w:val="Compact"/>
            </w:pPr>
            <w:r>
              <w:t xml:space="preserve">Peter</w:t>
            </w:r>
          </w:p>
        </w:tc>
        <w:tc>
          <w:tcPr/>
          <w:p>
            <w:pPr>
              <w:pStyle w:val="Compact"/>
            </w:pPr>
            <w:r>
              <w:t xml:space="preserve">Designed</w:t>
            </w:r>
          </w:p>
        </w:tc>
      </w:tr>
    </w:tbl>
    <w:bookmarkEnd w:id="16"/>
    <w:bookmarkStart w:id="17" w:name="X1758a25cb31a855f5536e1657dcd22b361ae112"/>
    <w:p>
      <w:pPr>
        <w:pStyle w:val="Heading3"/>
      </w:pPr>
      <w:r>
        <w:t xml:space="preserve">2.5 Business Risks</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Risk ID</w:t>
            </w:r>
          </w:p>
        </w:tc>
        <w:tc>
          <w:tcPr/>
          <w:p>
            <w:pPr>
              <w:pStyle w:val="Compact"/>
            </w:pPr>
            <w:r>
              <w:t xml:space="preserve">Risk Description</w:t>
            </w:r>
          </w:p>
        </w:tc>
        <w:tc>
          <w:tcPr/>
          <w:p>
            <w:pPr>
              <w:pStyle w:val="Compact"/>
            </w:pPr>
            <w:r>
              <w:t xml:space="preserve">L</w:t>
            </w:r>
          </w:p>
        </w:tc>
        <w:tc>
          <w:tcPr/>
          <w:p>
            <w:pPr>
              <w:pStyle w:val="Compact"/>
            </w:pPr>
            <w:r>
              <w:t xml:space="preserve">I</w:t>
            </w:r>
          </w:p>
        </w:tc>
        <w:tc>
          <w:tcPr/>
          <w:p>
            <w:pPr>
              <w:pStyle w:val="Compact"/>
            </w:pPr>
            <w:r>
              <w:t xml:space="preserve">Score</w:t>
            </w:r>
          </w:p>
        </w:tc>
        <w:tc>
          <w:tcPr/>
          <w:p>
            <w:pPr>
              <w:pStyle w:val="Compact"/>
            </w:pPr>
            <w:r>
              <w:t xml:space="preserve">Classification</w:t>
            </w:r>
          </w:p>
        </w:tc>
        <w:tc>
          <w:tcPr/>
          <w:p>
            <w:pPr>
              <w:pStyle w:val="Compact"/>
            </w:pPr>
            <w:r>
              <w:t xml:space="preserve">Mitigation Strategy</w:t>
            </w:r>
          </w:p>
        </w:tc>
        <w:tc>
          <w:tcPr/>
          <w:p>
            <w:pPr>
              <w:pStyle w:val="Compact"/>
            </w:pPr>
            <w:r>
              <w:t xml:space="preserve">Owner</w:t>
            </w:r>
          </w:p>
        </w:tc>
        <w:tc>
          <w:tcPr/>
          <w:p>
            <w:pPr>
              <w:pStyle w:val="Compact"/>
            </w:pPr>
            <w:r>
              <w:t xml:space="preserve">Status</w:t>
            </w:r>
          </w:p>
        </w:tc>
      </w:tr>
      <w:tr>
        <w:tc>
          <w:tcPr/>
          <w:p>
            <w:pPr>
              <w:pStyle w:val="Compact"/>
            </w:pPr>
            <w:r>
              <w:t xml:space="preserve">R-BS-001</w:t>
            </w:r>
          </w:p>
        </w:tc>
        <w:tc>
          <w:tcPr/>
          <w:p>
            <w:pPr>
              <w:pStyle w:val="Compact"/>
            </w:pPr>
            <w:r>
              <w:t xml:space="preserve">Solo developer capacity. Peter is the sole developer. A single point of failure for all development, architecture, operations, and customer support. Extended illness, burnout, or competing priorities halt all progress.</w:t>
            </w:r>
          </w:p>
        </w:tc>
        <w:tc>
          <w:tcPr/>
          <w:p>
            <w:pPr>
              <w:pStyle w:val="Compact"/>
            </w:pPr>
            <w:r>
              <w:t xml:space="preserve">4</w:t>
            </w:r>
          </w:p>
        </w:tc>
        <w:tc>
          <w:tcPr/>
          <w:p>
            <w:pPr>
              <w:pStyle w:val="Compact"/>
            </w:pPr>
            <w:r>
              <w:t xml:space="preserve">4</w:t>
            </w:r>
          </w:p>
        </w:tc>
        <w:tc>
          <w:tcPr/>
          <w:p>
            <w:pPr>
              <w:pStyle w:val="Compact"/>
            </w:pPr>
            <w:r>
              <w:t xml:space="preserve">16</w:t>
            </w:r>
          </w:p>
        </w:tc>
        <w:tc>
          <w:tcPr/>
          <w:p>
            <w:pPr>
              <w:pStyle w:val="Compact"/>
            </w:pPr>
            <w:r>
              <w:t xml:space="preserve">CRITICAL</w:t>
            </w:r>
          </w:p>
        </w:tc>
        <w:tc>
          <w:tcPr/>
          <w:p>
            <w:pPr>
              <w:pStyle w:val="Compact"/>
            </w:pPr>
            <w:r>
              <w:t xml:space="preserve">Maintain comprehensive documentation (SRS, HLD, LLD, ERD, API spec) to enable onboarding of additional developers. Use standard frameworks (Laravel, Jetpack Compose, SwiftUI) to access a wide hiring pool. Modular architecture enables parallel development. Prioritise Phase 1 MVP ruthlessly. Consider contracting a part-time co-developer for Phase 2.</w:t>
            </w:r>
          </w:p>
        </w:tc>
        <w:tc>
          <w:tcPr/>
          <w:p>
            <w:pPr>
              <w:pStyle w:val="Compact"/>
            </w:pPr>
            <w:r>
              <w:t xml:space="preserve">Peter</w:t>
            </w:r>
          </w:p>
        </w:tc>
        <w:tc>
          <w:tcPr/>
          <w:p>
            <w:pPr>
              <w:pStyle w:val="Compact"/>
            </w:pPr>
            <w:r>
              <w:t xml:space="preserve">Ongoing -- documentation investment is a mitigation strategy</w:t>
            </w:r>
          </w:p>
        </w:tc>
      </w:tr>
      <w:tr>
        <w:tc>
          <w:tcPr/>
          <w:p>
            <w:pPr>
              <w:pStyle w:val="Compact"/>
            </w:pPr>
            <w:r>
              <w:t xml:space="preserve">R-BS-002</w:t>
            </w:r>
          </w:p>
        </w:tc>
        <w:tc>
          <w:tcPr/>
          <w:p>
            <w:pPr>
              <w:pStyle w:val="Compact"/>
            </w:pPr>
            <w:r>
              <w:t xml:space="preserve">ClinicMaster pivots to SaaS. ClinicMaster, the dominant Ugandan EMR, launches a cloud-hosted SaaS offering, directly competing with Medic8's value proposition.</w:t>
            </w:r>
          </w:p>
        </w:tc>
        <w:tc>
          <w:tcPr/>
          <w:p>
            <w:pPr>
              <w:pStyle w:val="Compact"/>
            </w:pPr>
            <w:r>
              <w:t xml:space="preserve">2</w:t>
            </w:r>
          </w:p>
        </w:tc>
        <w:tc>
          <w:tcPr/>
          <w:p>
            <w:pPr>
              <w:pStyle w:val="Compact"/>
            </w:pPr>
            <w:r>
              <w:t xml:space="preserve">4</w:t>
            </w:r>
          </w:p>
        </w:tc>
        <w:tc>
          <w:tcPr/>
          <w:p>
            <w:pPr>
              <w:pStyle w:val="Compact"/>
            </w:pPr>
            <w:r>
              <w:t xml:space="preserve">8</w:t>
            </w:r>
          </w:p>
        </w:tc>
        <w:tc>
          <w:tcPr/>
          <w:p>
            <w:pPr>
              <w:pStyle w:val="Compact"/>
            </w:pPr>
            <w:r>
              <w:t xml:space="preserve">MEDIUM</w:t>
            </w:r>
          </w:p>
        </w:tc>
        <w:tc>
          <w:tcPr/>
          <w:p>
            <w:pPr>
              <w:pStyle w:val="Compact"/>
            </w:pPr>
            <w:r>
              <w:t xml:space="preserve">Differentiate on: multi-country support (regulatory profiles), offline-first architecture, FHIR R4 interoperability, modern mobile app, transparent pricing. Target underserved market segment (HC II/III clinics that ClinicMaster does not serve). Accelerate Phase 1 launch to establish market presence.</w:t>
            </w:r>
          </w:p>
        </w:tc>
        <w:tc>
          <w:tcPr/>
          <w:p>
            <w:pPr>
              <w:pStyle w:val="Compact"/>
            </w:pPr>
            <w:r>
              <w:t xml:space="preserve">Peter</w:t>
            </w:r>
          </w:p>
        </w:tc>
        <w:tc>
          <w:tcPr/>
          <w:p>
            <w:pPr>
              <w:pStyle w:val="Compact"/>
            </w:pPr>
            <w:r>
              <w:t xml:space="preserve">Monitoring</w:t>
            </w:r>
          </w:p>
        </w:tc>
      </w:tr>
      <w:tr>
        <w:tc>
          <w:tcPr/>
          <w:p>
            <w:pPr>
              <w:pStyle w:val="Compact"/>
            </w:pPr>
            <w:r>
              <w:t xml:space="preserve">R-BS-003</w:t>
            </w:r>
          </w:p>
        </w:tc>
        <w:tc>
          <w:tcPr/>
          <w:p>
            <w:pPr>
              <w:pStyle w:val="Compact"/>
            </w:pPr>
            <w:r>
              <w:t xml:space="preserve">Customer churn from poor onboarding. Facilities abandon Medic8 during the onboarding period because the setup process is too complex or training is insufficient.</w:t>
            </w:r>
          </w:p>
        </w:tc>
        <w:tc>
          <w:tcPr/>
          <w:p>
            <w:pPr>
              <w:pStyle w:val="Compact"/>
            </w:pPr>
            <w:r>
              <w:t xml:space="preserve">3</w:t>
            </w:r>
          </w:p>
        </w:tc>
        <w:tc>
          <w:tcPr/>
          <w:p>
            <w:pPr>
              <w:pStyle w:val="Compact"/>
            </w:pPr>
            <w:r>
              <w:t xml:space="preserve">3</w:t>
            </w:r>
          </w:p>
        </w:tc>
        <w:tc>
          <w:tcPr/>
          <w:p>
            <w:pPr>
              <w:pStyle w:val="Compact"/>
            </w:pPr>
            <w:r>
              <w:t xml:space="preserve">9</w:t>
            </w:r>
          </w:p>
        </w:tc>
        <w:tc>
          <w:tcPr/>
          <w:p>
            <w:pPr>
              <w:pStyle w:val="Compact"/>
            </w:pPr>
            <w:r>
              <w:t xml:space="preserve">MEDIUM</w:t>
            </w:r>
          </w:p>
        </w:tc>
        <w:tc>
          <w:tcPr/>
          <w:p>
            <w:pPr>
              <w:pStyle w:val="Compact"/>
            </w:pPr>
            <w:r>
              <w:t xml:space="preserve">2-4 hour onboarding target (Quality Standards Section 7). Video-based training materials. Per-module activation (progressive complexity). Onboarding checklist with progress tracking. First-30-day customer success follow-up.</w:t>
            </w:r>
          </w:p>
        </w:tc>
        <w:tc>
          <w:tcPr/>
          <w:p>
            <w:pPr>
              <w:pStyle w:val="Compact"/>
            </w:pPr>
            <w:r>
              <w:t xml:space="preserve">Peter</w:t>
            </w:r>
          </w:p>
        </w:tc>
        <w:tc>
          <w:tcPr/>
          <w:p>
            <w:pPr>
              <w:pStyle w:val="Compact"/>
            </w:pPr>
            <w:r>
              <w:t xml:space="preserve">Designed</w:t>
            </w:r>
          </w:p>
        </w:tc>
      </w:tr>
      <w:tr>
        <w:tc>
          <w:tcPr/>
          <w:p>
            <w:pPr>
              <w:pStyle w:val="Compact"/>
            </w:pPr>
            <w:r>
              <w:t xml:space="preserve">R-BS-004</w:t>
            </w:r>
          </w:p>
        </w:tc>
        <w:tc>
          <w:tcPr/>
          <w:p>
            <w:pPr>
              <w:pStyle w:val="Compact"/>
            </w:pPr>
            <w:r>
              <w:t xml:space="preserve">Mobile money API pricing changes. MTN MoMo or Airtel Money increase API transaction fees, reducing margin on billing module payments.</w:t>
            </w:r>
          </w:p>
        </w:tc>
        <w:tc>
          <w:tcPr/>
          <w:p>
            <w:pPr>
              <w:pStyle w:val="Compact"/>
            </w:pPr>
            <w:r>
              <w:t xml:space="preserve">3</w:t>
            </w:r>
          </w:p>
        </w:tc>
        <w:tc>
          <w:tcPr/>
          <w:p>
            <w:pPr>
              <w:pStyle w:val="Compact"/>
            </w:pPr>
            <w:r>
              <w:t xml:space="preserve">2</w:t>
            </w:r>
          </w:p>
        </w:tc>
        <w:tc>
          <w:tcPr/>
          <w:p>
            <w:pPr>
              <w:pStyle w:val="Compact"/>
            </w:pPr>
            <w:r>
              <w:t xml:space="preserve">6</w:t>
            </w:r>
          </w:p>
        </w:tc>
        <w:tc>
          <w:tcPr/>
          <w:p>
            <w:pPr>
              <w:pStyle w:val="Compact"/>
            </w:pPr>
            <w:r>
              <w:t xml:space="preserve">MEDIUM</w:t>
            </w:r>
          </w:p>
        </w:tc>
        <w:tc>
          <w:tcPr/>
          <w:p>
            <w:pPr>
              <w:pStyle w:val="Compact"/>
            </w:pPr>
            <w:r>
              <w:t xml:space="preserve">Abstract payment gateway behind an adapter pattern (LLD 4.5.2 MobileMoneyService). Support multiple payment providers. Pass transaction fees to facility (transparent pricing model). Monitor operator API pricing announcements.</w:t>
            </w:r>
          </w:p>
        </w:tc>
        <w:tc>
          <w:tcPr/>
          <w:p>
            <w:pPr>
              <w:pStyle w:val="Compact"/>
            </w:pPr>
            <w:r>
              <w:t xml:space="preserve">Peter</w:t>
            </w:r>
          </w:p>
        </w:tc>
        <w:tc>
          <w:tcPr/>
          <w:p>
            <w:pPr>
              <w:pStyle w:val="Compact"/>
            </w:pPr>
            <w:r>
              <w:t xml:space="preserve">Designed</w:t>
            </w:r>
          </w:p>
        </w:tc>
      </w:tr>
      <w:tr>
        <w:tc>
          <w:tcPr/>
          <w:p>
            <w:pPr>
              <w:pStyle w:val="Compact"/>
            </w:pPr>
            <w:r>
              <w:t xml:space="preserve">R-BS-005</w:t>
            </w:r>
          </w:p>
        </w:tc>
        <w:tc>
          <w:tcPr/>
          <w:p>
            <w:pPr>
              <w:pStyle w:val="Compact"/>
            </w:pPr>
            <w:r>
              <w:t xml:space="preserve">Drug interaction database licensing cost exceeds budget. Commercial drug interaction databases (DrugBank, Lexicomp) require licensing fees that exceed the bootstrapping budget, delaying clinical safety features.</w:t>
            </w:r>
          </w:p>
        </w:tc>
        <w:tc>
          <w:tcPr/>
          <w:p>
            <w:pPr>
              <w:pStyle w:val="Compact"/>
            </w:pPr>
            <w:r>
              <w:t xml:space="preserve">3</w:t>
            </w:r>
          </w:p>
        </w:tc>
        <w:tc>
          <w:tcPr/>
          <w:p>
            <w:pPr>
              <w:pStyle w:val="Compact"/>
            </w:pPr>
            <w:r>
              <w:t xml:space="preserve">3</w:t>
            </w:r>
          </w:p>
        </w:tc>
        <w:tc>
          <w:tcPr/>
          <w:p>
            <w:pPr>
              <w:pStyle w:val="Compact"/>
            </w:pPr>
            <w:r>
              <w:t xml:space="preserve">9</w:t>
            </w:r>
          </w:p>
        </w:tc>
        <w:tc>
          <w:tcPr/>
          <w:p>
            <w:pPr>
              <w:pStyle w:val="Compact"/>
            </w:pPr>
            <w:r>
              <w:t xml:space="preserve">MEDIUM</w:t>
            </w:r>
          </w:p>
        </w:tc>
        <w:tc>
          <w:tcPr/>
          <w:p>
            <w:pPr>
              <w:pStyle w:val="Compact"/>
            </w:pPr>
            <w:r>
              <w:t xml:space="preserve">Evaluate open-source alternatives: RxNorm (NLM, free), OpenFDA drug interactions API (free). Evaluate Uganda NDA formulary as a locally maintained source. Start with a single-source database; expand coverage over time. Budget licensing cost as a recurring operational expense factored into subscription pricing.</w:t>
            </w:r>
          </w:p>
        </w:tc>
        <w:tc>
          <w:tcPr/>
          <w:p>
            <w:pPr>
              <w:pStyle w:val="Compact"/>
            </w:pPr>
            <w:r>
              <w:t xml:space="preserve">Peter</w:t>
            </w:r>
          </w:p>
        </w:tc>
        <w:tc>
          <w:tcPr/>
          <w:p>
            <w:pPr>
              <w:pStyle w:val="Compact"/>
            </w:pPr>
            <w:r>
              <w:t xml:space="preserve">Open -- Gap Analysis HIGH-001</w:t>
            </w:r>
          </w:p>
        </w:tc>
      </w:tr>
    </w:tbl>
    <w:bookmarkEnd w:id="17"/>
    <w:bookmarkStart w:id="18" w:name="X79b4220a87d45d506fd274f05e9082c14ff24e2"/>
    <w:p>
      <w:pPr>
        <w:pStyle w:val="Heading3"/>
      </w:pPr>
      <w:r>
        <w:t xml:space="preserve">2.6 Operational Risks</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Risk ID</w:t>
            </w:r>
          </w:p>
        </w:tc>
        <w:tc>
          <w:tcPr/>
          <w:p>
            <w:pPr>
              <w:pStyle w:val="Compact"/>
            </w:pPr>
            <w:r>
              <w:t xml:space="preserve">Risk Description</w:t>
            </w:r>
          </w:p>
        </w:tc>
        <w:tc>
          <w:tcPr/>
          <w:p>
            <w:pPr>
              <w:pStyle w:val="Compact"/>
            </w:pPr>
            <w:r>
              <w:t xml:space="preserve">L</w:t>
            </w:r>
          </w:p>
        </w:tc>
        <w:tc>
          <w:tcPr/>
          <w:p>
            <w:pPr>
              <w:pStyle w:val="Compact"/>
            </w:pPr>
            <w:r>
              <w:t xml:space="preserve">I</w:t>
            </w:r>
          </w:p>
        </w:tc>
        <w:tc>
          <w:tcPr/>
          <w:p>
            <w:pPr>
              <w:pStyle w:val="Compact"/>
            </w:pPr>
            <w:r>
              <w:t xml:space="preserve">Score</w:t>
            </w:r>
          </w:p>
        </w:tc>
        <w:tc>
          <w:tcPr/>
          <w:p>
            <w:pPr>
              <w:pStyle w:val="Compact"/>
            </w:pPr>
            <w:r>
              <w:t xml:space="preserve">Classification</w:t>
            </w:r>
          </w:p>
        </w:tc>
        <w:tc>
          <w:tcPr/>
          <w:p>
            <w:pPr>
              <w:pStyle w:val="Compact"/>
            </w:pPr>
            <w:r>
              <w:t xml:space="preserve">Mitigation Strategy</w:t>
            </w:r>
          </w:p>
        </w:tc>
        <w:tc>
          <w:tcPr/>
          <w:p>
            <w:pPr>
              <w:pStyle w:val="Compact"/>
            </w:pPr>
            <w:r>
              <w:t xml:space="preserve">Owner</w:t>
            </w:r>
          </w:p>
        </w:tc>
        <w:tc>
          <w:tcPr/>
          <w:p>
            <w:pPr>
              <w:pStyle w:val="Compact"/>
            </w:pPr>
            <w:r>
              <w:t xml:space="preserve">Status</w:t>
            </w:r>
          </w:p>
        </w:tc>
      </w:tr>
      <w:tr>
        <w:tc>
          <w:tcPr/>
          <w:p>
            <w:pPr>
              <w:pStyle w:val="Compact"/>
            </w:pPr>
            <w:r>
              <w:t xml:space="preserve">R-OP-001</w:t>
            </w:r>
          </w:p>
        </w:tc>
        <w:tc>
          <w:tcPr/>
          <w:p>
            <w:pPr>
              <w:pStyle w:val="Compact"/>
            </w:pPr>
            <w:r>
              <w:t xml:space="preserve">Extended power outage at facility exceeds 72-hour offline queue. A prolonged power outage (common in rural Uganda) exceeds the 72-hour offline queue capacity, causing potential data loss or queue overflow.</w:t>
            </w:r>
          </w:p>
        </w:tc>
        <w:tc>
          <w:tcPr/>
          <w:p>
            <w:pPr>
              <w:pStyle w:val="Compact"/>
            </w:pPr>
            <w:r>
              <w:t xml:space="preserve">2</w:t>
            </w:r>
          </w:p>
        </w:tc>
        <w:tc>
          <w:tcPr/>
          <w:p>
            <w:pPr>
              <w:pStyle w:val="Compact"/>
            </w:pPr>
            <w:r>
              <w:t xml:space="preserve">4</w:t>
            </w:r>
          </w:p>
        </w:tc>
        <w:tc>
          <w:tcPr/>
          <w:p>
            <w:pPr>
              <w:pStyle w:val="Compact"/>
            </w:pPr>
            <w:r>
              <w:t xml:space="preserve">8</w:t>
            </w:r>
          </w:p>
        </w:tc>
        <w:tc>
          <w:tcPr/>
          <w:p>
            <w:pPr>
              <w:pStyle w:val="Compact"/>
            </w:pPr>
            <w:r>
              <w:t xml:space="preserve">MEDIUM</w:t>
            </w:r>
          </w:p>
        </w:tc>
        <w:tc>
          <w:tcPr/>
          <w:p>
            <w:pPr>
              <w:pStyle w:val="Compact"/>
            </w:pPr>
            <w:r>
              <w:t xml:space="preserve">72-hour offline queue with 48-hour pre-limit warning (NFR-HC-013). Auto-save on every interaction (NFR-HC-016). Generator-aware sync (detect power restoration and sync immediately). Compress offline queue to maximise storage. Provide facility guidance on backup power (UPS, generator).</w:t>
            </w:r>
          </w:p>
        </w:tc>
        <w:tc>
          <w:tcPr/>
          <w:p>
            <w:pPr>
              <w:pStyle w:val="Compact"/>
            </w:pPr>
            <w:r>
              <w:t xml:space="preserve">Peter</w:t>
            </w:r>
          </w:p>
        </w:tc>
        <w:tc>
          <w:tcPr/>
          <w:p>
            <w:pPr>
              <w:pStyle w:val="Compact"/>
            </w:pPr>
            <w:r>
              <w:t xml:space="preserve">Designed</w:t>
            </w:r>
          </w:p>
        </w:tc>
      </w:tr>
      <w:tr>
        <w:tc>
          <w:tcPr/>
          <w:p>
            <w:pPr>
              <w:pStyle w:val="Compact"/>
            </w:pPr>
            <w:r>
              <w:t xml:space="preserve">R-OP-002</w:t>
            </w:r>
          </w:p>
        </w:tc>
        <w:tc>
          <w:tcPr/>
          <w:p>
            <w:pPr>
              <w:pStyle w:val="Compact"/>
            </w:pPr>
            <w:r>
              <w:t xml:space="preserve">DHIS2 API downtime prevents HMIS submission. The Uganda eHMIS DHIS2 platform (hmis2.health.go.ug) is unavailable during the reporting window, preventing timely HMIS submission.</w:t>
            </w:r>
          </w:p>
        </w:tc>
        <w:tc>
          <w:tcPr/>
          <w:p>
            <w:pPr>
              <w:pStyle w:val="Compact"/>
            </w:pPr>
            <w:r>
              <w:t xml:space="preserve">3</w:t>
            </w:r>
          </w:p>
        </w:tc>
        <w:tc>
          <w:tcPr/>
          <w:p>
            <w:pPr>
              <w:pStyle w:val="Compact"/>
            </w:pPr>
            <w:r>
              <w:t xml:space="preserve">3</w:t>
            </w:r>
          </w:p>
        </w:tc>
        <w:tc>
          <w:tcPr/>
          <w:p>
            <w:pPr>
              <w:pStyle w:val="Compact"/>
            </w:pPr>
            <w:r>
              <w:t xml:space="preserve">9</w:t>
            </w:r>
          </w:p>
        </w:tc>
        <w:tc>
          <w:tcPr/>
          <w:p>
            <w:pPr>
              <w:pStyle w:val="Compact"/>
            </w:pPr>
            <w:r>
              <w:t xml:space="preserve">MEDIUM</w:t>
            </w:r>
          </w:p>
        </w:tc>
        <w:tc>
          <w:tcPr/>
          <w:p>
            <w:pPr>
              <w:pStyle w:val="Compact"/>
            </w:pPr>
            <w:r>
              <w:t xml:space="preserve">Queue HMIS submissions when DHIS2 is unavailable. Retry automatically at configurable intervals. Generate offline HMIS reports in printable format for manual submission as fallback. Track submission status per reporting period (NFR-HC-009). Alert Facility Admin when submissions are overdue.</w:t>
            </w:r>
          </w:p>
        </w:tc>
        <w:tc>
          <w:tcPr/>
          <w:p>
            <w:pPr>
              <w:pStyle w:val="Compact"/>
            </w:pPr>
            <w:r>
              <w:t xml:space="preserve">Peter</w:t>
            </w:r>
          </w:p>
        </w:tc>
        <w:tc>
          <w:tcPr/>
          <w:p>
            <w:pPr>
              <w:pStyle w:val="Compact"/>
            </w:pPr>
            <w:r>
              <w:t xml:space="preserve">Designed</w:t>
            </w:r>
          </w:p>
        </w:tc>
      </w:tr>
      <w:tr>
        <w:tc>
          <w:tcPr/>
          <w:p>
            <w:pPr>
              <w:pStyle w:val="Compact"/>
            </w:pPr>
            <w:r>
              <w:t xml:space="preserve">R-OP-003</w:t>
            </w:r>
          </w:p>
        </w:tc>
        <w:tc>
          <w:tcPr/>
          <w:p>
            <w:pPr>
              <w:pStyle w:val="Compact"/>
            </w:pPr>
            <w:r>
              <w:t xml:space="preserve">SMS gateway failure prevents appointment reminders. Africa's Talking or alternative SMS gateway experiences an outage, preventing appointment reminder delivery and breach notification SMS.</w:t>
            </w:r>
          </w:p>
        </w:tc>
        <w:tc>
          <w:tcPr/>
          <w:p>
            <w:pPr>
              <w:pStyle w:val="Compact"/>
            </w:pPr>
            <w:r>
              <w:t xml:space="preserve">3</w:t>
            </w:r>
          </w:p>
        </w:tc>
        <w:tc>
          <w:tcPr/>
          <w:p>
            <w:pPr>
              <w:pStyle w:val="Compact"/>
            </w:pPr>
            <w:r>
              <w:t xml:space="preserve">2</w:t>
            </w:r>
          </w:p>
        </w:tc>
        <w:tc>
          <w:tcPr/>
          <w:p>
            <w:pPr>
              <w:pStyle w:val="Compact"/>
            </w:pPr>
            <w:r>
              <w:t xml:space="preserve">6</w:t>
            </w:r>
          </w:p>
        </w:tc>
        <w:tc>
          <w:tcPr/>
          <w:p>
            <w:pPr>
              <w:pStyle w:val="Compact"/>
            </w:pPr>
            <w:r>
              <w:t xml:space="preserve">MEDIUM</w:t>
            </w:r>
          </w:p>
        </w:tc>
        <w:tc>
          <w:tcPr/>
          <w:p>
            <w:pPr>
              <w:pStyle w:val="Compact"/>
            </w:pPr>
            <w:r>
              <w:t xml:space="preserve">Multi-channel notification: SMS, WhatsApp, push notification, email. Automatic fallback from SMS to alternative channel (NFR-HC-005 fallback pattern). Queue failed SMS for retry. Monitor SMS delivery rates. Secondary SMS provider as failover.</w:t>
            </w:r>
          </w:p>
        </w:tc>
        <w:tc>
          <w:tcPr/>
          <w:p>
            <w:pPr>
              <w:pStyle w:val="Compact"/>
            </w:pPr>
            <w:r>
              <w:t xml:space="preserve">Peter</w:t>
            </w:r>
          </w:p>
        </w:tc>
        <w:tc>
          <w:tcPr/>
          <w:p>
            <w:pPr>
              <w:pStyle w:val="Compact"/>
            </w:pPr>
            <w:r>
              <w:t xml:space="preserve">Designed</w:t>
            </w:r>
          </w:p>
        </w:tc>
      </w:tr>
    </w:tbl>
    <w:p>
      <w:r>
        <w:pict>
          <v:rect style="width:0;height:1.5pt" o:hralign="center" o:hrstd="t" o:hr="t"/>
        </w:pict>
      </w:r>
    </w:p>
    <w:bookmarkEnd w:id="18"/>
    <w:bookmarkEnd w:id="19"/>
    <w:bookmarkStart w:id="20" w:name="X254816381cf5d1c31202d2061498ddd8a87b10a"/>
    <w:p>
      <w:pPr>
        <w:pStyle w:val="Heading2"/>
      </w:pPr>
      <w:r>
        <w:t xml:space="preserve">3. Risk Heat Map</w:t>
      </w:r>
    </w:p>
    <w:p>
      <w:pPr>
        <w:pStyle w:val="SourceCode"/>
      </w:pPr>
      <w:r>
        <w:rPr>
          <w:rStyle w:val="VerbatimChar"/>
        </w:rPr>
        <w:t xml:space="preserve">                              IMPACT</w:t>
      </w:r>
      <w:r>
        <w:br/>
      </w:r>
      <w:r>
        <w:rPr>
          <w:rStyle w:val="VerbatimChar"/>
        </w:rPr>
        <w:t xml:space="preserve">              1           2           3           4           5</w:t>
      </w:r>
      <w:r>
        <w:br/>
      </w:r>
      <w:r>
        <w:rPr>
          <w:rStyle w:val="VerbatimChar"/>
        </w:rPr>
        <w:t xml:space="preserve">            Negligible    Minor     Moderate     Major    Catastrophic</w:t>
      </w:r>
      <w:r>
        <w:br/>
      </w:r>
      <w:r>
        <w:rPr>
          <w:rStyle w:val="VerbatimChar"/>
        </w:rPr>
        <w:t xml:space="preserve">         +----------+----------+----------+----------+----------+</w:t>
      </w:r>
      <w:r>
        <w:br/>
      </w:r>
      <w:r>
        <w:rPr>
          <w:rStyle w:val="VerbatimChar"/>
        </w:rPr>
        <w:t xml:space="preserve">    5    |          |          |          |          |          |</w:t>
      </w:r>
      <w:r>
        <w:br/>
      </w:r>
      <w:r>
        <w:rPr>
          <w:rStyle w:val="VerbatimChar"/>
        </w:rPr>
        <w:t xml:space="preserve"> Almost  |          |          |          |          |          |</w:t>
      </w:r>
      <w:r>
        <w:br/>
      </w:r>
      <w:r>
        <w:rPr>
          <w:rStyle w:val="VerbatimChar"/>
        </w:rPr>
        <w:t xml:space="preserve"> Certain |          |          |          |          |          |</w:t>
      </w:r>
      <w:r>
        <w:br/>
      </w:r>
      <w:r>
        <w:rPr>
          <w:rStyle w:val="VerbatimChar"/>
        </w:rPr>
        <w:t xml:space="preserve">         +----------+----------+----------+----------+----------+</w:t>
      </w:r>
      <w:r>
        <w:br/>
      </w:r>
      <w:r>
        <w:rPr>
          <w:rStyle w:val="VerbatimChar"/>
        </w:rPr>
        <w:t xml:space="preserve">    4    |          |          |          | R-BS-001 | R-CS-005 |</w:t>
      </w:r>
      <w:r>
        <w:br/>
      </w:r>
      <w:r>
        <w:rPr>
          <w:rStyle w:val="VerbatimChar"/>
        </w:rPr>
        <w:t xml:space="preserve"> Likely  |          |          |          |          |          |</w:t>
      </w:r>
      <w:r>
        <w:br/>
      </w:r>
      <w:r>
        <w:rPr>
          <w:rStyle w:val="VerbatimChar"/>
        </w:rPr>
        <w:t xml:space="preserve">         |          |          |          |          |          |</w:t>
      </w:r>
      <w:r>
        <w:br/>
      </w:r>
      <w:r>
        <w:rPr>
          <w:rStyle w:val="VerbatimChar"/>
        </w:rPr>
        <w:t xml:space="preserve">         +----------+----------+----------+----------+----------+</w:t>
      </w:r>
      <w:r>
        <w:br/>
      </w:r>
      <w:r>
        <w:rPr>
          <w:rStyle w:val="VerbatimChar"/>
        </w:rPr>
        <w:t xml:space="preserve">    3    |          | R-BS-004 | R-BS-003 | R-DS-003 | R-CS-001 |</w:t>
      </w:r>
      <w:r>
        <w:br/>
      </w:r>
      <w:r>
        <w:rPr>
          <w:rStyle w:val="VerbatimChar"/>
        </w:rPr>
        <w:t xml:space="preserve"> Possible|          | R-OP-003 | R-TC-002 | R-RG-001 | R-CS-004 |</w:t>
      </w:r>
      <w:r>
        <w:br/>
      </w:r>
      <w:r>
        <w:rPr>
          <w:rStyle w:val="VerbatimChar"/>
        </w:rPr>
        <w:t xml:space="preserve">         |          |          | R-TC-004 |          |          |</w:t>
      </w:r>
      <w:r>
        <w:br/>
      </w:r>
      <w:r>
        <w:rPr>
          <w:rStyle w:val="VerbatimChar"/>
        </w:rPr>
        <w:t xml:space="preserve">         |          |          | R-OP-002 |          |          |</w:t>
      </w:r>
      <w:r>
        <w:br/>
      </w:r>
      <w:r>
        <w:rPr>
          <w:rStyle w:val="VerbatimChar"/>
        </w:rPr>
        <w:t xml:space="preserve">         |          |          | R-BS-005 |          |          |</w:t>
      </w:r>
      <w:r>
        <w:br/>
      </w:r>
      <w:r>
        <w:rPr>
          <w:rStyle w:val="VerbatimChar"/>
        </w:rPr>
        <w:t xml:space="preserve">         +----------+----------+----------+----------+----------+</w:t>
      </w:r>
      <w:r>
        <w:br/>
      </w:r>
      <w:r>
        <w:rPr>
          <w:rStyle w:val="VerbatimChar"/>
        </w:rPr>
        <w:t xml:space="preserve">    2    |          |          | R-TC-003 | R-DS-005 | R-CS-002 |</w:t>
      </w:r>
      <w:r>
        <w:br/>
      </w:r>
      <w:r>
        <w:rPr>
          <w:rStyle w:val="VerbatimChar"/>
        </w:rPr>
        <w:t xml:space="preserve"> Unlikely|          |          |          | R-TC-001 | R-CS-003 |</w:t>
      </w:r>
      <w:r>
        <w:br/>
      </w:r>
      <w:r>
        <w:rPr>
          <w:rStyle w:val="VerbatimChar"/>
        </w:rPr>
        <w:t xml:space="preserve">         |          |          |          | R-RG-002 | R-DS-001 |</w:t>
      </w:r>
      <w:r>
        <w:br/>
      </w:r>
      <w:r>
        <w:rPr>
          <w:rStyle w:val="VerbatimChar"/>
        </w:rPr>
        <w:t xml:space="preserve">         |          |          |          | R-OP-001 | R-RG-004 |</w:t>
      </w:r>
      <w:r>
        <w:br/>
      </w:r>
      <w:r>
        <w:rPr>
          <w:rStyle w:val="VerbatimChar"/>
        </w:rPr>
        <w:t xml:space="preserve">         +----------+----------+----------+----------+----------+</w:t>
      </w:r>
      <w:r>
        <w:br/>
      </w:r>
      <w:r>
        <w:rPr>
          <w:rStyle w:val="VerbatimChar"/>
        </w:rPr>
        <w:t xml:space="preserve">    1    |          |          | R-RG-003 | R-BS-002 | R-DS-002 |</w:t>
      </w:r>
      <w:r>
        <w:br/>
      </w:r>
      <w:r>
        <w:rPr>
          <w:rStyle w:val="VerbatimChar"/>
        </w:rPr>
        <w:t xml:space="preserve"> Rare    |          |          |          |          |          |</w:t>
      </w:r>
      <w:r>
        <w:br/>
      </w:r>
      <w:r>
        <w:rPr>
          <w:rStyle w:val="VerbatimChar"/>
        </w:rPr>
        <w:t xml:space="preserve">         |          |          |          |          |          |</w:t>
      </w:r>
      <w:r>
        <w:br/>
      </w:r>
      <w:r>
        <w:rPr>
          <w:rStyle w:val="VerbatimChar"/>
        </w:rPr>
        <w:t xml:space="preserve">         +----------+----------+----------+----------+----------+</w:t>
      </w:r>
      <w:r>
        <w:br/>
      </w:r>
      <w:r>
        <w:br/>
      </w:r>
      <w:r>
        <w:rPr>
          <w:rStyle w:val="VerbatimChar"/>
        </w:rPr>
        <w:t xml:space="preserve">LEGEND:</w:t>
      </w:r>
      <w:r>
        <w:br/>
      </w:r>
      <w:r>
        <w:rPr>
          <w:rStyle w:val="VerbatimChar"/>
        </w:rPr>
        <w:t xml:space="preserve">  Score 1-4   = LOW (accept and monitor)</w:t>
      </w:r>
      <w:r>
        <w:br/>
      </w:r>
      <w:r>
        <w:rPr>
          <w:rStyle w:val="VerbatimChar"/>
        </w:rPr>
        <w:t xml:space="preserve">  Score 5-9   = MEDIUM (mitigate and monitor quarterly)</w:t>
      </w:r>
      <w:r>
        <w:br/>
      </w:r>
      <w:r>
        <w:rPr>
          <w:rStyle w:val="VerbatimChar"/>
        </w:rPr>
        <w:t xml:space="preserve">  Score 10-14 = HIGH (mitigate urgently; monthly review)</w:t>
      </w:r>
      <w:r>
        <w:br/>
      </w:r>
      <w:r>
        <w:rPr>
          <w:rStyle w:val="VerbatimChar"/>
        </w:rPr>
        <w:t xml:space="preserve">  Score 15-25 = CRITICAL (immediate action; weekly review)</w:t>
      </w:r>
    </w:p>
    <w:p>
      <w:r>
        <w:pict>
          <v:rect style="width:0;height:1.5pt" o:hralign="center" o:hrstd="t" o:hr="t"/>
        </w:pict>
      </w:r>
    </w:p>
    <w:bookmarkEnd w:id="20"/>
    <w:bookmarkStart w:id="33" w:name="X666465a268ab37d17b73258be3341766ad2d406"/>
    <w:p>
      <w:pPr>
        <w:pStyle w:val="Heading2"/>
      </w:pPr>
      <w:r>
        <w:t xml:space="preserve">4. Risk Treatment Plan</w:t>
      </w:r>
    </w:p>
    <w:bookmarkStart w:id="25" w:name="Xa322cf4e71c7e50f07e7dd4a0b2d97f10c43aa4"/>
    <w:p>
      <w:pPr>
        <w:pStyle w:val="Heading3"/>
      </w:pPr>
      <w:r>
        <w:t xml:space="preserve">4.1 CRITICAL Risks (Score &gt;= 15)</w:t>
      </w:r>
    </w:p>
    <w:bookmarkStart w:id="21" w:name="X2b0510b4fcab6bff045fe334c90ed3acca54df2"/>
    <w:p>
      <w:pPr>
        <w:pStyle w:val="Heading4"/>
      </w:pPr>
      <w:r>
        <w:t xml:space="preserve">R-CS-001: Drug Interaction Missed Due to Incomplete Database (Score: 15)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Treatment Element</w:t>
            </w:r>
          </w:p>
        </w:tc>
        <w:tc>
          <w:tcPr/>
          <w:p>
            <w:pPr>
              <w:pStyle w:val="Compact"/>
            </w:pPr>
            <w:r>
              <w:t xml:space="preserve">Detail</w:t>
            </w:r>
          </w:p>
        </w:tc>
      </w:tr>
      <w:tr>
        <w:tc>
          <w:tcPr/>
          <w:p>
            <w:pPr>
              <w:pStyle w:val="Compact"/>
            </w:pPr>
            <w:r>
              <w:rPr>
                <w:b/>
                <w:bCs/>
              </w:rPr>
              <w:t xml:space="preserve">Controls</w:t>
            </w:r>
          </w:p>
        </w:tc>
        <w:tc>
          <w:tcPr/>
          <w:p>
            <w:pPr>
              <w:pStyle w:val="Compact"/>
            </w:pPr>
            <w:r>
              <w:t xml:space="preserve">1. Licence a commercially maintained drug interaction database. 2. Implement 4-tier alert system (Info/Warning/Serious/Fatal). 3. Clinical validation of alert thresholds by a practising clinician. 4. 30-day database update cycle. 5. Terms of Service disclaim clinical liability; CDS is decision support only.</w:t>
            </w:r>
          </w:p>
        </w:tc>
      </w:tr>
      <w:tr>
        <w:tc>
          <w:tcPr/>
          <w:p>
            <w:pPr>
              <w:pStyle w:val="Compact"/>
            </w:pPr>
            <w:r>
              <w:rPr>
                <w:b/>
                <w:bCs/>
              </w:rPr>
              <w:t xml:space="preserve">Residual risk after treatment</w:t>
            </w:r>
          </w:p>
        </w:tc>
        <w:tc>
          <w:tcPr/>
          <w:p>
            <w:pPr>
              <w:pStyle w:val="Compact"/>
            </w:pPr>
            <w:r>
              <w:t xml:space="preserve">Likelihood reduces from 3 to 2 (commercial database covers &gt;95% of interactions). Impact remains 5. Residual score: 10 (HIGH -- cannot fully eliminate because no database covers 100% of interactions).</w:t>
            </w:r>
          </w:p>
        </w:tc>
      </w:tr>
      <w:tr>
        <w:tc>
          <w:tcPr/>
          <w:p>
            <w:pPr>
              <w:pStyle w:val="Compact"/>
            </w:pPr>
            <w:r>
              <w:rPr>
                <w:b/>
                <w:bCs/>
              </w:rPr>
              <w:t xml:space="preserve">Monitoring frequency</w:t>
            </w:r>
          </w:p>
        </w:tc>
        <w:tc>
          <w:tcPr/>
          <w:p>
            <w:pPr>
              <w:pStyle w:val="Compact"/>
            </w:pPr>
            <w:r>
              <w:t xml:space="preserve">Weekly during implementation; monthly post-deployment</w:t>
            </w:r>
          </w:p>
        </w:tc>
      </w:tr>
      <w:tr>
        <w:tc>
          <w:tcPr/>
          <w:p>
            <w:pPr>
              <w:pStyle w:val="Compact"/>
            </w:pPr>
            <w:r>
              <w:rPr>
                <w:b/>
                <w:bCs/>
              </w:rPr>
              <w:t xml:space="preserve">Escalation trigger</w:t>
            </w:r>
          </w:p>
        </w:tc>
        <w:tc>
          <w:tcPr/>
          <w:p>
            <w:pPr>
              <w:pStyle w:val="Compact"/>
            </w:pPr>
            <w:r>
              <w:t xml:space="preserve">Any adverse drug event attributed to a missed interaction. Database vendor discontinues service.</w:t>
            </w:r>
          </w:p>
        </w:tc>
      </w:tr>
      <w:tr>
        <w:tc>
          <w:tcPr/>
          <w:p>
            <w:pPr>
              <w:pStyle w:val="Compact"/>
            </w:pPr>
            <w:r>
              <w:rPr>
                <w:b/>
                <w:bCs/>
              </w:rPr>
              <w:t xml:space="preserve">Dependencies</w:t>
            </w:r>
          </w:p>
        </w:tc>
        <w:tc>
          <w:tcPr/>
          <w:p>
            <w:pPr>
              <w:pStyle w:val="Compact"/>
            </w:pPr>
            <w:r>
              <w:t xml:space="preserve">Gap Analysis HIGH-001 resolution. Budget allocation for licensing.</w:t>
            </w:r>
          </w:p>
        </w:tc>
      </w:tr>
    </w:tbl>
    <w:bookmarkEnd w:id="21"/>
    <w:bookmarkStart w:id="22" w:name="Xa67589320120995d9f018a1e02dc03357067a58"/>
    <w:p>
      <w:pPr>
        <w:pStyle w:val="Heading4"/>
      </w:pPr>
      <w:r>
        <w:t xml:space="preserve">R-CS-004: Wrong Patient Record Accessed (Score: 15)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Treatment Element</w:t>
            </w:r>
          </w:p>
        </w:tc>
        <w:tc>
          <w:tcPr/>
          <w:p>
            <w:pPr>
              <w:pStyle w:val="Compact"/>
            </w:pPr>
            <w:r>
              <w:t xml:space="preserve">Detail</w:t>
            </w:r>
          </w:p>
        </w:tc>
      </w:tr>
      <w:tr>
        <w:tc>
          <w:tcPr/>
          <w:p>
            <w:pPr>
              <w:pStyle w:val="Compact"/>
            </w:pPr>
            <w:r>
              <w:rPr>
                <w:b/>
                <w:bCs/>
              </w:rPr>
              <w:t xml:space="preserve">Controls</w:t>
            </w:r>
          </w:p>
        </w:tc>
        <w:tc>
          <w:tcPr/>
          <w:p>
            <w:pPr>
              <w:pStyle w:val="Compact"/>
            </w:pPr>
            <w:r>
              <w:t xml:space="preserve">1. Patient identity confirmation prompt at encounter start (display photo, name, age, MRN). 2. Barcode/QR patient wristband scanning (Phase 2 IPD). 3. EMPI duplicate detection reduces identity confusion (FR-REG-009). 4. Unique colour-coded patient banners on clinical screens. 5. Patient age prominently displayed to reduce adult/paediatric confusion.</w:t>
            </w:r>
          </w:p>
        </w:tc>
      </w:tr>
      <w:tr>
        <w:tc>
          <w:tcPr/>
          <w:p>
            <w:pPr>
              <w:pStyle w:val="Compact"/>
            </w:pPr>
            <w:r>
              <w:rPr>
                <w:b/>
                <w:bCs/>
              </w:rPr>
              <w:t xml:space="preserve">Residual risk after treatment</w:t>
            </w:r>
          </w:p>
        </w:tc>
        <w:tc>
          <w:tcPr/>
          <w:p>
            <w:pPr>
              <w:pStyle w:val="Compact"/>
            </w:pPr>
            <w:r>
              <w:t xml:space="preserve">Likelihood reduces from 3 to 1 (identity confirmation + barcode). Impact remains 5. Residual score: 5 (MEDIUM).</w:t>
            </w:r>
          </w:p>
        </w:tc>
      </w:tr>
      <w:tr>
        <w:tc>
          <w:tcPr/>
          <w:p>
            <w:pPr>
              <w:pStyle w:val="Compact"/>
            </w:pPr>
            <w:r>
              <w:rPr>
                <w:b/>
                <w:bCs/>
              </w:rPr>
              <w:t xml:space="preserve">Monitoring frequency</w:t>
            </w:r>
          </w:p>
        </w:tc>
        <w:tc>
          <w:tcPr/>
          <w:p>
            <w:pPr>
              <w:pStyle w:val="Compact"/>
            </w:pPr>
            <w:r>
              <w:t xml:space="preserve">Monthly review of wrong-patient incident reports</w:t>
            </w:r>
          </w:p>
        </w:tc>
      </w:tr>
      <w:tr>
        <w:tc>
          <w:tcPr/>
          <w:p>
            <w:pPr>
              <w:pStyle w:val="Compact"/>
            </w:pPr>
            <w:r>
              <w:rPr>
                <w:b/>
                <w:bCs/>
              </w:rPr>
              <w:t xml:space="preserve">Escalation trigger</w:t>
            </w:r>
          </w:p>
        </w:tc>
        <w:tc>
          <w:tcPr/>
          <w:p>
            <w:pPr>
              <w:pStyle w:val="Compact"/>
            </w:pPr>
            <w:r>
              <w:t xml:space="preserve">Any clinical entry made against the wrong patient.</w:t>
            </w:r>
          </w:p>
        </w:tc>
      </w:tr>
      <w:tr>
        <w:tc>
          <w:tcPr/>
          <w:p>
            <w:pPr>
              <w:pStyle w:val="Compact"/>
            </w:pPr>
            <w:r>
              <w:rPr>
                <w:b/>
                <w:bCs/>
              </w:rPr>
              <w:t xml:space="preserve">Dependencies</w:t>
            </w:r>
          </w:p>
        </w:tc>
        <w:tc>
          <w:tcPr/>
          <w:p>
            <w:pPr>
              <w:pStyle w:val="Compact"/>
            </w:pPr>
            <w:r>
              <w:t xml:space="preserve">Patient photo capture capability. Barcode wristband infrastructure at facility.</w:t>
            </w:r>
          </w:p>
        </w:tc>
      </w:tr>
    </w:tbl>
    <w:bookmarkEnd w:id="22"/>
    <w:bookmarkStart w:id="23" w:name="X27deb7510aa6a92156ba16a1a16f6de5e96389c"/>
    <w:p>
      <w:pPr>
        <w:pStyle w:val="Heading4"/>
      </w:pPr>
      <w:r>
        <w:t xml:space="preserve">R-CS-005: CDS Alert Fatigue Leading to Override of Serious Alert (Score: 16)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Treatment Element</w:t>
            </w:r>
          </w:p>
        </w:tc>
        <w:tc>
          <w:tcPr/>
          <w:p>
            <w:pPr>
              <w:pStyle w:val="Compact"/>
            </w:pPr>
            <w:r>
              <w:t xml:space="preserve">Detail</w:t>
            </w:r>
          </w:p>
        </w:tc>
      </w:tr>
      <w:tr>
        <w:tc>
          <w:tcPr/>
          <w:p>
            <w:pPr>
              <w:pStyle w:val="Compact"/>
            </w:pPr>
            <w:r>
              <w:rPr>
                <w:b/>
                <w:bCs/>
              </w:rPr>
              <w:t xml:space="preserve">Controls</w:t>
            </w:r>
          </w:p>
        </w:tc>
        <w:tc>
          <w:tcPr/>
          <w:p>
            <w:pPr>
              <w:pStyle w:val="Compact"/>
            </w:pPr>
            <w:r>
              <w:t xml:space="preserve">1. Limit Info-tier alerts to passive sidebar display (no modal interruption). 2. Track override rates per facility and per clinician. 3. Flag override rates exceeding 80% for Clinical Safety Officer review. 4. Clinician-validated alert thresholds to reduce false positives. 5. Monthly override rate reports. 6. Quarterly alert threshold review based on override data.</w:t>
            </w:r>
          </w:p>
        </w:tc>
      </w:tr>
      <w:tr>
        <w:tc>
          <w:tcPr/>
          <w:p>
            <w:pPr>
              <w:pStyle w:val="Compact"/>
            </w:pPr>
            <w:r>
              <w:rPr>
                <w:b/>
                <w:bCs/>
              </w:rPr>
              <w:t xml:space="preserve">Residual risk after treatment</w:t>
            </w:r>
          </w:p>
        </w:tc>
        <w:tc>
          <w:tcPr/>
          <w:p>
            <w:pPr>
              <w:pStyle w:val="Compact"/>
            </w:pPr>
            <w:r>
              <w:t xml:space="preserve">Likelihood reduces from 4 to 2 (reduced false positives + monitoring). Impact remains 4. Residual score: 8 (MEDIUM).</w:t>
            </w:r>
          </w:p>
        </w:tc>
      </w:tr>
      <w:tr>
        <w:tc>
          <w:tcPr/>
          <w:p>
            <w:pPr>
              <w:pStyle w:val="Compact"/>
            </w:pPr>
            <w:r>
              <w:rPr>
                <w:b/>
                <w:bCs/>
              </w:rPr>
              <w:t xml:space="preserve">Monitoring frequency</w:t>
            </w:r>
          </w:p>
        </w:tc>
        <w:tc>
          <w:tcPr/>
          <w:p>
            <w:pPr>
              <w:pStyle w:val="Compact"/>
            </w:pPr>
            <w:r>
              <w:t xml:space="preserve">Monthly override rate reporting; quarterly threshold review</w:t>
            </w:r>
          </w:p>
        </w:tc>
      </w:tr>
      <w:tr>
        <w:tc>
          <w:tcPr/>
          <w:p>
            <w:pPr>
              <w:pStyle w:val="Compact"/>
            </w:pPr>
            <w:r>
              <w:rPr>
                <w:b/>
                <w:bCs/>
              </w:rPr>
              <w:t xml:space="preserve">Escalation trigger</w:t>
            </w:r>
          </w:p>
        </w:tc>
        <w:tc>
          <w:tcPr/>
          <w:p>
            <w:pPr>
              <w:pStyle w:val="Compact"/>
            </w:pPr>
            <w:r>
              <w:t xml:space="preserve">Override rate exceeds 80% at any facility. Any Tier 3 or Tier 4 override that results in an adverse event.</w:t>
            </w:r>
          </w:p>
        </w:tc>
      </w:tr>
      <w:tr>
        <w:tc>
          <w:tcPr/>
          <w:p>
            <w:pPr>
              <w:pStyle w:val="Compact"/>
            </w:pPr>
            <w:r>
              <w:rPr>
                <w:b/>
                <w:bCs/>
              </w:rPr>
              <w:t xml:space="preserve">Dependencies</w:t>
            </w:r>
          </w:p>
        </w:tc>
        <w:tc>
          <w:tcPr/>
          <w:p>
            <w:pPr>
              <w:pStyle w:val="Compact"/>
            </w:pPr>
            <w:r>
              <w:t xml:space="preserve">Clinical Safety Officer designated per facility. Alert threshold validation by practising clinician.</w:t>
            </w:r>
          </w:p>
        </w:tc>
      </w:tr>
    </w:tbl>
    <w:bookmarkEnd w:id="23"/>
    <w:bookmarkStart w:id="24" w:name="X2a8c8ac8cceab8f34f533d9fbe363cf0450eb9a"/>
    <w:p>
      <w:pPr>
        <w:pStyle w:val="Heading4"/>
      </w:pPr>
      <w:r>
        <w:t xml:space="preserve">R-BS-001: Solo Developer Capacity (Score: 16)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Treatment Element</w:t>
            </w:r>
          </w:p>
        </w:tc>
        <w:tc>
          <w:tcPr/>
          <w:p>
            <w:pPr>
              <w:pStyle w:val="Compact"/>
            </w:pPr>
            <w:r>
              <w:t xml:space="preserve">Detail</w:t>
            </w:r>
          </w:p>
        </w:tc>
      </w:tr>
      <w:tr>
        <w:tc>
          <w:tcPr/>
          <w:p>
            <w:pPr>
              <w:pStyle w:val="Compact"/>
            </w:pPr>
            <w:r>
              <w:rPr>
                <w:b/>
                <w:bCs/>
              </w:rPr>
              <w:t xml:space="preserve">Controls</w:t>
            </w:r>
          </w:p>
        </w:tc>
        <w:tc>
          <w:tcPr/>
          <w:p>
            <w:pPr>
              <w:pStyle w:val="Compact"/>
            </w:pPr>
            <w:r>
              <w:t xml:space="preserve">1. Comprehensive documentation (SRS, HLD, LLD, ERD, API spec, test plans) to enable rapid onboarding. 2. Standard frameworks (Laravel, Jetpack Compose, SwiftUI) for wide hiring pool. 3. Modular architecture enables parallel development by multiple developers. 4. Ruthless Phase 1 MVP prioritisation -- defer non-essential features. 5. CI/CD automation reduces manual operational burden. 6. Evaluate contracting a part-time co-developer for Phase 2.</w:t>
            </w:r>
          </w:p>
        </w:tc>
      </w:tr>
      <w:tr>
        <w:tc>
          <w:tcPr/>
          <w:p>
            <w:pPr>
              <w:pStyle w:val="Compact"/>
            </w:pPr>
            <w:r>
              <w:rPr>
                <w:b/>
                <w:bCs/>
              </w:rPr>
              <w:t xml:space="preserve">Residual risk after treatment</w:t>
            </w:r>
          </w:p>
        </w:tc>
        <w:tc>
          <w:tcPr/>
          <w:p>
            <w:pPr>
              <w:pStyle w:val="Compact"/>
            </w:pPr>
            <w:r>
              <w:t xml:space="preserve">Likelihood reduces from 4 to 3 (documentation + standards reduce dependency). Impact reduces from 4 to 3 (modular architecture enables partial progress). Residual score: 9 (MEDIUM).</w:t>
            </w:r>
          </w:p>
        </w:tc>
      </w:tr>
      <w:tr>
        <w:tc>
          <w:tcPr/>
          <w:p>
            <w:pPr>
              <w:pStyle w:val="Compact"/>
            </w:pPr>
            <w:r>
              <w:rPr>
                <w:b/>
                <w:bCs/>
              </w:rPr>
              <w:t xml:space="preserve">Monitoring frequency</w:t>
            </w:r>
          </w:p>
        </w:tc>
        <w:tc>
          <w:tcPr/>
          <w:p>
            <w:pPr>
              <w:pStyle w:val="Compact"/>
            </w:pPr>
            <w:r>
              <w:t xml:space="preserve">Monthly capacity review; weekly sprint velocity tracking</w:t>
            </w:r>
          </w:p>
        </w:tc>
      </w:tr>
      <w:tr>
        <w:tc>
          <w:tcPr/>
          <w:p>
            <w:pPr>
              <w:pStyle w:val="Compact"/>
            </w:pPr>
            <w:r>
              <w:rPr>
                <w:b/>
                <w:bCs/>
              </w:rPr>
              <w:t xml:space="preserve">Escalation trigger</w:t>
            </w:r>
          </w:p>
        </w:tc>
        <w:tc>
          <w:tcPr/>
          <w:p>
            <w:pPr>
              <w:pStyle w:val="Compact"/>
            </w:pPr>
            <w:r>
              <w:t xml:space="preserve">Sprint velocity drops below 50% of baseline for 2 consecutive sprints. Unplanned absence exceeding 2 weeks.</w:t>
            </w:r>
          </w:p>
        </w:tc>
      </w:tr>
      <w:tr>
        <w:tc>
          <w:tcPr/>
          <w:p>
            <w:pPr>
              <w:pStyle w:val="Compact"/>
            </w:pPr>
            <w:r>
              <w:rPr>
                <w:b/>
                <w:bCs/>
              </w:rPr>
              <w:t xml:space="preserve">Dependencies</w:t>
            </w:r>
          </w:p>
        </w:tc>
        <w:tc>
          <w:tcPr/>
          <w:p>
            <w:pPr>
              <w:pStyle w:val="Compact"/>
            </w:pPr>
            <w:r>
              <w:t xml:space="preserve">Budget for contractor engagement. Documentation maintained to a level sufficient for onboarding.</w:t>
            </w:r>
          </w:p>
        </w:tc>
      </w:tr>
    </w:tbl>
    <w:bookmarkEnd w:id="24"/>
    <w:bookmarkEnd w:id="25"/>
    <w:bookmarkStart w:id="32" w:name="X56baded6196a8639386bf58db72a92c9fa64731"/>
    <w:p>
      <w:pPr>
        <w:pStyle w:val="Heading3"/>
      </w:pPr>
      <w:r>
        <w:t xml:space="preserve">4.2 HIGH Risks (Score 10-14)</w:t>
      </w:r>
    </w:p>
    <w:bookmarkStart w:id="26" w:name="Xcaa5d82c49265523c8daffa6388537bd9077db5"/>
    <w:p>
      <w:pPr>
        <w:pStyle w:val="Heading4"/>
      </w:pPr>
      <w:r>
        <w:t xml:space="preserve">R-CS-002: Paediatric Overdose from Dosing Calculation Error (Score: 10)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Treatment Element</w:t>
            </w:r>
          </w:p>
        </w:tc>
        <w:tc>
          <w:tcPr/>
          <w:p>
            <w:pPr>
              <w:pStyle w:val="Compact"/>
            </w:pPr>
            <w:r>
              <w:t xml:space="preserve">Detail</w:t>
            </w:r>
          </w:p>
        </w:tc>
      </w:tr>
      <w:tr>
        <w:tc>
          <w:tcPr/>
          <w:p>
            <w:pPr>
              <w:pStyle w:val="Compact"/>
            </w:pPr>
            <w:r>
              <w:rPr>
                <w:b/>
                <w:bCs/>
              </w:rPr>
              <w:t xml:space="preserve">Controls</w:t>
            </w:r>
          </w:p>
        </w:tc>
        <w:tc>
          <w:tcPr/>
          <w:p>
            <w:pPr>
              <w:pStyle w:val="Compact"/>
            </w:pPr>
            <w:r>
              <w:t xml:space="preserve">Weight-based dosing enforced for patients under 12 (BR-CLIN-006, NFR-HC-011). 10x deviation flag. Adult ceiling cap. No-weight block within 24 hours.</w:t>
            </w:r>
          </w:p>
        </w:tc>
      </w:tr>
      <w:tr>
        <w:tc>
          <w:tcPr/>
          <w:p>
            <w:pPr>
              <w:pStyle w:val="Compact"/>
            </w:pPr>
            <w:r>
              <w:rPr>
                <w:b/>
                <w:bCs/>
              </w:rPr>
              <w:t xml:space="preserve">Residual risk</w:t>
            </w:r>
          </w:p>
        </w:tc>
        <w:tc>
          <w:tcPr/>
          <w:p>
            <w:pPr>
              <w:pStyle w:val="Compact"/>
            </w:pPr>
            <w:r>
              <w:t xml:space="preserve">L:1, I:5. Residual score: 5 (MEDIUM).</w:t>
            </w:r>
          </w:p>
        </w:tc>
      </w:tr>
      <w:tr>
        <w:tc>
          <w:tcPr/>
          <w:p>
            <w:pPr>
              <w:pStyle w:val="Compact"/>
            </w:pPr>
            <w:r>
              <w:rPr>
                <w:b/>
                <w:bCs/>
              </w:rPr>
              <w:t xml:space="preserve">Monitoring</w:t>
            </w:r>
          </w:p>
        </w:tc>
        <w:tc>
          <w:tcPr/>
          <w:p>
            <w:pPr>
              <w:pStyle w:val="Compact"/>
            </w:pPr>
            <w:r>
              <w:t xml:space="preserve">Monthly review of dosing error flags and overrides</w:t>
            </w:r>
          </w:p>
        </w:tc>
      </w:tr>
    </w:tbl>
    <w:bookmarkEnd w:id="26"/>
    <w:bookmarkStart w:id="27" w:name="Xdcf1ca3afc5205318dc8b1a5afee009d2841d4d"/>
    <w:p>
      <w:pPr>
        <w:pStyle w:val="Heading4"/>
      </w:pPr>
      <w:r>
        <w:t xml:space="preserve">R-CS-003: Critical Lab Value Not Escalated (Score: 10)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Treatment Element</w:t>
            </w:r>
          </w:p>
        </w:tc>
        <w:tc>
          <w:tcPr/>
          <w:p>
            <w:pPr>
              <w:pStyle w:val="Compact"/>
            </w:pPr>
            <w:r>
              <w:t xml:space="preserve">Detail</w:t>
            </w:r>
          </w:p>
        </w:tc>
      </w:tr>
      <w:tr>
        <w:tc>
          <w:tcPr/>
          <w:p>
            <w:pPr>
              <w:pStyle w:val="Compact"/>
            </w:pPr>
            <w:r>
              <w:rPr>
                <w:b/>
                <w:bCs/>
              </w:rPr>
              <w:t xml:space="preserve">Controls</w:t>
            </w:r>
          </w:p>
        </w:tc>
        <w:tc>
          <w:tcPr/>
          <w:p>
            <w:pPr>
              <w:pStyle w:val="Compact"/>
            </w:pPr>
            <w:r>
              <w:t xml:space="preserve">60-second notification, 30-minute and 60-minute escalation cascade (BR-CLIN-003, NFR-HC-022). Multi-channel delivery. Audit trail timestamps.</w:t>
            </w:r>
          </w:p>
        </w:tc>
      </w:tr>
      <w:tr>
        <w:tc>
          <w:tcPr/>
          <w:p>
            <w:pPr>
              <w:pStyle w:val="Compact"/>
            </w:pPr>
            <w:r>
              <w:rPr>
                <w:b/>
                <w:bCs/>
              </w:rPr>
              <w:t xml:space="preserve">Residual risk</w:t>
            </w:r>
          </w:p>
        </w:tc>
        <w:tc>
          <w:tcPr/>
          <w:p>
            <w:pPr>
              <w:pStyle w:val="Compact"/>
            </w:pPr>
            <w:r>
              <w:t xml:space="preserve">L:1, I:5. Residual score: 5 (MEDIUM).</w:t>
            </w:r>
          </w:p>
        </w:tc>
      </w:tr>
      <w:tr>
        <w:tc>
          <w:tcPr/>
          <w:p>
            <w:pPr>
              <w:pStyle w:val="Compact"/>
            </w:pPr>
            <w:r>
              <w:rPr>
                <w:b/>
                <w:bCs/>
              </w:rPr>
              <w:t xml:space="preserve">Monitoring</w:t>
            </w:r>
          </w:p>
        </w:tc>
        <w:tc>
          <w:tcPr/>
          <w:p>
            <w:pPr>
              <w:pStyle w:val="Compact"/>
            </w:pPr>
            <w:r>
              <w:t xml:space="preserve">Monthly review of escalation compliance rates</w:t>
            </w:r>
          </w:p>
        </w:tc>
      </w:tr>
    </w:tbl>
    <w:bookmarkEnd w:id="27"/>
    <w:bookmarkStart w:id="28" w:name="r-ds-001-patient-data-breach-score-10"/>
    <w:p>
      <w:pPr>
        <w:pStyle w:val="Heading4"/>
      </w:pPr>
      <w:r>
        <w:t xml:space="preserve">R-DS-001: Patient Data Breach (Score: 10)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Treatment Element</w:t>
            </w:r>
          </w:p>
        </w:tc>
        <w:tc>
          <w:tcPr/>
          <w:p>
            <w:pPr>
              <w:pStyle w:val="Compact"/>
            </w:pPr>
            <w:r>
              <w:t xml:space="preserve">Detail</w:t>
            </w:r>
          </w:p>
        </w:tc>
      </w:tr>
      <w:tr>
        <w:tc>
          <w:tcPr/>
          <w:p>
            <w:pPr>
              <w:pStyle w:val="Compact"/>
            </w:pPr>
            <w:r>
              <w:rPr>
                <w:b/>
                <w:bCs/>
              </w:rPr>
              <w:t xml:space="preserve">Controls</w:t>
            </w:r>
          </w:p>
        </w:tc>
        <w:tc>
          <w:tcPr/>
          <w:p>
            <w:pPr>
              <w:pStyle w:val="Compact"/>
            </w:pPr>
            <w:r>
              <w:t xml:space="preserve">AES-256-GCM at rest, TLS 1.2+ in transit, MFA, session timeout, audit trail, breach tooling, WAF, penetration testing.</w:t>
            </w:r>
          </w:p>
        </w:tc>
      </w:tr>
      <w:tr>
        <w:tc>
          <w:tcPr/>
          <w:p>
            <w:pPr>
              <w:pStyle w:val="Compact"/>
            </w:pPr>
            <w:r>
              <w:rPr>
                <w:b/>
                <w:bCs/>
              </w:rPr>
              <w:t xml:space="preserve">Residual risk</w:t>
            </w:r>
          </w:p>
        </w:tc>
        <w:tc>
          <w:tcPr/>
          <w:p>
            <w:pPr>
              <w:pStyle w:val="Compact"/>
            </w:pPr>
            <w:r>
              <w:t xml:space="preserve">L:1, I:5. Residual score: 5 (MEDIUM).</w:t>
            </w:r>
          </w:p>
        </w:tc>
      </w:tr>
      <w:tr>
        <w:tc>
          <w:tcPr/>
          <w:p>
            <w:pPr>
              <w:pStyle w:val="Compact"/>
            </w:pPr>
            <w:r>
              <w:rPr>
                <w:b/>
                <w:bCs/>
              </w:rPr>
              <w:t xml:space="preserve">Monitoring</w:t>
            </w:r>
          </w:p>
        </w:tc>
        <w:tc>
          <w:tcPr/>
          <w:p>
            <w:pPr>
              <w:pStyle w:val="Compact"/>
            </w:pPr>
            <w:r>
              <w:t xml:space="preserve">Quarterly penetration tests. Real-time intrusion detection.</w:t>
            </w:r>
          </w:p>
        </w:tc>
      </w:tr>
    </w:tbl>
    <w:bookmarkEnd w:id="28"/>
    <w:bookmarkStart w:id="29" w:name="r-ds-003-insider-threat-score-12"/>
    <w:p>
      <w:pPr>
        <w:pStyle w:val="Heading4"/>
      </w:pPr>
      <w:r>
        <w:t xml:space="preserve">R-DS-003: Insider Threat (Score: 12)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Treatment Element</w:t>
            </w:r>
          </w:p>
        </w:tc>
        <w:tc>
          <w:tcPr/>
          <w:p>
            <w:pPr>
              <w:pStyle w:val="Compact"/>
            </w:pPr>
            <w:r>
              <w:t xml:space="preserve">Detail</w:t>
            </w:r>
          </w:p>
        </w:tc>
      </w:tr>
      <w:tr>
        <w:tc>
          <w:tcPr/>
          <w:p>
            <w:pPr>
              <w:pStyle w:val="Compact"/>
            </w:pPr>
            <w:r>
              <w:rPr>
                <w:b/>
                <w:bCs/>
              </w:rPr>
              <w:t xml:space="preserve">Controls</w:t>
            </w:r>
          </w:p>
        </w:tc>
        <w:tc>
          <w:tcPr/>
          <w:p>
            <w:pPr>
              <w:pStyle w:val="Compact"/>
            </w:pPr>
            <w:r>
              <w:t xml:space="preserve">Audit trail, ABAC, post-access review, override monitoring, anomalous pattern detection.</w:t>
            </w:r>
          </w:p>
        </w:tc>
      </w:tr>
      <w:tr>
        <w:tc>
          <w:tcPr/>
          <w:p>
            <w:pPr>
              <w:pStyle w:val="Compact"/>
            </w:pPr>
            <w:r>
              <w:rPr>
                <w:b/>
                <w:bCs/>
              </w:rPr>
              <w:t xml:space="preserve">Residual risk</w:t>
            </w:r>
          </w:p>
        </w:tc>
        <w:tc>
          <w:tcPr/>
          <w:p>
            <w:pPr>
              <w:pStyle w:val="Compact"/>
            </w:pPr>
            <w:r>
              <w:t xml:space="preserve">L:2, I:4. Residual score: 8 (MEDIUM).</w:t>
            </w:r>
          </w:p>
        </w:tc>
      </w:tr>
      <w:tr>
        <w:tc>
          <w:tcPr/>
          <w:p>
            <w:pPr>
              <w:pStyle w:val="Compact"/>
            </w:pPr>
            <w:r>
              <w:rPr>
                <w:b/>
                <w:bCs/>
              </w:rPr>
              <w:t xml:space="preserve">Monitoring</w:t>
            </w:r>
          </w:p>
        </w:tc>
        <w:tc>
          <w:tcPr/>
          <w:p>
            <w:pPr>
              <w:pStyle w:val="Compact"/>
            </w:pPr>
            <w:r>
              <w:t xml:space="preserve">Monthly audit trail sampling by Facility Admin</w:t>
            </w:r>
          </w:p>
        </w:tc>
      </w:tr>
    </w:tbl>
    <w:bookmarkEnd w:id="29"/>
    <w:bookmarkStart w:id="30" w:name="Xfec5d92253dd9295a528aeeb00d07029343b705"/>
    <w:p>
      <w:pPr>
        <w:pStyle w:val="Heading4"/>
      </w:pPr>
      <w:r>
        <w:t xml:space="preserve">R-RG-001: UMDPC Software Registration Required (Score: 12)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Treatment Element</w:t>
            </w:r>
          </w:p>
        </w:tc>
        <w:tc>
          <w:tcPr/>
          <w:p>
            <w:pPr>
              <w:pStyle w:val="Compact"/>
            </w:pPr>
            <w:r>
              <w:t xml:space="preserve">Detail</w:t>
            </w:r>
          </w:p>
        </w:tc>
      </w:tr>
      <w:tr>
        <w:tc>
          <w:tcPr/>
          <w:p>
            <w:pPr>
              <w:pStyle w:val="Compact"/>
            </w:pPr>
            <w:r>
              <w:rPr>
                <w:b/>
                <w:bCs/>
              </w:rPr>
              <w:t xml:space="preserve">Controls</w:t>
            </w:r>
          </w:p>
        </w:tc>
        <w:tc>
          <w:tcPr/>
          <w:p>
            <w:pPr>
              <w:pStyle w:val="Compact"/>
            </w:pPr>
            <w:r>
              <w:t xml:space="preserve">Submit registration enquiry. Prepare classification documentation. Document CDS as decision support. Budget for fees.</w:t>
            </w:r>
          </w:p>
        </w:tc>
      </w:tr>
      <w:tr>
        <w:tc>
          <w:tcPr/>
          <w:p>
            <w:pPr>
              <w:pStyle w:val="Compact"/>
            </w:pPr>
            <w:r>
              <w:rPr>
                <w:b/>
                <w:bCs/>
              </w:rPr>
              <w:t xml:space="preserve">Residual risk</w:t>
            </w:r>
          </w:p>
        </w:tc>
        <w:tc>
          <w:tcPr/>
          <w:p>
            <w:pPr>
              <w:pStyle w:val="Compact"/>
            </w:pPr>
            <w:r>
              <w:t xml:space="preserve">L:2, I:4. Residual score: 8 (MEDIUM) after enquiry submission.</w:t>
            </w:r>
          </w:p>
        </w:tc>
      </w:tr>
      <w:tr>
        <w:tc>
          <w:tcPr/>
          <w:p>
            <w:pPr>
              <w:pStyle w:val="Compact"/>
            </w:pPr>
            <w:r>
              <w:rPr>
                <w:b/>
                <w:bCs/>
              </w:rPr>
              <w:t xml:space="preserve">Monitoring</w:t>
            </w:r>
          </w:p>
        </w:tc>
        <w:tc>
          <w:tcPr/>
          <w:p>
            <w:pPr>
              <w:pStyle w:val="Compact"/>
            </w:pPr>
            <w:r>
              <w:t xml:space="preserve">Monthly follow-up with UMDPC until determination received</w:t>
            </w:r>
          </w:p>
        </w:tc>
      </w:tr>
    </w:tbl>
    <w:bookmarkEnd w:id="30"/>
    <w:bookmarkStart w:id="31" w:name="X2422158c252c2323ded4e3cf8b22f1a5f26f375"/>
    <w:p>
      <w:pPr>
        <w:pStyle w:val="Heading4"/>
      </w:pPr>
      <w:r>
        <w:t xml:space="preserve">R-RG-004: HIV Data Disclosure Violation (Score: 10)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Treatment Element</w:t>
            </w:r>
          </w:p>
        </w:tc>
        <w:tc>
          <w:tcPr/>
          <w:p>
            <w:pPr>
              <w:pStyle w:val="Compact"/>
            </w:pPr>
            <w:r>
              <w:t xml:space="preserve">Detail</w:t>
            </w:r>
          </w:p>
        </w:tc>
      </w:tr>
      <w:tr>
        <w:tc>
          <w:tcPr/>
          <w:p>
            <w:pPr>
              <w:pStyle w:val="Compact"/>
            </w:pPr>
            <w:r>
              <w:rPr>
                <w:b/>
                <w:bCs/>
              </w:rPr>
              <w:t xml:space="preserve">Controls</w:t>
            </w:r>
          </w:p>
        </w:tc>
        <w:tc>
          <w:tcPr/>
          <w:p>
            <w:pPr>
              <w:pStyle w:val="Compact"/>
            </w:pPr>
            <w:r>
              <w:t xml:space="preserve">ABAC 3-attribute check, break-the-glass audit with SMS, integration tests, penetration testing.</w:t>
            </w:r>
          </w:p>
        </w:tc>
      </w:tr>
      <w:tr>
        <w:tc>
          <w:tcPr/>
          <w:p>
            <w:pPr>
              <w:pStyle w:val="Compact"/>
            </w:pPr>
            <w:r>
              <w:rPr>
                <w:b/>
                <w:bCs/>
              </w:rPr>
              <w:t xml:space="preserve">Residual risk</w:t>
            </w:r>
          </w:p>
        </w:tc>
        <w:tc>
          <w:tcPr/>
          <w:p>
            <w:pPr>
              <w:pStyle w:val="Compact"/>
            </w:pPr>
            <w:r>
              <w:t xml:space="preserve">L:1, I:5. Residual score: 5 (MEDIUM).</w:t>
            </w:r>
          </w:p>
        </w:tc>
      </w:tr>
      <w:tr>
        <w:tc>
          <w:tcPr/>
          <w:p>
            <w:pPr>
              <w:pStyle w:val="Compact"/>
            </w:pPr>
            <w:r>
              <w:rPr>
                <w:b/>
                <w:bCs/>
              </w:rPr>
              <w:t xml:space="preserve">Monitoring</w:t>
            </w:r>
          </w:p>
        </w:tc>
        <w:tc>
          <w:tcPr/>
          <w:p>
            <w:pPr>
              <w:pStyle w:val="Compact"/>
            </w:pPr>
            <w:r>
              <w:t xml:space="preserve">Quarterly security audit of HIV data access paths</w:t>
            </w:r>
          </w:p>
        </w:tc>
      </w:tr>
    </w:tbl>
    <w:p>
      <w:r>
        <w:pict>
          <v:rect style="width:0;height:1.5pt" o:hralign="center" o:hrstd="t" o:hr="t"/>
        </w:pict>
      </w:r>
    </w:p>
    <w:bookmarkEnd w:id="31"/>
    <w:bookmarkEnd w:id="32"/>
    <w:bookmarkEnd w:id="33"/>
    <w:bookmarkStart w:id="37" w:name="X9a3ca7ae4f1828bb17f5f2dbbe9335ea7e2b330"/>
    <w:p>
      <w:pPr>
        <w:pStyle w:val="Heading2"/>
      </w:pPr>
      <w:r>
        <w:t xml:space="preserve">5. Risk Review Schedule</w:t>
      </w:r>
    </w:p>
    <w:bookmarkStart w:id="34" w:name="X0e7198efbf8a3794376f49c8b94e49521e48b1d"/>
    <w:p>
      <w:pPr>
        <w:pStyle w:val="Heading3"/>
      </w:pPr>
      <w:r>
        <w:t xml:space="preserve">5.1 Review Cadence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Review Type</w:t>
            </w:r>
          </w:p>
        </w:tc>
        <w:tc>
          <w:tcPr/>
          <w:p>
            <w:pPr>
              <w:pStyle w:val="Compact"/>
            </w:pPr>
            <w:r>
              <w:t xml:space="preserve">Frequency</w:t>
            </w:r>
          </w:p>
        </w:tc>
        <w:tc>
          <w:tcPr/>
          <w:p>
            <w:pPr>
              <w:pStyle w:val="Compact"/>
            </w:pPr>
            <w:r>
              <w:t xml:space="preserve">Scope</w:t>
            </w:r>
          </w:p>
        </w:tc>
        <w:tc>
          <w:tcPr/>
          <w:p>
            <w:pPr>
              <w:pStyle w:val="Compact"/>
            </w:pPr>
            <w:r>
              <w:t xml:space="preserve">Participants</w:t>
            </w:r>
          </w:p>
        </w:tc>
      </w:tr>
      <w:tr>
        <w:tc>
          <w:tcPr/>
          <w:p>
            <w:pPr>
              <w:pStyle w:val="Compact"/>
            </w:pPr>
            <w:r>
              <w:t xml:space="preserve">HIGH/CRITICAL risk review</w:t>
            </w:r>
          </w:p>
        </w:tc>
        <w:tc>
          <w:tcPr/>
          <w:p>
            <w:pPr>
              <w:pStyle w:val="Compact"/>
            </w:pPr>
            <w:r>
              <w:t xml:space="preserve">Monthly</w:t>
            </w:r>
          </w:p>
        </w:tc>
        <w:tc>
          <w:tcPr/>
          <w:p>
            <w:pPr>
              <w:pStyle w:val="Compact"/>
            </w:pPr>
            <w:r>
              <w:t xml:space="preserve">All risks scored 10+</w:t>
            </w:r>
          </w:p>
        </w:tc>
        <w:tc>
          <w:tcPr/>
          <w:p>
            <w:pPr>
              <w:pStyle w:val="Compact"/>
            </w:pPr>
            <w:r>
              <w:t xml:space="preserve">Project Owner, Clinical Safety Officer (when designated), Lead Developer</w:t>
            </w:r>
          </w:p>
        </w:tc>
      </w:tr>
      <w:tr>
        <w:tc>
          <w:tcPr/>
          <w:p>
            <w:pPr>
              <w:pStyle w:val="Compact"/>
            </w:pPr>
            <w:r>
              <w:t xml:space="preserve">Full risk register review</w:t>
            </w:r>
          </w:p>
        </w:tc>
        <w:tc>
          <w:tcPr/>
          <w:p>
            <w:pPr>
              <w:pStyle w:val="Compact"/>
            </w:pPr>
            <w:r>
              <w:t xml:space="preserve">Quarterly</w:t>
            </w:r>
          </w:p>
        </w:tc>
        <w:tc>
          <w:tcPr/>
          <w:p>
            <w:pPr>
              <w:pStyle w:val="Compact"/>
            </w:pPr>
            <w:r>
              <w:t xml:space="preserve">All risks across all categories</w:t>
            </w:r>
          </w:p>
        </w:tc>
        <w:tc>
          <w:tcPr/>
          <w:p>
            <w:pPr>
              <w:pStyle w:val="Compact"/>
            </w:pPr>
            <w:r>
              <w:t xml:space="preserve">Project Owner, all stakeholders</w:t>
            </w:r>
          </w:p>
        </w:tc>
      </w:tr>
      <w:tr>
        <w:tc>
          <w:tcPr/>
          <w:p>
            <w:pPr>
              <w:pStyle w:val="Compact"/>
            </w:pPr>
            <w:r>
              <w:t xml:space="preserve">Risk assessment refresh</w:t>
            </w:r>
          </w:p>
        </w:tc>
        <w:tc>
          <w:tcPr/>
          <w:p>
            <w:pPr>
              <w:pStyle w:val="Compact"/>
            </w:pPr>
            <w:r>
              <w:t xml:space="preserve">Annually</w:t>
            </w:r>
          </w:p>
        </w:tc>
        <w:tc>
          <w:tcPr/>
          <w:p>
            <w:pPr>
              <w:pStyle w:val="Compact"/>
            </w:pPr>
            <w:r>
              <w:t xml:space="preserve">Full risk assessment context, methodology, and register</w:t>
            </w:r>
          </w:p>
        </w:tc>
        <w:tc>
          <w:tcPr/>
          <w:p>
            <w:pPr>
              <w:pStyle w:val="Compact"/>
            </w:pPr>
            <w:r>
              <w:t xml:space="preserve">Project Owner, independent reviewer</w:t>
            </w:r>
          </w:p>
        </w:tc>
      </w:tr>
      <w:tr>
        <w:tc>
          <w:tcPr/>
          <w:p>
            <w:pPr>
              <w:pStyle w:val="Compact"/>
            </w:pPr>
            <w:r>
              <w:t xml:space="preserve">Post-incident review</w:t>
            </w:r>
          </w:p>
        </w:tc>
        <w:tc>
          <w:tcPr/>
          <w:p>
            <w:pPr>
              <w:pStyle w:val="Compact"/>
            </w:pPr>
            <w:r>
              <w:t xml:space="preserve">Ad-hoc (within 48 hours)</w:t>
            </w:r>
          </w:p>
        </w:tc>
        <w:tc>
          <w:tcPr/>
          <w:p>
            <w:pPr>
              <w:pStyle w:val="Compact"/>
            </w:pPr>
            <w:r>
              <w:t xml:space="preserve">Any clinical safety incident, data breach, or regulatory event</w:t>
            </w:r>
          </w:p>
        </w:tc>
        <w:tc>
          <w:tcPr/>
          <w:p>
            <w:pPr>
              <w:pStyle w:val="Compact"/>
            </w:pPr>
            <w:r>
              <w:t xml:space="preserve">Project Owner, Clinical Safety Officer, affected facility staff</w:t>
            </w:r>
          </w:p>
        </w:tc>
      </w:tr>
    </w:tbl>
    <w:bookmarkEnd w:id="34"/>
    <w:bookmarkStart w:id="35" w:name="Xec9794cadb633d360dc3426d26e38a7e7769ccd"/>
    <w:p>
      <w:pPr>
        <w:pStyle w:val="Heading3"/>
      </w:pPr>
      <w:r>
        <w:t xml:space="preserve">5.2 Risk Review Checklist</w:t>
      </w:r>
    </w:p>
    <w:p>
      <w:pPr>
        <w:pStyle w:val="FirstParagraph"/>
      </w:pPr>
      <w:r>
        <w:t xml:space="preserve">Each review shall assess:</w:t>
      </w:r>
    </w:p>
    <w:p>
      <w:pPr>
        <w:pStyle w:val="Compact"/>
        <w:numPr>
          <w:ilvl w:val="0"/>
          <w:numId w:val="1002"/>
        </w:numPr>
      </w:pPr>
      <w:r>
        <w:t xml:space="preserve">Has the likelihood or impact of any risk changed since the last review?</w:t>
      </w:r>
    </w:p>
    <w:p>
      <w:pPr>
        <w:pStyle w:val="Compact"/>
        <w:numPr>
          <w:ilvl w:val="0"/>
          <w:numId w:val="1002"/>
        </w:numPr>
      </w:pPr>
      <w:r>
        <w:t xml:space="preserve">Have any new risks been identified?</w:t>
      </w:r>
    </w:p>
    <w:p>
      <w:pPr>
        <w:pStyle w:val="Compact"/>
        <w:numPr>
          <w:ilvl w:val="0"/>
          <w:numId w:val="1002"/>
        </w:numPr>
      </w:pPr>
      <w:r>
        <w:t xml:space="preserve">Have any risk treatments been completed?</w:t>
      </w:r>
    </w:p>
    <w:p>
      <w:pPr>
        <w:pStyle w:val="Compact"/>
        <w:numPr>
          <w:ilvl w:val="0"/>
          <w:numId w:val="1002"/>
        </w:numPr>
      </w:pPr>
      <w:r>
        <w:t xml:space="preserve">Are residual risk scores within acceptable thresholds?</w:t>
      </w:r>
    </w:p>
    <w:p>
      <w:pPr>
        <w:pStyle w:val="Compact"/>
        <w:numPr>
          <w:ilvl w:val="0"/>
          <w:numId w:val="1002"/>
        </w:numPr>
      </w:pPr>
      <w:r>
        <w:t xml:space="preserve">Have any escalation triggers been activated?</w:t>
      </w:r>
    </w:p>
    <w:p>
      <w:pPr>
        <w:pStyle w:val="Compact"/>
        <w:numPr>
          <w:ilvl w:val="0"/>
          <w:numId w:val="1002"/>
        </w:numPr>
      </w:pPr>
      <w:r>
        <w:t xml:space="preserve">Are risk owners still appropriate and engaged?</w:t>
      </w:r>
    </w:p>
    <w:bookmarkEnd w:id="35"/>
    <w:bookmarkStart w:id="36" w:name="X501d2146e0f7f3f62ac803e6f40932536577b1a"/>
    <w:p>
      <w:pPr>
        <w:pStyle w:val="Heading3"/>
      </w:pPr>
      <w:r>
        <w:t xml:space="preserve">5.3 Risk Reporting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Report</w:t>
            </w:r>
          </w:p>
        </w:tc>
        <w:tc>
          <w:tcPr/>
          <w:p>
            <w:pPr>
              <w:pStyle w:val="Compact"/>
            </w:pPr>
            <w:r>
              <w:t xml:space="preserve">Audience</w:t>
            </w:r>
          </w:p>
        </w:tc>
        <w:tc>
          <w:tcPr/>
          <w:p>
            <w:pPr>
              <w:pStyle w:val="Compact"/>
            </w:pPr>
            <w:r>
              <w:t xml:space="preserve">Frequency</w:t>
            </w:r>
          </w:p>
        </w:tc>
      </w:tr>
      <w:tr>
        <w:tc>
          <w:tcPr/>
          <w:p>
            <w:pPr>
              <w:pStyle w:val="Compact"/>
            </w:pPr>
            <w:r>
              <w:t xml:space="preserve">Risk summary dashboard (CRITICAL + HIGH risks)</w:t>
            </w:r>
          </w:p>
        </w:tc>
        <w:tc>
          <w:tcPr/>
          <w:p>
            <w:pPr>
              <w:pStyle w:val="Compact"/>
            </w:pPr>
            <w:r>
              <w:t xml:space="preserve">Project Owner</w:t>
            </w:r>
          </w:p>
        </w:tc>
        <w:tc>
          <w:tcPr/>
          <w:p>
            <w:pPr>
              <w:pStyle w:val="Compact"/>
            </w:pPr>
            <w:r>
              <w:t xml:space="preserve">Monthly</w:t>
            </w:r>
          </w:p>
        </w:tc>
      </w:tr>
      <w:tr>
        <w:tc>
          <w:tcPr/>
          <w:p>
            <w:pPr>
              <w:pStyle w:val="Compact"/>
            </w:pPr>
            <w:r>
              <w:t xml:space="preserve">Full risk register</w:t>
            </w:r>
          </w:p>
        </w:tc>
        <w:tc>
          <w:tcPr/>
          <w:p>
            <w:pPr>
              <w:pStyle w:val="Compact"/>
            </w:pPr>
            <w:r>
              <w:t xml:space="preserve">All stakeholders</w:t>
            </w:r>
          </w:p>
        </w:tc>
        <w:tc>
          <w:tcPr/>
          <w:p>
            <w:pPr>
              <w:pStyle w:val="Compact"/>
            </w:pPr>
            <w:r>
              <w:t xml:space="preserve">Quarterly</w:t>
            </w:r>
          </w:p>
        </w:tc>
      </w:tr>
      <w:tr>
        <w:tc>
          <w:tcPr/>
          <w:p>
            <w:pPr>
              <w:pStyle w:val="Compact"/>
            </w:pPr>
            <w:r>
              <w:t xml:space="preserve">Clinical safety risk summary</w:t>
            </w:r>
          </w:p>
        </w:tc>
        <w:tc>
          <w:tcPr/>
          <w:p>
            <w:pPr>
              <w:pStyle w:val="Compact"/>
            </w:pPr>
            <w:r>
              <w:t xml:space="preserve">Clinical Safety Officer, Facility Admin</w:t>
            </w:r>
          </w:p>
        </w:tc>
        <w:tc>
          <w:tcPr/>
          <w:p>
            <w:pPr>
              <w:pStyle w:val="Compact"/>
            </w:pPr>
            <w:r>
              <w:t xml:space="preserve">Monthly</w:t>
            </w:r>
          </w:p>
        </w:tc>
      </w:tr>
      <w:tr>
        <w:tc>
          <w:tcPr/>
          <w:p>
            <w:pPr>
              <w:pStyle w:val="Compact"/>
            </w:pPr>
            <w:r>
              <w:t xml:space="preserve">Regulatory compliance risk status</w:t>
            </w:r>
          </w:p>
        </w:tc>
        <w:tc>
          <w:tcPr/>
          <w:p>
            <w:pPr>
              <w:pStyle w:val="Compact"/>
            </w:pPr>
            <w:r>
              <w:t xml:space="preserve">Data Protection Officer</w:t>
            </w:r>
          </w:p>
        </w:tc>
        <w:tc>
          <w:tcPr/>
          <w:p>
            <w:pPr>
              <w:pStyle w:val="Compact"/>
            </w:pPr>
            <w:r>
              <w:t xml:space="preserve">Quarterly</w:t>
            </w:r>
          </w:p>
        </w:tc>
      </w:tr>
    </w:tbl>
    <w:p>
      <w:r>
        <w:pict>
          <v:rect style="width:0;height:1.5pt" o:hralign="center" o:hrstd="t" o:hr="t"/>
        </w:pict>
      </w:r>
    </w:p>
    <w:bookmarkEnd w:id="36"/>
    <w:bookmarkEnd w:id="37"/>
    <w:bookmarkStart w:id="38" w:name="Xe8bdcc865bbdf7afeff7477c08c6768bcb38db1"/>
    <w:p>
      <w:pPr>
        <w:pStyle w:val="Heading2"/>
      </w:pPr>
      <w:r>
        <w:t xml:space="preserve">Appendix A: Risk Register Summary (Sorted by Score)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Rank</w:t>
            </w:r>
          </w:p>
        </w:tc>
        <w:tc>
          <w:tcPr/>
          <w:p>
            <w:pPr>
              <w:pStyle w:val="Compact"/>
            </w:pPr>
            <w:r>
              <w:t xml:space="preserve">Risk ID</w:t>
            </w:r>
          </w:p>
        </w:tc>
        <w:tc>
          <w:tcPr/>
          <w:p>
            <w:pPr>
              <w:pStyle w:val="Compact"/>
            </w:pPr>
            <w:r>
              <w:t xml:space="preserve">Category</w:t>
            </w:r>
          </w:p>
        </w:tc>
        <w:tc>
          <w:tcPr/>
          <w:p>
            <w:pPr>
              <w:pStyle w:val="Compact"/>
            </w:pPr>
            <w:r>
              <w:t xml:space="preserve">Score</w:t>
            </w:r>
          </w:p>
        </w:tc>
        <w:tc>
          <w:tcPr/>
          <w:p>
            <w:pPr>
              <w:pStyle w:val="Compact"/>
            </w:pPr>
            <w:r>
              <w:t xml:space="preserve">Classification</w:t>
            </w:r>
          </w:p>
        </w:tc>
        <w:tc>
          <w:tcPr/>
          <w:p>
            <w:pPr>
              <w:pStyle w:val="Compact"/>
            </w:pPr>
            <w:r>
              <w:t xml:space="preserve">Description (abbreviated)</w:t>
            </w:r>
          </w:p>
        </w:tc>
      </w:tr>
      <w:tr>
        <w:tc>
          <w:tcPr/>
          <w:p>
            <w:pPr>
              <w:pStyle w:val="Compact"/>
            </w:pPr>
            <w:r>
              <w:t xml:space="preserve">1</w:t>
            </w:r>
          </w:p>
        </w:tc>
        <w:tc>
          <w:tcPr/>
          <w:p>
            <w:pPr>
              <w:pStyle w:val="Compact"/>
            </w:pPr>
            <w:r>
              <w:t xml:space="preserve">R-CS-005</w:t>
            </w:r>
          </w:p>
        </w:tc>
        <w:tc>
          <w:tcPr/>
          <w:p>
            <w:pPr>
              <w:pStyle w:val="Compact"/>
            </w:pPr>
            <w:r>
              <w:t xml:space="preserve">Clinical Safety</w:t>
            </w:r>
          </w:p>
        </w:tc>
        <w:tc>
          <w:tcPr/>
          <w:p>
            <w:pPr>
              <w:pStyle w:val="Compact"/>
            </w:pPr>
            <w:r>
              <w:t xml:space="preserve">16</w:t>
            </w:r>
          </w:p>
        </w:tc>
        <w:tc>
          <w:tcPr/>
          <w:p>
            <w:pPr>
              <w:pStyle w:val="Compact"/>
            </w:pPr>
            <w:r>
              <w:t xml:space="preserve">CRITICAL</w:t>
            </w:r>
          </w:p>
        </w:tc>
        <w:tc>
          <w:tcPr/>
          <w:p>
            <w:pPr>
              <w:pStyle w:val="Compact"/>
            </w:pPr>
            <w:r>
              <w:t xml:space="preserve">CDS alert fatigue leading to serious override</w:t>
            </w:r>
          </w:p>
        </w:tc>
      </w:tr>
      <w:tr>
        <w:tc>
          <w:tcPr/>
          <w:p>
            <w:pPr>
              <w:pStyle w:val="Compact"/>
            </w:pPr>
            <w:r>
              <w:t xml:space="preserve">2</w:t>
            </w:r>
          </w:p>
        </w:tc>
        <w:tc>
          <w:tcPr/>
          <w:p>
            <w:pPr>
              <w:pStyle w:val="Compact"/>
            </w:pPr>
            <w:r>
              <w:t xml:space="preserve">R-BS-001</w:t>
            </w:r>
          </w:p>
        </w:tc>
        <w:tc>
          <w:tcPr/>
          <w:p>
            <w:pPr>
              <w:pStyle w:val="Compact"/>
            </w:pPr>
            <w:r>
              <w:t xml:space="preserve">Business</w:t>
            </w:r>
          </w:p>
        </w:tc>
        <w:tc>
          <w:tcPr/>
          <w:p>
            <w:pPr>
              <w:pStyle w:val="Compact"/>
            </w:pPr>
            <w:r>
              <w:t xml:space="preserve">16</w:t>
            </w:r>
          </w:p>
        </w:tc>
        <w:tc>
          <w:tcPr/>
          <w:p>
            <w:pPr>
              <w:pStyle w:val="Compact"/>
            </w:pPr>
            <w:r>
              <w:t xml:space="preserve">CRITICAL</w:t>
            </w:r>
          </w:p>
        </w:tc>
        <w:tc>
          <w:tcPr/>
          <w:p>
            <w:pPr>
              <w:pStyle w:val="Compact"/>
            </w:pPr>
            <w:r>
              <w:t xml:space="preserve">Solo developer capacity</w:t>
            </w:r>
          </w:p>
        </w:tc>
      </w:tr>
      <w:tr>
        <w:tc>
          <w:tcPr/>
          <w:p>
            <w:pPr>
              <w:pStyle w:val="Compact"/>
            </w:pPr>
            <w:r>
              <w:t xml:space="preserve">3</w:t>
            </w:r>
          </w:p>
        </w:tc>
        <w:tc>
          <w:tcPr/>
          <w:p>
            <w:pPr>
              <w:pStyle w:val="Compact"/>
            </w:pPr>
            <w:r>
              <w:t xml:space="preserve">R-CS-001</w:t>
            </w:r>
          </w:p>
        </w:tc>
        <w:tc>
          <w:tcPr/>
          <w:p>
            <w:pPr>
              <w:pStyle w:val="Compact"/>
            </w:pPr>
            <w:r>
              <w:t xml:space="preserve">Clinical Safety</w:t>
            </w:r>
          </w:p>
        </w:tc>
        <w:tc>
          <w:tcPr/>
          <w:p>
            <w:pPr>
              <w:pStyle w:val="Compact"/>
            </w:pPr>
            <w:r>
              <w:t xml:space="preserve">15</w:t>
            </w:r>
          </w:p>
        </w:tc>
        <w:tc>
          <w:tcPr/>
          <w:p>
            <w:pPr>
              <w:pStyle w:val="Compact"/>
            </w:pPr>
            <w:r>
              <w:t xml:space="preserve">CRITICAL</w:t>
            </w:r>
          </w:p>
        </w:tc>
        <w:tc>
          <w:tcPr/>
          <w:p>
            <w:pPr>
              <w:pStyle w:val="Compact"/>
            </w:pPr>
            <w:r>
              <w:t xml:space="preserve">Drug interaction missed (incomplete database)</w:t>
            </w:r>
          </w:p>
        </w:tc>
      </w:tr>
      <w:tr>
        <w:tc>
          <w:tcPr/>
          <w:p>
            <w:pPr>
              <w:pStyle w:val="Compact"/>
            </w:pPr>
            <w:r>
              <w:t xml:space="preserve">4</w:t>
            </w:r>
          </w:p>
        </w:tc>
        <w:tc>
          <w:tcPr/>
          <w:p>
            <w:pPr>
              <w:pStyle w:val="Compact"/>
            </w:pPr>
            <w:r>
              <w:t xml:space="preserve">R-CS-004</w:t>
            </w:r>
          </w:p>
        </w:tc>
        <w:tc>
          <w:tcPr/>
          <w:p>
            <w:pPr>
              <w:pStyle w:val="Compact"/>
            </w:pPr>
            <w:r>
              <w:t xml:space="preserve">Clinical Safety</w:t>
            </w:r>
          </w:p>
        </w:tc>
        <w:tc>
          <w:tcPr/>
          <w:p>
            <w:pPr>
              <w:pStyle w:val="Compact"/>
            </w:pPr>
            <w:r>
              <w:t xml:space="preserve">15</w:t>
            </w:r>
          </w:p>
        </w:tc>
        <w:tc>
          <w:tcPr/>
          <w:p>
            <w:pPr>
              <w:pStyle w:val="Compact"/>
            </w:pPr>
            <w:r>
              <w:t xml:space="preserve">CRITICAL</w:t>
            </w:r>
          </w:p>
        </w:tc>
        <w:tc>
          <w:tcPr/>
          <w:p>
            <w:pPr>
              <w:pStyle w:val="Compact"/>
            </w:pPr>
            <w:r>
              <w:t xml:space="preserve">Wrong patient record accessed</w:t>
            </w:r>
          </w:p>
        </w:tc>
      </w:tr>
      <w:tr>
        <w:tc>
          <w:tcPr/>
          <w:p>
            <w:pPr>
              <w:pStyle w:val="Compact"/>
            </w:pPr>
            <w:r>
              <w:t xml:space="preserve">5</w:t>
            </w:r>
          </w:p>
        </w:tc>
        <w:tc>
          <w:tcPr/>
          <w:p>
            <w:pPr>
              <w:pStyle w:val="Compact"/>
            </w:pPr>
            <w:r>
              <w:t xml:space="preserve">R-DS-003</w:t>
            </w:r>
          </w:p>
        </w:tc>
        <w:tc>
          <w:tcPr/>
          <w:p>
            <w:pPr>
              <w:pStyle w:val="Compact"/>
            </w:pPr>
            <w:r>
              <w:t xml:space="preserve">Data Security</w:t>
            </w:r>
          </w:p>
        </w:tc>
        <w:tc>
          <w:tcPr/>
          <w:p>
            <w:pPr>
              <w:pStyle w:val="Compact"/>
            </w:pPr>
            <w:r>
              <w:t xml:space="preserve">12</w:t>
            </w:r>
          </w:p>
        </w:tc>
        <w:tc>
          <w:tcPr/>
          <w:p>
            <w:pPr>
              <w:pStyle w:val="Compact"/>
            </w:pPr>
            <w:r>
              <w:t xml:space="preserve">HIGH</w:t>
            </w:r>
          </w:p>
        </w:tc>
        <w:tc>
          <w:tcPr/>
          <w:p>
            <w:pPr>
              <w:pStyle w:val="Compact"/>
            </w:pPr>
            <w:r>
              <w:t xml:space="preserve">Insider threat (access without justification)</w:t>
            </w:r>
          </w:p>
        </w:tc>
      </w:tr>
      <w:tr>
        <w:tc>
          <w:tcPr/>
          <w:p>
            <w:pPr>
              <w:pStyle w:val="Compact"/>
            </w:pPr>
            <w:r>
              <w:t xml:space="preserve">6</w:t>
            </w:r>
          </w:p>
        </w:tc>
        <w:tc>
          <w:tcPr/>
          <w:p>
            <w:pPr>
              <w:pStyle w:val="Compact"/>
            </w:pPr>
            <w:r>
              <w:t xml:space="preserve">R-RG-001</w:t>
            </w:r>
          </w:p>
        </w:tc>
        <w:tc>
          <w:tcPr/>
          <w:p>
            <w:pPr>
              <w:pStyle w:val="Compact"/>
            </w:pPr>
            <w:r>
              <w:t xml:space="preserve">Regulatory</w:t>
            </w:r>
          </w:p>
        </w:tc>
        <w:tc>
          <w:tcPr/>
          <w:p>
            <w:pPr>
              <w:pStyle w:val="Compact"/>
            </w:pPr>
            <w:r>
              <w:t xml:space="preserve">12</w:t>
            </w:r>
          </w:p>
        </w:tc>
        <w:tc>
          <w:tcPr/>
          <w:p>
            <w:pPr>
              <w:pStyle w:val="Compact"/>
            </w:pPr>
            <w:r>
              <w:t xml:space="preserve">HIGH</w:t>
            </w:r>
          </w:p>
        </w:tc>
        <w:tc>
          <w:tcPr/>
          <w:p>
            <w:pPr>
              <w:pStyle w:val="Compact"/>
            </w:pPr>
            <w:r>
              <w:t xml:space="preserve">UMDPC software registration required</w:t>
            </w:r>
          </w:p>
        </w:tc>
      </w:tr>
      <w:tr>
        <w:tc>
          <w:tcPr/>
          <w:p>
            <w:pPr>
              <w:pStyle w:val="Compact"/>
            </w:pPr>
            <w:r>
              <w:t xml:space="preserve">7</w:t>
            </w:r>
          </w:p>
        </w:tc>
        <w:tc>
          <w:tcPr/>
          <w:p>
            <w:pPr>
              <w:pStyle w:val="Compact"/>
            </w:pPr>
            <w:r>
              <w:t xml:space="preserve">R-CS-002</w:t>
            </w:r>
          </w:p>
        </w:tc>
        <w:tc>
          <w:tcPr/>
          <w:p>
            <w:pPr>
              <w:pStyle w:val="Compact"/>
            </w:pPr>
            <w:r>
              <w:t xml:space="preserve">Clinical Safety</w:t>
            </w:r>
          </w:p>
        </w:tc>
        <w:tc>
          <w:tcPr/>
          <w:p>
            <w:pPr>
              <w:pStyle w:val="Compact"/>
            </w:pPr>
            <w:r>
              <w:t xml:space="preserve">10</w:t>
            </w:r>
          </w:p>
        </w:tc>
        <w:tc>
          <w:tcPr/>
          <w:p>
            <w:pPr>
              <w:pStyle w:val="Compact"/>
            </w:pPr>
            <w:r>
              <w:t xml:space="preserve">HIGH</w:t>
            </w:r>
          </w:p>
        </w:tc>
        <w:tc>
          <w:tcPr/>
          <w:p>
            <w:pPr>
              <w:pStyle w:val="Compact"/>
            </w:pPr>
            <w:r>
              <w:t xml:space="preserve">Paediatric overdose from dosing error</w:t>
            </w:r>
          </w:p>
        </w:tc>
      </w:tr>
      <w:tr>
        <w:tc>
          <w:tcPr/>
          <w:p>
            <w:pPr>
              <w:pStyle w:val="Compact"/>
            </w:pPr>
            <w:r>
              <w:t xml:space="preserve">8</w:t>
            </w:r>
          </w:p>
        </w:tc>
        <w:tc>
          <w:tcPr/>
          <w:p>
            <w:pPr>
              <w:pStyle w:val="Compact"/>
            </w:pPr>
            <w:r>
              <w:t xml:space="preserve">R-CS-003</w:t>
            </w:r>
          </w:p>
        </w:tc>
        <w:tc>
          <w:tcPr/>
          <w:p>
            <w:pPr>
              <w:pStyle w:val="Compact"/>
            </w:pPr>
            <w:r>
              <w:t xml:space="preserve">Clinical Safety</w:t>
            </w:r>
          </w:p>
        </w:tc>
        <w:tc>
          <w:tcPr/>
          <w:p>
            <w:pPr>
              <w:pStyle w:val="Compact"/>
            </w:pPr>
            <w:r>
              <w:t xml:space="preserve">10</w:t>
            </w:r>
          </w:p>
        </w:tc>
        <w:tc>
          <w:tcPr/>
          <w:p>
            <w:pPr>
              <w:pStyle w:val="Compact"/>
            </w:pPr>
            <w:r>
              <w:t xml:space="preserve">HIGH</w:t>
            </w:r>
          </w:p>
        </w:tc>
        <w:tc>
          <w:tcPr/>
          <w:p>
            <w:pPr>
              <w:pStyle w:val="Compact"/>
            </w:pPr>
            <w:r>
              <w:t xml:space="preserve">Critical lab value not escalated</w:t>
            </w:r>
          </w:p>
        </w:tc>
      </w:tr>
      <w:tr>
        <w:tc>
          <w:tcPr/>
          <w:p>
            <w:pPr>
              <w:pStyle w:val="Compact"/>
            </w:pPr>
            <w:r>
              <w:t xml:space="preserve">9</w:t>
            </w:r>
          </w:p>
        </w:tc>
        <w:tc>
          <w:tcPr/>
          <w:p>
            <w:pPr>
              <w:pStyle w:val="Compact"/>
            </w:pPr>
            <w:r>
              <w:t xml:space="preserve">R-DS-001</w:t>
            </w:r>
          </w:p>
        </w:tc>
        <w:tc>
          <w:tcPr/>
          <w:p>
            <w:pPr>
              <w:pStyle w:val="Compact"/>
            </w:pPr>
            <w:r>
              <w:t xml:space="preserve">Data Security</w:t>
            </w:r>
          </w:p>
        </w:tc>
        <w:tc>
          <w:tcPr/>
          <w:p>
            <w:pPr>
              <w:pStyle w:val="Compact"/>
            </w:pPr>
            <w:r>
              <w:t xml:space="preserve">10</w:t>
            </w:r>
          </w:p>
        </w:tc>
        <w:tc>
          <w:tcPr/>
          <w:p>
            <w:pPr>
              <w:pStyle w:val="Compact"/>
            </w:pPr>
            <w:r>
              <w:t xml:space="preserve">HIGH</w:t>
            </w:r>
          </w:p>
        </w:tc>
        <w:tc>
          <w:tcPr/>
          <w:p>
            <w:pPr>
              <w:pStyle w:val="Compact"/>
            </w:pPr>
            <w:r>
              <w:t xml:space="preserve">Patient data breach</w:t>
            </w:r>
          </w:p>
        </w:tc>
      </w:tr>
      <w:tr>
        <w:tc>
          <w:tcPr/>
          <w:p>
            <w:pPr>
              <w:pStyle w:val="Compact"/>
            </w:pPr>
            <w:r>
              <w:t xml:space="preserve">10</w:t>
            </w:r>
          </w:p>
        </w:tc>
        <w:tc>
          <w:tcPr/>
          <w:p>
            <w:pPr>
              <w:pStyle w:val="Compact"/>
            </w:pPr>
            <w:r>
              <w:t xml:space="preserve">R-RG-004</w:t>
            </w:r>
          </w:p>
        </w:tc>
        <w:tc>
          <w:tcPr/>
          <w:p>
            <w:pPr>
              <w:pStyle w:val="Compact"/>
            </w:pPr>
            <w:r>
              <w:t xml:space="preserve">Regulatory</w:t>
            </w:r>
          </w:p>
        </w:tc>
        <w:tc>
          <w:tcPr/>
          <w:p>
            <w:pPr>
              <w:pStyle w:val="Compact"/>
            </w:pPr>
            <w:r>
              <w:t xml:space="preserve">10</w:t>
            </w:r>
          </w:p>
        </w:tc>
        <w:tc>
          <w:tcPr/>
          <w:p>
            <w:pPr>
              <w:pStyle w:val="Compact"/>
            </w:pPr>
            <w:r>
              <w:t xml:space="preserve">HIGH</w:t>
            </w:r>
          </w:p>
        </w:tc>
        <w:tc>
          <w:tcPr/>
          <w:p>
            <w:pPr>
              <w:pStyle w:val="Compact"/>
            </w:pPr>
            <w:r>
              <w:t xml:space="preserve">HIV data disclosure violation</w:t>
            </w:r>
          </w:p>
        </w:tc>
      </w:tr>
      <w:tr>
        <w:tc>
          <w:tcPr/>
          <w:p>
            <w:pPr>
              <w:pStyle w:val="Compact"/>
            </w:pPr>
            <w:r>
              <w:t xml:space="preserve">11</w:t>
            </w:r>
          </w:p>
        </w:tc>
        <w:tc>
          <w:tcPr/>
          <w:p>
            <w:pPr>
              <w:pStyle w:val="Compact"/>
            </w:pPr>
            <w:r>
              <w:t xml:space="preserve">R-DS-004</w:t>
            </w:r>
          </w:p>
        </w:tc>
        <w:tc>
          <w:tcPr/>
          <w:p>
            <w:pPr>
              <w:pStyle w:val="Compact"/>
            </w:pPr>
            <w:r>
              <w:t xml:space="preserve">Data Security</w:t>
            </w:r>
          </w:p>
        </w:tc>
        <w:tc>
          <w:tcPr/>
          <w:p>
            <w:pPr>
              <w:pStyle w:val="Compact"/>
            </w:pPr>
            <w:r>
              <w:t xml:space="preserve">9</w:t>
            </w:r>
          </w:p>
        </w:tc>
        <w:tc>
          <w:tcPr/>
          <w:p>
            <w:pPr>
              <w:pStyle w:val="Compact"/>
            </w:pPr>
            <w:r>
              <w:t xml:space="preserve">MEDIUM</w:t>
            </w:r>
          </w:p>
        </w:tc>
        <w:tc>
          <w:tcPr/>
          <w:p>
            <w:pPr>
              <w:pStyle w:val="Compact"/>
            </w:pPr>
            <w:r>
              <w:t xml:space="preserve">Mobile device theft with cached data</w:t>
            </w:r>
          </w:p>
        </w:tc>
      </w:tr>
      <w:tr>
        <w:tc>
          <w:tcPr/>
          <w:p>
            <w:pPr>
              <w:pStyle w:val="Compact"/>
            </w:pPr>
            <w:r>
              <w:t xml:space="preserve">12</w:t>
            </w:r>
          </w:p>
        </w:tc>
        <w:tc>
          <w:tcPr/>
          <w:p>
            <w:pPr>
              <w:pStyle w:val="Compact"/>
            </w:pPr>
            <w:r>
              <w:t xml:space="preserve">R-TC-002</w:t>
            </w:r>
          </w:p>
        </w:tc>
        <w:tc>
          <w:tcPr/>
          <w:p>
            <w:pPr>
              <w:pStyle w:val="Compact"/>
            </w:pPr>
            <w:r>
              <w:t xml:space="preserve">Technical</w:t>
            </w:r>
          </w:p>
        </w:tc>
        <w:tc>
          <w:tcPr/>
          <w:p>
            <w:pPr>
              <w:pStyle w:val="Compact"/>
            </w:pPr>
            <w:r>
              <w:t xml:space="preserve">9</w:t>
            </w:r>
          </w:p>
        </w:tc>
        <w:tc>
          <w:tcPr/>
          <w:p>
            <w:pPr>
              <w:pStyle w:val="Compact"/>
            </w:pPr>
            <w:r>
              <w:t xml:space="preserve">MEDIUM</w:t>
            </w:r>
          </w:p>
        </w:tc>
        <w:tc>
          <w:tcPr/>
          <w:p>
            <w:pPr>
              <w:pStyle w:val="Compact"/>
            </w:pPr>
            <w:r>
              <w:t xml:space="preserve">HL7 v2 analyser incompatibility</w:t>
            </w:r>
          </w:p>
        </w:tc>
      </w:tr>
      <w:tr>
        <w:tc>
          <w:tcPr/>
          <w:p>
            <w:pPr>
              <w:pStyle w:val="Compact"/>
            </w:pPr>
            <w:r>
              <w:t xml:space="preserve">13</w:t>
            </w:r>
          </w:p>
        </w:tc>
        <w:tc>
          <w:tcPr/>
          <w:p>
            <w:pPr>
              <w:pStyle w:val="Compact"/>
            </w:pPr>
            <w:r>
              <w:t xml:space="preserve">R-TC-004</w:t>
            </w:r>
          </w:p>
        </w:tc>
        <w:tc>
          <w:tcPr/>
          <w:p>
            <w:pPr>
              <w:pStyle w:val="Compact"/>
            </w:pPr>
            <w:r>
              <w:t xml:space="preserve">Technical</w:t>
            </w:r>
          </w:p>
        </w:tc>
        <w:tc>
          <w:tcPr/>
          <w:p>
            <w:pPr>
              <w:pStyle w:val="Compact"/>
            </w:pPr>
            <w:r>
              <w:t xml:space="preserve">9</w:t>
            </w:r>
          </w:p>
        </w:tc>
        <w:tc>
          <w:tcPr/>
          <w:p>
            <w:pPr>
              <w:pStyle w:val="Compact"/>
            </w:pPr>
            <w:r>
              <w:t xml:space="preserve">MEDIUM</w:t>
            </w:r>
          </w:p>
        </w:tc>
        <w:tc>
          <w:tcPr/>
          <w:p>
            <w:pPr>
              <w:pStyle w:val="Compact"/>
            </w:pPr>
            <w:r>
              <w:t xml:space="preserve">Performance degradation at scale</w:t>
            </w:r>
          </w:p>
        </w:tc>
      </w:tr>
      <w:tr>
        <w:tc>
          <w:tcPr/>
          <w:p>
            <w:pPr>
              <w:pStyle w:val="Compact"/>
            </w:pPr>
            <w:r>
              <w:t xml:space="preserve">14</w:t>
            </w:r>
          </w:p>
        </w:tc>
        <w:tc>
          <w:tcPr/>
          <w:p>
            <w:pPr>
              <w:pStyle w:val="Compact"/>
            </w:pPr>
            <w:r>
              <w:t xml:space="preserve">R-BS-003</w:t>
            </w:r>
          </w:p>
        </w:tc>
        <w:tc>
          <w:tcPr/>
          <w:p>
            <w:pPr>
              <w:pStyle w:val="Compact"/>
            </w:pPr>
            <w:r>
              <w:t xml:space="preserve">Business</w:t>
            </w:r>
          </w:p>
        </w:tc>
        <w:tc>
          <w:tcPr/>
          <w:p>
            <w:pPr>
              <w:pStyle w:val="Compact"/>
            </w:pPr>
            <w:r>
              <w:t xml:space="preserve">9</w:t>
            </w:r>
          </w:p>
        </w:tc>
        <w:tc>
          <w:tcPr/>
          <w:p>
            <w:pPr>
              <w:pStyle w:val="Compact"/>
            </w:pPr>
            <w:r>
              <w:t xml:space="preserve">MEDIUM</w:t>
            </w:r>
          </w:p>
        </w:tc>
        <w:tc>
          <w:tcPr/>
          <w:p>
            <w:pPr>
              <w:pStyle w:val="Compact"/>
            </w:pPr>
            <w:r>
              <w:t xml:space="preserve">Customer churn from poor onboarding</w:t>
            </w:r>
          </w:p>
        </w:tc>
      </w:tr>
      <w:tr>
        <w:tc>
          <w:tcPr/>
          <w:p>
            <w:pPr>
              <w:pStyle w:val="Compact"/>
            </w:pPr>
            <w:r>
              <w:t xml:space="preserve">15</w:t>
            </w:r>
          </w:p>
        </w:tc>
        <w:tc>
          <w:tcPr/>
          <w:p>
            <w:pPr>
              <w:pStyle w:val="Compact"/>
            </w:pPr>
            <w:r>
              <w:t xml:space="preserve">R-OP-002</w:t>
            </w:r>
          </w:p>
        </w:tc>
        <w:tc>
          <w:tcPr/>
          <w:p>
            <w:pPr>
              <w:pStyle w:val="Compact"/>
            </w:pPr>
            <w:r>
              <w:t xml:space="preserve">Operational</w:t>
            </w:r>
          </w:p>
        </w:tc>
        <w:tc>
          <w:tcPr/>
          <w:p>
            <w:pPr>
              <w:pStyle w:val="Compact"/>
            </w:pPr>
            <w:r>
              <w:t xml:space="preserve">9</w:t>
            </w:r>
          </w:p>
        </w:tc>
        <w:tc>
          <w:tcPr/>
          <w:p>
            <w:pPr>
              <w:pStyle w:val="Compact"/>
            </w:pPr>
            <w:r>
              <w:t xml:space="preserve">MEDIUM</w:t>
            </w:r>
          </w:p>
        </w:tc>
        <w:tc>
          <w:tcPr/>
          <w:p>
            <w:pPr>
              <w:pStyle w:val="Compact"/>
            </w:pPr>
            <w:r>
              <w:t xml:space="preserve">DHIS2 API downtime</w:t>
            </w:r>
          </w:p>
        </w:tc>
      </w:tr>
      <w:tr>
        <w:tc>
          <w:tcPr/>
          <w:p>
            <w:pPr>
              <w:pStyle w:val="Compact"/>
            </w:pPr>
            <w:r>
              <w:t xml:space="preserve">16</w:t>
            </w:r>
          </w:p>
        </w:tc>
        <w:tc>
          <w:tcPr/>
          <w:p>
            <w:pPr>
              <w:pStyle w:val="Compact"/>
            </w:pPr>
            <w:r>
              <w:t xml:space="preserve">R-RG-003</w:t>
            </w:r>
          </w:p>
        </w:tc>
        <w:tc>
          <w:tcPr/>
          <w:p>
            <w:pPr>
              <w:pStyle w:val="Compact"/>
            </w:pPr>
            <w:r>
              <w:t xml:space="preserve">Regulatory</w:t>
            </w:r>
          </w:p>
        </w:tc>
        <w:tc>
          <w:tcPr/>
          <w:p>
            <w:pPr>
              <w:pStyle w:val="Compact"/>
            </w:pPr>
            <w:r>
              <w:t xml:space="preserve">9</w:t>
            </w:r>
          </w:p>
        </w:tc>
        <w:tc>
          <w:tcPr/>
          <w:p>
            <w:pPr>
              <w:pStyle w:val="Compact"/>
            </w:pPr>
            <w:r>
              <w:t xml:space="preserve">MEDIUM</w:t>
            </w:r>
          </w:p>
        </w:tc>
        <w:tc>
          <w:tcPr/>
          <w:p>
            <w:pPr>
              <w:pStyle w:val="Compact"/>
            </w:pPr>
            <w:r>
              <w:t xml:space="preserve">NHIS API not published</w:t>
            </w:r>
          </w:p>
        </w:tc>
      </w:tr>
      <w:tr>
        <w:tc>
          <w:tcPr/>
          <w:p>
            <w:pPr>
              <w:pStyle w:val="Compact"/>
            </w:pPr>
            <w:r>
              <w:t xml:space="preserve">17</w:t>
            </w:r>
          </w:p>
        </w:tc>
        <w:tc>
          <w:tcPr/>
          <w:p>
            <w:pPr>
              <w:pStyle w:val="Compact"/>
            </w:pPr>
            <w:r>
              <w:t xml:space="preserve">R-BS-005</w:t>
            </w:r>
          </w:p>
        </w:tc>
        <w:tc>
          <w:tcPr/>
          <w:p>
            <w:pPr>
              <w:pStyle w:val="Compact"/>
            </w:pPr>
            <w:r>
              <w:t xml:space="preserve">Business</w:t>
            </w:r>
          </w:p>
        </w:tc>
        <w:tc>
          <w:tcPr/>
          <w:p>
            <w:pPr>
              <w:pStyle w:val="Compact"/>
            </w:pPr>
            <w:r>
              <w:t xml:space="preserve">9</w:t>
            </w:r>
          </w:p>
        </w:tc>
        <w:tc>
          <w:tcPr/>
          <w:p>
            <w:pPr>
              <w:pStyle w:val="Compact"/>
            </w:pPr>
            <w:r>
              <w:t xml:space="preserve">MEDIUM</w:t>
            </w:r>
          </w:p>
        </w:tc>
        <w:tc>
          <w:tcPr/>
          <w:p>
            <w:pPr>
              <w:pStyle w:val="Compact"/>
            </w:pPr>
            <w:r>
              <w:t xml:space="preserve">Drug interaction database licensing cost</w:t>
            </w:r>
          </w:p>
        </w:tc>
      </w:tr>
      <w:tr>
        <w:tc>
          <w:tcPr/>
          <w:p>
            <w:pPr>
              <w:pStyle w:val="Compact"/>
            </w:pPr>
            <w:r>
              <w:t xml:space="preserve">18</w:t>
            </w:r>
          </w:p>
        </w:tc>
        <w:tc>
          <w:tcPr/>
          <w:p>
            <w:pPr>
              <w:pStyle w:val="Compact"/>
            </w:pPr>
            <w:r>
              <w:t xml:space="preserve">R-DS-005</w:t>
            </w:r>
          </w:p>
        </w:tc>
        <w:tc>
          <w:tcPr/>
          <w:p>
            <w:pPr>
              <w:pStyle w:val="Compact"/>
            </w:pPr>
            <w:r>
              <w:t xml:space="preserve">Data Security</w:t>
            </w:r>
          </w:p>
        </w:tc>
        <w:tc>
          <w:tcPr/>
          <w:p>
            <w:pPr>
              <w:pStyle w:val="Compact"/>
            </w:pPr>
            <w:r>
              <w:t xml:space="preserve">8</w:t>
            </w:r>
          </w:p>
        </w:tc>
        <w:tc>
          <w:tcPr/>
          <w:p>
            <w:pPr>
              <w:pStyle w:val="Compact"/>
            </w:pPr>
            <w:r>
              <w:t xml:space="preserve">MEDIUM</w:t>
            </w:r>
          </w:p>
        </w:tc>
        <w:tc>
          <w:tcPr/>
          <w:p>
            <w:pPr>
              <w:pStyle w:val="Compact"/>
            </w:pPr>
            <w:r>
              <w:t xml:space="preserve">Unencrypted backup exposure</w:t>
            </w:r>
          </w:p>
        </w:tc>
      </w:tr>
      <w:tr>
        <w:tc>
          <w:tcPr/>
          <w:p>
            <w:pPr>
              <w:pStyle w:val="Compact"/>
            </w:pPr>
            <w:r>
              <w:t xml:space="preserve">19</w:t>
            </w:r>
          </w:p>
        </w:tc>
        <w:tc>
          <w:tcPr/>
          <w:p>
            <w:pPr>
              <w:pStyle w:val="Compact"/>
            </w:pPr>
            <w:r>
              <w:t xml:space="preserve">R-TC-001</w:t>
            </w:r>
          </w:p>
        </w:tc>
        <w:tc>
          <w:tcPr/>
          <w:p>
            <w:pPr>
              <w:pStyle w:val="Compact"/>
            </w:pPr>
            <w:r>
              <w:t xml:space="preserve">Technical</w:t>
            </w:r>
          </w:p>
        </w:tc>
        <w:tc>
          <w:tcPr/>
          <w:p>
            <w:pPr>
              <w:pStyle w:val="Compact"/>
            </w:pPr>
            <w:r>
              <w:t xml:space="preserve">8</w:t>
            </w:r>
          </w:p>
        </w:tc>
        <w:tc>
          <w:tcPr/>
          <w:p>
            <w:pPr>
              <w:pStyle w:val="Compact"/>
            </w:pPr>
            <w:r>
              <w:t xml:space="preserve">MEDIUM</w:t>
            </w:r>
          </w:p>
        </w:tc>
        <w:tc>
          <w:tcPr/>
          <w:p>
            <w:pPr>
              <w:pStyle w:val="Compact"/>
            </w:pPr>
            <w:r>
              <w:t xml:space="preserve">Offline sync data corruption</w:t>
            </w:r>
          </w:p>
        </w:tc>
      </w:tr>
      <w:tr>
        <w:tc>
          <w:tcPr/>
          <w:p>
            <w:pPr>
              <w:pStyle w:val="Compact"/>
            </w:pPr>
            <w:r>
              <w:t xml:space="preserve">20</w:t>
            </w:r>
          </w:p>
        </w:tc>
        <w:tc>
          <w:tcPr/>
          <w:p>
            <w:pPr>
              <w:pStyle w:val="Compact"/>
            </w:pPr>
            <w:r>
              <w:t xml:space="preserve">R-RG-002</w:t>
            </w:r>
          </w:p>
        </w:tc>
        <w:tc>
          <w:tcPr/>
          <w:p>
            <w:pPr>
              <w:pStyle w:val="Compact"/>
            </w:pPr>
            <w:r>
              <w:t xml:space="preserve">Regulatory</w:t>
            </w:r>
          </w:p>
        </w:tc>
        <w:tc>
          <w:tcPr/>
          <w:p>
            <w:pPr>
              <w:pStyle w:val="Compact"/>
            </w:pPr>
            <w:r>
              <w:t xml:space="preserve">8</w:t>
            </w:r>
          </w:p>
        </w:tc>
        <w:tc>
          <w:tcPr/>
          <w:p>
            <w:pPr>
              <w:pStyle w:val="Compact"/>
            </w:pPr>
            <w:r>
              <w:t xml:space="preserve">MEDIUM</w:t>
            </w:r>
          </w:p>
        </w:tc>
        <w:tc>
          <w:tcPr/>
          <w:p>
            <w:pPr>
              <w:pStyle w:val="Compact"/>
            </w:pPr>
            <w:r>
              <w:t xml:space="preserve">PDPA enforcement action</w:t>
            </w:r>
          </w:p>
        </w:tc>
      </w:tr>
      <w:tr>
        <w:tc>
          <w:tcPr/>
          <w:p>
            <w:pPr>
              <w:pStyle w:val="Compact"/>
            </w:pPr>
            <w:r>
              <w:t xml:space="preserve">21</w:t>
            </w:r>
          </w:p>
        </w:tc>
        <w:tc>
          <w:tcPr/>
          <w:p>
            <w:pPr>
              <w:pStyle w:val="Compact"/>
            </w:pPr>
            <w:r>
              <w:t xml:space="preserve">R-OP-001</w:t>
            </w:r>
          </w:p>
        </w:tc>
        <w:tc>
          <w:tcPr/>
          <w:p>
            <w:pPr>
              <w:pStyle w:val="Compact"/>
            </w:pPr>
            <w:r>
              <w:t xml:space="preserve">Operational</w:t>
            </w:r>
          </w:p>
        </w:tc>
        <w:tc>
          <w:tcPr/>
          <w:p>
            <w:pPr>
              <w:pStyle w:val="Compact"/>
            </w:pPr>
            <w:r>
              <w:t xml:space="preserve">8</w:t>
            </w:r>
          </w:p>
        </w:tc>
        <w:tc>
          <w:tcPr/>
          <w:p>
            <w:pPr>
              <w:pStyle w:val="Compact"/>
            </w:pPr>
            <w:r>
              <w:t xml:space="preserve">MEDIUM</w:t>
            </w:r>
          </w:p>
        </w:tc>
        <w:tc>
          <w:tcPr/>
          <w:p>
            <w:pPr>
              <w:pStyle w:val="Compact"/>
            </w:pPr>
            <w:r>
              <w:t xml:space="preserve">Extended power outage exceeds 72-hour queue</w:t>
            </w:r>
          </w:p>
        </w:tc>
      </w:tr>
      <w:tr>
        <w:tc>
          <w:tcPr/>
          <w:p>
            <w:pPr>
              <w:pStyle w:val="Compact"/>
            </w:pPr>
            <w:r>
              <w:t xml:space="preserve">22</w:t>
            </w:r>
          </w:p>
        </w:tc>
        <w:tc>
          <w:tcPr/>
          <w:p>
            <w:pPr>
              <w:pStyle w:val="Compact"/>
            </w:pPr>
            <w:r>
              <w:t xml:space="preserve">R-BS-002</w:t>
            </w:r>
          </w:p>
        </w:tc>
        <w:tc>
          <w:tcPr/>
          <w:p>
            <w:pPr>
              <w:pStyle w:val="Compact"/>
            </w:pPr>
            <w:r>
              <w:t xml:space="preserve">Business</w:t>
            </w:r>
          </w:p>
        </w:tc>
        <w:tc>
          <w:tcPr/>
          <w:p>
            <w:pPr>
              <w:pStyle w:val="Compact"/>
            </w:pPr>
            <w:r>
              <w:t xml:space="preserve">8</w:t>
            </w:r>
          </w:p>
        </w:tc>
        <w:tc>
          <w:tcPr/>
          <w:p>
            <w:pPr>
              <w:pStyle w:val="Compact"/>
            </w:pPr>
            <w:r>
              <w:t xml:space="preserve">MEDIUM</w:t>
            </w:r>
          </w:p>
        </w:tc>
        <w:tc>
          <w:tcPr/>
          <w:p>
            <w:pPr>
              <w:pStyle w:val="Compact"/>
            </w:pPr>
            <w:r>
              <w:t xml:space="preserve">ClinicMaster pivots to SaaS</w:t>
            </w:r>
          </w:p>
        </w:tc>
      </w:tr>
      <w:tr>
        <w:tc>
          <w:tcPr/>
          <w:p>
            <w:pPr>
              <w:pStyle w:val="Compact"/>
            </w:pPr>
            <w:r>
              <w:t xml:space="preserve">23</w:t>
            </w:r>
          </w:p>
        </w:tc>
        <w:tc>
          <w:tcPr/>
          <w:p>
            <w:pPr>
              <w:pStyle w:val="Compact"/>
            </w:pPr>
            <w:r>
              <w:t xml:space="preserve">R-TC-003</w:t>
            </w:r>
          </w:p>
        </w:tc>
        <w:tc>
          <w:tcPr/>
          <w:p>
            <w:pPr>
              <w:pStyle w:val="Compact"/>
            </w:pPr>
            <w:r>
              <w:t xml:space="preserve">Technical</w:t>
            </w:r>
          </w:p>
        </w:tc>
        <w:tc>
          <w:tcPr/>
          <w:p>
            <w:pPr>
              <w:pStyle w:val="Compact"/>
            </w:pPr>
            <w:r>
              <w:t xml:space="preserve">6</w:t>
            </w:r>
          </w:p>
        </w:tc>
        <w:tc>
          <w:tcPr/>
          <w:p>
            <w:pPr>
              <w:pStyle w:val="Compact"/>
            </w:pPr>
            <w:r>
              <w:t xml:space="preserve">MEDIUM</w:t>
            </w:r>
          </w:p>
        </w:tc>
        <w:tc>
          <w:tcPr/>
          <w:p>
            <w:pPr>
              <w:pStyle w:val="Compact"/>
            </w:pPr>
            <w:r>
              <w:t xml:space="preserve">FHIR R4 conformance failure</w:t>
            </w:r>
          </w:p>
        </w:tc>
      </w:tr>
      <w:tr>
        <w:tc>
          <w:tcPr/>
          <w:p>
            <w:pPr>
              <w:pStyle w:val="Compact"/>
            </w:pPr>
            <w:r>
              <w:t xml:space="preserve">24</w:t>
            </w:r>
          </w:p>
        </w:tc>
        <w:tc>
          <w:tcPr/>
          <w:p>
            <w:pPr>
              <w:pStyle w:val="Compact"/>
            </w:pPr>
            <w:r>
              <w:t xml:space="preserve">R-BS-004</w:t>
            </w:r>
          </w:p>
        </w:tc>
        <w:tc>
          <w:tcPr/>
          <w:p>
            <w:pPr>
              <w:pStyle w:val="Compact"/>
            </w:pPr>
            <w:r>
              <w:t xml:space="preserve">Business</w:t>
            </w:r>
          </w:p>
        </w:tc>
        <w:tc>
          <w:tcPr/>
          <w:p>
            <w:pPr>
              <w:pStyle w:val="Compact"/>
            </w:pPr>
            <w:r>
              <w:t xml:space="preserve">6</w:t>
            </w:r>
          </w:p>
        </w:tc>
        <w:tc>
          <w:tcPr/>
          <w:p>
            <w:pPr>
              <w:pStyle w:val="Compact"/>
            </w:pPr>
            <w:r>
              <w:t xml:space="preserve">MEDIUM</w:t>
            </w:r>
          </w:p>
        </w:tc>
        <w:tc>
          <w:tcPr/>
          <w:p>
            <w:pPr>
              <w:pStyle w:val="Compact"/>
            </w:pPr>
            <w:r>
              <w:t xml:space="preserve">Mobile money API pricing changes</w:t>
            </w:r>
          </w:p>
        </w:tc>
      </w:tr>
      <w:tr>
        <w:tc>
          <w:tcPr/>
          <w:p>
            <w:pPr>
              <w:pStyle w:val="Compact"/>
            </w:pPr>
            <w:r>
              <w:t xml:space="preserve">25</w:t>
            </w:r>
          </w:p>
        </w:tc>
        <w:tc>
          <w:tcPr/>
          <w:p>
            <w:pPr>
              <w:pStyle w:val="Compact"/>
            </w:pPr>
            <w:r>
              <w:t xml:space="preserve">R-OP-003</w:t>
            </w:r>
          </w:p>
        </w:tc>
        <w:tc>
          <w:tcPr/>
          <w:p>
            <w:pPr>
              <w:pStyle w:val="Compact"/>
            </w:pPr>
            <w:r>
              <w:t xml:space="preserve">Operational</w:t>
            </w:r>
          </w:p>
        </w:tc>
        <w:tc>
          <w:tcPr/>
          <w:p>
            <w:pPr>
              <w:pStyle w:val="Compact"/>
            </w:pPr>
            <w:r>
              <w:t xml:space="preserve">6</w:t>
            </w:r>
          </w:p>
        </w:tc>
        <w:tc>
          <w:tcPr/>
          <w:p>
            <w:pPr>
              <w:pStyle w:val="Compact"/>
            </w:pPr>
            <w:r>
              <w:t xml:space="preserve">MEDIUM</w:t>
            </w:r>
          </w:p>
        </w:tc>
        <w:tc>
          <w:tcPr/>
          <w:p>
            <w:pPr>
              <w:pStyle w:val="Compact"/>
            </w:pPr>
            <w:r>
              <w:t xml:space="preserve">SMS gateway failure</w:t>
            </w:r>
          </w:p>
        </w:tc>
      </w:tr>
      <w:tr>
        <w:tc>
          <w:tcPr/>
          <w:p>
            <w:pPr>
              <w:pStyle w:val="Compact"/>
            </w:pPr>
            <w:r>
              <w:t xml:space="preserve">26</w:t>
            </w:r>
          </w:p>
        </w:tc>
        <w:tc>
          <w:tcPr/>
          <w:p>
            <w:pPr>
              <w:pStyle w:val="Compact"/>
            </w:pPr>
            <w:r>
              <w:t xml:space="preserve">R-DS-002</w:t>
            </w:r>
          </w:p>
        </w:tc>
        <w:tc>
          <w:tcPr/>
          <w:p>
            <w:pPr>
              <w:pStyle w:val="Compact"/>
            </w:pPr>
            <w:r>
              <w:t xml:space="preserve">Data Security</w:t>
            </w:r>
          </w:p>
        </w:tc>
        <w:tc>
          <w:tcPr/>
          <w:p>
            <w:pPr>
              <w:pStyle w:val="Compact"/>
            </w:pPr>
            <w:r>
              <w:t xml:space="preserve">5</w:t>
            </w:r>
          </w:p>
        </w:tc>
        <w:tc>
          <w:tcPr/>
          <w:p>
            <w:pPr>
              <w:pStyle w:val="Compact"/>
            </w:pPr>
            <w:r>
              <w:t xml:space="preserve">MEDIUM</w:t>
            </w:r>
          </w:p>
        </w:tc>
        <w:tc>
          <w:tcPr/>
          <w:p>
            <w:pPr>
              <w:pStyle w:val="Compact"/>
            </w:pPr>
            <w:r>
              <w:t xml:space="preserve">Cross-tenant data leakage</w:t>
            </w:r>
          </w:p>
        </w:tc>
      </w:tr>
    </w:tbl>
    <w:p>
      <w:r>
        <w:pict>
          <v:rect style="width:0;height:1.5pt" o:hralign="center" o:hrstd="t" o:hr="t"/>
        </w:pict>
      </w:r>
    </w:p>
    <w:bookmarkEnd w:id="38"/>
    <w:bookmarkStart w:id="39" w:name="appendix-b-gap-analysis-cross-reference"/>
    <w:p>
      <w:pPr>
        <w:pStyle w:val="Heading2"/>
      </w:pPr>
      <w:r>
        <w:t xml:space="preserve">Appendix B: Gap Analysis Cross-Reference</w:t>
      </w:r>
    </w:p>
    <w:p>
      <w:pPr>
        <w:pStyle w:val="FirstParagraph"/>
      </w:pPr>
      <w:r>
        <w:t xml:space="preserve">The following unresolved gaps from</w:t>
      </w:r>
      <w:r>
        <w:t xml:space="preserve"> </w:t>
      </w:r>
      <w:r>
        <w:rPr>
          <w:rStyle w:val="VerbatimChar"/>
        </w:rPr>
        <w:t xml:space="preserve">_context/gap-analysis.md</w:t>
      </w:r>
      <w:r>
        <w:t xml:space="preserve"> </w:t>
      </w:r>
      <w:r>
        <w:t xml:space="preserve">are directly linked to risk register entries: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Gap ID</w:t>
            </w:r>
          </w:p>
        </w:tc>
        <w:tc>
          <w:tcPr/>
          <w:p>
            <w:pPr>
              <w:pStyle w:val="Compact"/>
            </w:pPr>
            <w:r>
              <w:t xml:space="preserve">Gap Description</w:t>
            </w:r>
          </w:p>
        </w:tc>
        <w:tc>
          <w:tcPr/>
          <w:p>
            <w:pPr>
              <w:pStyle w:val="Compact"/>
            </w:pPr>
            <w:r>
              <w:t xml:space="preserve">Risk ID(s)</w:t>
            </w:r>
          </w:p>
        </w:tc>
        <w:tc>
          <w:tcPr/>
          <w:p>
            <w:pPr>
              <w:pStyle w:val="Compact"/>
            </w:pPr>
            <w:r>
              <w:t xml:space="preserve">Priority</w:t>
            </w:r>
          </w:p>
        </w:tc>
      </w:tr>
      <w:tr>
        <w:tc>
          <w:tcPr/>
          <w:p>
            <w:pPr>
              <w:pStyle w:val="Compact"/>
            </w:pPr>
            <w:r>
              <w:t xml:space="preserve">HIGH-001</w:t>
            </w:r>
          </w:p>
        </w:tc>
        <w:tc>
          <w:tcPr/>
          <w:p>
            <w:pPr>
              <w:pStyle w:val="Compact"/>
            </w:pPr>
            <w:r>
              <w:t xml:space="preserve">Drug interaction database source not specified</w:t>
            </w:r>
          </w:p>
        </w:tc>
        <w:tc>
          <w:tcPr/>
          <w:p>
            <w:pPr>
              <w:pStyle w:val="Compact"/>
            </w:pPr>
            <w:r>
              <w:t xml:space="preserve">R-CS-001, R-BS-005</w:t>
            </w:r>
          </w:p>
        </w:tc>
        <w:tc>
          <w:tcPr/>
          <w:p>
            <w:pPr>
              <w:pStyle w:val="Compact"/>
            </w:pPr>
            <w:r>
              <w:t xml:space="preserve">CRITICAL</w:t>
            </w:r>
          </w:p>
        </w:tc>
      </w:tr>
      <w:tr>
        <w:tc>
          <w:tcPr/>
          <w:p>
            <w:pPr>
              <w:pStyle w:val="Compact"/>
            </w:pPr>
            <w:r>
              <w:t xml:space="preserve">HIGH-002</w:t>
            </w:r>
          </w:p>
        </w:tc>
        <w:tc>
          <w:tcPr/>
          <w:p>
            <w:pPr>
              <w:pStyle w:val="Compact"/>
            </w:pPr>
            <w:r>
              <w:t xml:space="preserve">PDPA healthcare data compliance not documented</w:t>
            </w:r>
          </w:p>
        </w:tc>
        <w:tc>
          <w:tcPr/>
          <w:p>
            <w:pPr>
              <w:pStyle w:val="Compact"/>
            </w:pPr>
            <w:r>
              <w:t xml:space="preserve">R-RG-002</w:t>
            </w:r>
          </w:p>
        </w:tc>
        <w:tc>
          <w:tcPr/>
          <w:p>
            <w:pPr>
              <w:pStyle w:val="Compact"/>
            </w:pPr>
            <w:r>
              <w:t xml:space="preserve">HIGH</w:t>
            </w:r>
          </w:p>
        </w:tc>
      </w:tr>
      <w:tr>
        <w:tc>
          <w:tcPr/>
          <w:p>
            <w:pPr>
              <w:pStyle w:val="Compact"/>
            </w:pPr>
            <w:r>
              <w:t xml:space="preserve">HIGH-003</w:t>
            </w:r>
          </w:p>
        </w:tc>
        <w:tc>
          <w:tcPr/>
          <w:p>
            <w:pPr>
              <w:pStyle w:val="Compact"/>
            </w:pPr>
            <w:r>
              <w:t xml:space="preserve">UMDPC software registration unknown</w:t>
            </w:r>
          </w:p>
        </w:tc>
        <w:tc>
          <w:tcPr/>
          <w:p>
            <w:pPr>
              <w:pStyle w:val="Compact"/>
            </w:pPr>
            <w:r>
              <w:t xml:space="preserve">R-RG-001</w:t>
            </w:r>
          </w:p>
        </w:tc>
        <w:tc>
          <w:tcPr/>
          <w:p>
            <w:pPr>
              <w:pStyle w:val="Compact"/>
            </w:pPr>
            <w:r>
              <w:t xml:space="preserve">HIGH</w:t>
            </w:r>
          </w:p>
        </w:tc>
      </w:tr>
      <w:tr>
        <w:tc>
          <w:tcPr/>
          <w:p>
            <w:pPr>
              <w:pStyle w:val="Compact"/>
            </w:pPr>
            <w:r>
              <w:t xml:space="preserve">HIGH-004</w:t>
            </w:r>
          </w:p>
        </w:tc>
        <w:tc>
          <w:tcPr/>
          <w:p>
            <w:pPr>
              <w:pStyle w:val="Compact"/>
            </w:pPr>
            <w:r>
              <w:t xml:space="preserve">CDS specificity not defined</w:t>
            </w:r>
          </w:p>
        </w:tc>
        <w:tc>
          <w:tcPr/>
          <w:p>
            <w:pPr>
              <w:pStyle w:val="Compact"/>
            </w:pPr>
            <w:r>
              <w:t xml:space="preserve">R-CS-005, R-CS-001</w:t>
            </w:r>
          </w:p>
        </w:tc>
        <w:tc>
          <w:tcPr/>
          <w:p>
            <w:pPr>
              <w:pStyle w:val="Compact"/>
            </w:pPr>
            <w:r>
              <w:t xml:space="preserve">CRITICAL</w:t>
            </w:r>
          </w:p>
        </w:tc>
      </w:tr>
      <w:tr>
        <w:tc>
          <w:tcPr/>
          <w:p>
            <w:pPr>
              <w:pStyle w:val="Compact"/>
            </w:pPr>
            <w:r>
              <w:t xml:space="preserve">HIGH-005</w:t>
            </w:r>
          </w:p>
        </w:tc>
        <w:tc>
          <w:tcPr/>
          <w:p>
            <w:pPr>
              <w:pStyle w:val="Compact"/>
            </w:pPr>
            <w:r>
              <w:t xml:space="preserve">HIV confidential record access not specified</w:t>
            </w:r>
          </w:p>
        </w:tc>
        <w:tc>
          <w:tcPr/>
          <w:p>
            <w:pPr>
              <w:pStyle w:val="Compact"/>
            </w:pPr>
            <w:r>
              <w:t xml:space="preserve">R-RG-004</w:t>
            </w:r>
          </w:p>
        </w:tc>
        <w:tc>
          <w:tcPr/>
          <w:p>
            <w:pPr>
              <w:pStyle w:val="Compact"/>
            </w:pPr>
            <w:r>
              <w:t xml:space="preserve">HIGH</w:t>
            </w:r>
          </w:p>
        </w:tc>
      </w:tr>
      <w:tr>
        <w:tc>
          <w:tcPr/>
          <w:p>
            <w:pPr>
              <w:pStyle w:val="Compact"/>
            </w:pPr>
            <w:r>
              <w:t xml:space="preserve">HIGH-006</w:t>
            </w:r>
          </w:p>
        </w:tc>
        <w:tc>
          <w:tcPr/>
          <w:p>
            <w:pPr>
              <w:pStyle w:val="Compact"/>
            </w:pPr>
            <w:r>
              <w:t xml:space="preserve">Emergency cross-facility access not specified</w:t>
            </w:r>
          </w:p>
        </w:tc>
        <w:tc>
          <w:tcPr/>
          <w:p>
            <w:pPr>
              <w:pStyle w:val="Compact"/>
            </w:pPr>
            <w:r>
              <w:t xml:space="preserve">R-CS-004</w:t>
            </w:r>
          </w:p>
        </w:tc>
        <w:tc>
          <w:tcPr/>
          <w:p>
            <w:pPr>
              <w:pStyle w:val="Compact"/>
            </w:pPr>
            <w:r>
              <w:t xml:space="preserve">HIGH</w:t>
            </w:r>
          </w:p>
        </w:tc>
      </w:tr>
      <w:tr>
        <w:tc>
          <w:tcPr/>
          <w:p>
            <w:pPr>
              <w:pStyle w:val="Compact"/>
            </w:pPr>
            <w:r>
              <w:t xml:space="preserve">HIGH-007</w:t>
            </w:r>
          </w:p>
        </w:tc>
        <w:tc>
          <w:tcPr/>
          <w:p>
            <w:pPr>
              <w:pStyle w:val="Compact"/>
            </w:pPr>
            <w:r>
              <w:t xml:space="preserve">HMIS form version management not specified</w:t>
            </w:r>
          </w:p>
        </w:tc>
        <w:tc>
          <w:tcPr/>
          <w:p>
            <w:pPr>
              <w:pStyle w:val="Compact"/>
            </w:pPr>
            <w:r>
              <w:t xml:space="preserve">R-OP-002</w:t>
            </w:r>
          </w:p>
        </w:tc>
        <w:tc>
          <w:tcPr/>
          <w:p>
            <w:pPr>
              <w:pStyle w:val="Compact"/>
            </w:pPr>
            <w:r>
              <w:t xml:space="preserve">MEDIUM</w:t>
            </w:r>
          </w:p>
        </w:tc>
      </w:tr>
    </w:tbl>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2026-04-03T15:11:35Z</dcterms:created>
  <dcterms:modified xsi:type="dcterms:W3CDTF">2026-04-03T15:11:35Z</dcterms:modified>
</cp:coreProperties>
</file>

<file path=docProps/custom.xml><?xml version="1.0" encoding="utf-8"?>
<Properties xmlns="http://schemas.openxmlformats.org/officeDocument/2006/custom-properties" xmlns:vt="http://schemas.openxmlformats.org/officeDocument/2006/docPropsVTypes"/>
</file>