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8029010beef1b7779728020908928fb221c8be5"/>
    <w:p>
      <w:pPr>
        <w:pStyle w:val="Heading1"/>
      </w:pPr>
      <w:r>
        <w:t xml:space="preserve">Test Strategy for Medic8 Healthcare Management System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Medic8 Multi-Tenant SaaS Healthcare Management System</w:t>
      </w:r>
      <w:r>
        <w:t xml:space="preserve"> </w:t>
      </w:r>
      <w:r>
        <w:rPr>
          <w:b/>
          <w:bCs/>
        </w:rPr>
        <w:t xml:space="preserve">Document standard:</w:t>
      </w:r>
      <w:r>
        <w:t xml:space="preserve"> </w:t>
      </w:r>
      <w:r>
        <w:t xml:space="preserve">IEEE 829-2008, IEEE 29119-1:2013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Phase coverage:</w:t>
      </w:r>
      <w:r>
        <w:t xml:space="preserve"> </w:t>
      </w:r>
      <w:r>
        <w:t xml:space="preserve">Phase 1 (Foundation), with framework applicable to Phases 2-4</w:t>
      </w:r>
    </w:p>
    <w:p>
      <w:r>
        <w:pict>
          <v:rect style="width:0;height:1.5pt" o:hralign="center" o:hrstd="t" o:hr="t"/>
        </w:pict>
      </w:r>
    </w:p>
    <w:bookmarkStart w:id="22" w:name="Xe0b4ffd0aec184f09066ffd86d38fdeed8bc01d"/>
    <w:p>
      <w:pPr>
        <w:pStyle w:val="Heading2"/>
      </w:pPr>
      <w:r>
        <w:t xml:space="preserve">1 Test Strategy Overview</w:t>
      </w:r>
    </w:p>
    <w:bookmarkStart w:id="19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strategy defines the testing approach, levels, types, and infrastructure required to verify that the Medic8 system meets all 83 functional requirements (FR-AUTH through FR-RBAC), 24 non-functional requirements (NFR-HC-001 through NFR-HC-024), and 67 business rules (BR-CLIN through BR-RX) documented in the Software Requirements Specification. The strategy prioritises clinical safety, patient data integrity, and Uganda regulatory compliance, in that order.</w:t>
      </w:r>
    </w:p>
    <w:p>
      <w:pPr>
        <w:pStyle w:val="BodyText"/>
      </w:pPr>
      <w:r>
        <w:t xml:space="preserve">Healthcare software testing is life-critical. A defect in drug interaction checking, paediatric dosing calculation, or critical value escalation can cause patient harm. This strategy treats clinical safety tests as the highest-priority test category, with zero tolerance for undetected failures.</w:t>
      </w:r>
    </w:p>
    <w:bookmarkEnd w:id="19"/>
    <w:bookmarkStart w:id="20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for this document:</w:t>
      </w:r>
    </w:p>
    <w:p>
      <w:pPr>
        <w:pStyle w:val="Compact"/>
        <w:numPr>
          <w:ilvl w:val="0"/>
          <w:numId w:val="1001"/>
        </w:numPr>
      </w:pPr>
      <w:r>
        <w:t xml:space="preserve">All Phase 1 modules: Authentication, Tenant Management, Patient Registration, OPD, Laboratory, Pharmacy, Billing, Appointments, RBAC</w:t>
      </w:r>
    </w:p>
    <w:p>
      <w:pPr>
        <w:pStyle w:val="Compact"/>
        <w:numPr>
          <w:ilvl w:val="0"/>
          <w:numId w:val="1001"/>
        </w:numPr>
      </w:pPr>
      <w:r>
        <w:t xml:space="preserve">Clinical Decision Support (CDS) engine: drug interactions, paediatric dosing, NEWS2, Five Rights CPOE, critical value escalation</w:t>
      </w:r>
    </w:p>
    <w:p>
      <w:pPr>
        <w:pStyle w:val="Compact"/>
        <w:numPr>
          <w:ilvl w:val="0"/>
          <w:numId w:val="1001"/>
        </w:numPr>
      </w:pPr>
      <w:r>
        <w:t xml:space="preserve">Offline clinical resilience and sync</w:t>
      </w:r>
    </w:p>
    <w:p>
      <w:pPr>
        <w:pStyle w:val="Compact"/>
        <w:numPr>
          <w:ilvl w:val="0"/>
          <w:numId w:val="1001"/>
        </w:numPr>
      </w:pPr>
      <w:r>
        <w:t xml:space="preserve">Multi-tenant data isolation</w:t>
      </w:r>
    </w:p>
    <w:p>
      <w:pPr>
        <w:pStyle w:val="Compact"/>
        <w:numPr>
          <w:ilvl w:val="0"/>
          <w:numId w:val="1001"/>
        </w:numPr>
      </w:pPr>
      <w:r>
        <w:t xml:space="preserve">Uganda PDPA 2019 compliance</w:t>
      </w:r>
    </w:p>
    <w:p>
      <w:pPr>
        <w:pStyle w:val="Compact"/>
        <w:numPr>
          <w:ilvl w:val="0"/>
          <w:numId w:val="1001"/>
        </w:numPr>
      </w:pPr>
      <w:r>
        <w:t xml:space="preserve">Mobile app (Android 7.0+, iOS 15.0+) performance and offline capability</w:t>
      </w:r>
    </w:p>
    <w:p>
      <w:pPr>
        <w:pStyle w:val="Compact"/>
        <w:numPr>
          <w:ilvl w:val="0"/>
          <w:numId w:val="1001"/>
        </w:numPr>
      </w:pPr>
      <w:r>
        <w:t xml:space="preserve">FHIR R4 API compliance</w:t>
      </w:r>
    </w:p>
    <w:p>
      <w:pPr>
        <w:pStyle w:val="FirstParagraph"/>
      </w:pPr>
      <w:r>
        <w:rPr>
          <w:b/>
          <w:bCs/>
        </w:rPr>
        <w:t xml:space="preserve">Out of scope for this document (covered in Phase 2-4 test strategies):</w:t>
      </w:r>
    </w:p>
    <w:p>
      <w:pPr>
        <w:pStyle w:val="Compact"/>
        <w:numPr>
          <w:ilvl w:val="0"/>
          <w:numId w:val="1002"/>
        </w:numPr>
      </w:pPr>
      <w:r>
        <w:t xml:space="preserve">IPD, Maternity, Emergency, Immunisation, Insurance, HR, HMIS reporting modules</w:t>
      </w:r>
    </w:p>
    <w:p>
      <w:pPr>
        <w:pStyle w:val="Compact"/>
        <w:numPr>
          <w:ilvl w:val="0"/>
          <w:numId w:val="1002"/>
        </w:numPr>
      </w:pPr>
      <w:r>
        <w:t xml:space="preserve">HIV/AIDS and TB programme modules</w:t>
      </w:r>
    </w:p>
    <w:p>
      <w:pPr>
        <w:pStyle w:val="Compact"/>
        <w:numPr>
          <w:ilvl w:val="0"/>
          <w:numId w:val="1002"/>
        </w:numPr>
      </w:pPr>
      <w:r>
        <w:t xml:space="preserve">Patient portal</w:t>
      </w:r>
    </w:p>
    <w:p>
      <w:pPr>
        <w:pStyle w:val="Compact"/>
        <w:numPr>
          <w:ilvl w:val="0"/>
          <w:numId w:val="1002"/>
        </w:numPr>
      </w:pPr>
      <w:r>
        <w:t xml:space="preserve">Theatre, Blood Bank, Physiotherapy, and other Phase 4 specialty modules</w:t>
      </w:r>
    </w:p>
    <w:bookmarkEnd w:id="20"/>
    <w:bookmarkStart w:id="21" w:name="X834c031006e28a146c78aabfa8d2e0ea49eb875"/>
    <w:p>
      <w:pPr>
        <w:pStyle w:val="Heading3"/>
      </w:pPr>
      <w:r>
        <w:t xml:space="preserve">1.3 Risk-Based Testing Approach</w:t>
      </w:r>
    </w:p>
    <w:p>
      <w:pPr>
        <w:pStyle w:val="FirstParagraph"/>
      </w:pPr>
      <w:r>
        <w:t xml:space="preserve">Test effort allocation follows a risk-based model per ISO 14971 (medical device risk management, applied by analogy). Risk is calculated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s</m:t>
          </m:r>
          <m:r>
            <m:t>k</m:t>
          </m:r>
          <m:r>
            <m:rPr>
              <m:sty m:val="p"/>
            </m:rPr>
            <m:t>=</m:t>
          </m:r>
          <m:r>
            <m:t>S</m:t>
          </m:r>
          <m:r>
            <m:t>e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×</m:t>
          </m:r>
          <m:r>
            <m:t>P</m:t>
          </m:r>
          <m:r>
            <m:t>r</m:t>
          </m:r>
          <m:r>
            <m:t>o</m:t>
          </m:r>
          <m:r>
            <m:t>b</m:t>
          </m:r>
          <m:r>
            <m:t>a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×</m:t>
          </m:r>
          <m:r>
            <m:t>D</m:t>
          </m:r>
          <m:r>
            <m:t>e</m:t>
          </m:r>
          <m:r>
            <m:t>t</m:t>
          </m:r>
          <m:r>
            <m:t>e</m:t>
          </m:r>
          <m:r>
            <m:t>c</m:t>
          </m:r>
          <m:r>
            <m:t>t</m:t>
          </m:r>
          <m:r>
            <m:t>a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tier</w:t>
            </w:r>
          </w:p>
        </w:tc>
        <w:tc>
          <w:tcPr/>
          <w:p>
            <w:pPr>
              <w:pStyle w:val="Compact"/>
            </w:pPr>
            <w:r>
              <w:t xml:space="preserve">Modules and features</w:t>
            </w:r>
          </w:p>
        </w:tc>
        <w:tc>
          <w:tcPr/>
          <w:p>
            <w:pPr>
              <w:pStyle w:val="Compact"/>
            </w:pPr>
            <w:r>
              <w:t xml:space="preserve">Test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(patient safety)</w:t>
            </w:r>
          </w:p>
        </w:tc>
        <w:tc>
          <w:tcPr/>
          <w:p>
            <w:pPr>
              <w:pStyle w:val="Compact"/>
            </w:pPr>
            <w:r>
              <w:t xml:space="preserve">CDS alerts, paediatric dosing, Five Rights, critical value escalation, NEWS2, medication reconciliation</w:t>
            </w:r>
          </w:p>
        </w:tc>
        <w:tc>
          <w:tcPr/>
          <w:p>
            <w:pPr>
              <w:pStyle w:val="Compact"/>
            </w:pPr>
            <w:r>
              <w:t xml:space="preserve">100% path coverage, boundary value analysis, equivalence partitioning, mutation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(data integrity)</w:t>
            </w:r>
          </w:p>
        </w:tc>
        <w:tc>
          <w:tcPr/>
          <w:p>
            <w:pPr>
              <w:pStyle w:val="Compact"/>
            </w:pPr>
            <w:r>
              <w:t xml:space="preserve">Tenant isolation, EMPI duplicate detection, patient merge, audit trail, offline sync, auto-save</w:t>
            </w:r>
          </w:p>
        </w:tc>
        <w:tc>
          <w:tcPr/>
          <w:p>
            <w:pPr>
              <w:pStyle w:val="Compact"/>
            </w:pPr>
            <w:r>
              <w:t xml:space="preserve">100% requirement coverage, negative testing, concurrency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(financial)</w:t>
            </w:r>
          </w:p>
        </w:tc>
        <w:tc>
          <w:tcPr/>
          <w:p>
            <w:pPr>
              <w:pStyle w:val="Compact"/>
            </w:pPr>
            <w:r>
              <w:t xml:space="preserve">Auto-billing, MoMo/Airtel reconciliation, cashier reconciliation, insurance co-pay, missing charge detection</w:t>
            </w:r>
          </w:p>
        </w:tc>
        <w:tc>
          <w:tcPr/>
          <w:p>
            <w:pPr>
              <w:pStyle w:val="Compact"/>
            </w:pPr>
            <w:r>
              <w:t xml:space="preserve">100% requirement coverage, calculation verification, boundary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(regulatory)</w:t>
            </w:r>
          </w:p>
        </w:tc>
        <w:tc>
          <w:tcPr/>
          <w:p>
            <w:pPr>
              <w:pStyle w:val="Compact"/>
            </w:pPr>
            <w:r>
              <w:t xml:space="preserve">HMIS 105/108 accuracy, DHIS2 export, PDPA consent, HIV record access control</w:t>
            </w:r>
          </w:p>
        </w:tc>
        <w:tc>
          <w:tcPr/>
          <w:p>
            <w:pPr>
              <w:pStyle w:val="Compact"/>
            </w:pPr>
            <w:r>
              <w:t xml:space="preserve">100% requirement coverage, cross-validation against manual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(functional)</w:t>
            </w:r>
          </w:p>
        </w:tc>
        <w:tc>
          <w:tcPr/>
          <w:p>
            <w:pPr>
              <w:pStyle w:val="Compact"/>
            </w:pPr>
            <w:r>
              <w:t xml:space="preserve">OPD workflow, lab workflow, pharmacy workflow, appointment scheduling</w:t>
            </w:r>
          </w:p>
        </w:tc>
        <w:tc>
          <w:tcPr/>
          <w:p>
            <w:pPr>
              <w:pStyle w:val="Compact"/>
            </w:pPr>
            <w:r>
              <w:t xml:space="preserve">Requirement-based testing, happy path plus key error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(cosmetic)</w:t>
            </w:r>
          </w:p>
        </w:tc>
        <w:tc>
          <w:tcPr/>
          <w:p>
            <w:pPr>
              <w:pStyle w:val="Compact"/>
            </w:pPr>
            <w:r>
              <w:t xml:space="preserve">UI layout, label text, icon consistency</w:t>
            </w:r>
          </w:p>
        </w:tc>
        <w:tc>
          <w:tcPr/>
          <w:p>
            <w:pPr>
              <w:pStyle w:val="Compact"/>
            </w:pPr>
            <w:r>
              <w:t xml:space="preserve">Visual inspection, responsive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X730344588e17e1872d8eb575b80c011a8257465"/>
    <w:p>
      <w:pPr>
        <w:pStyle w:val="Heading2"/>
      </w:pPr>
      <w:r>
        <w:t xml:space="preserve">2 Test Pyramid</w:t>
      </w:r>
    </w:p>
    <w:p>
      <w:pPr>
        <w:pStyle w:val="FirstParagraph"/>
      </w:pPr>
      <w:r>
        <w:t xml:space="preserve">The Medic8 test suite follows a layered test pyramid to maximise defect detection speed while minimising execution time and maintenance cost.</w:t>
      </w:r>
    </w:p>
    <w:bookmarkStart w:id="23" w:name="Xf436671178266de73178d4c29963a65c3c0234e"/>
    <w:p>
      <w:pPr>
        <w:pStyle w:val="Heading3"/>
      </w:pPr>
      <w:r>
        <w:t xml:space="preserve">2.1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70% of total test cases</w:t>
            </w:r>
          </w:p>
        </w:tc>
        <w:tc>
          <w:tcPr/>
          <w:p>
            <w:pPr>
              <w:pStyle w:val="Compact"/>
            </w:pPr>
            <w:r>
              <w:t xml:space="preserve">Milliseconds per test</w:t>
            </w:r>
          </w:p>
        </w:tc>
        <w:tc>
          <w:tcPr/>
          <w:p>
            <w:pPr>
              <w:pStyle w:val="Compact"/>
            </w:pPr>
            <w:r>
              <w:t xml:space="preserve">Services, repositories, CDS rule engines, dosing calculators, NEWS2 scorer, billing calculators, EMPI matching algorithms, validation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20% of total test cases</w:t>
            </w:r>
          </w:p>
        </w:tc>
        <w:tc>
          <w:tcPr/>
          <w:p>
            <w:pPr>
              <w:pStyle w:val="Compact"/>
            </w:pPr>
            <w:r>
              <w:t xml:space="preserve">Seconds per test</w:t>
            </w:r>
          </w:p>
        </w:tc>
        <w:tc>
          <w:tcPr/>
          <w:p>
            <w:pPr>
              <w:pStyle w:val="Compact"/>
            </w:pPr>
            <w:r>
              <w:t xml:space="preserve">API endpoints, database operations (tenant-scoped queries), event-driven flows (critical value escalation), offline queue sync, FHIR resource serialisation, HL7 message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10% of total test cases</w:t>
            </w:r>
          </w:p>
        </w:tc>
        <w:tc>
          <w:tcPr/>
          <w:p>
            <w:pPr>
              <w:pStyle w:val="Compact"/>
            </w:pPr>
            <w:r>
              <w:t xml:space="preserve">Minutes per test</w:t>
            </w:r>
          </w:p>
        </w:tc>
        <w:tc>
          <w:tcPr/>
          <w:p>
            <w:pPr>
              <w:pStyle w:val="Compact"/>
            </w:pPr>
            <w:r>
              <w:t xml:space="preserve">Critical clinical workflows (register-consult-prescribe-dispense-result), billing flows (charge-pay-receipt-reconcile), offline full-cycle, cross-facility patient lookup</w:t>
            </w:r>
          </w:p>
        </w:tc>
      </w:tr>
    </w:tbl>
    <w:bookmarkEnd w:id="23"/>
    <w:bookmarkStart w:id="24" w:name="X7ad30f434f31bd78fefe2a56f6c702233241ca2"/>
    <w:p>
      <w:pPr>
        <w:pStyle w:val="Heading3"/>
      </w:pPr>
      <w:r>
        <w:t xml:space="preserve">2.2 Unit Test Standards</w:t>
      </w:r>
    </w:p>
    <w:p>
      <w:pPr>
        <w:pStyle w:val="Compact"/>
        <w:numPr>
          <w:ilvl w:val="0"/>
          <w:numId w:val="1003"/>
        </w:numPr>
      </w:pPr>
      <w:r>
        <w:t xml:space="preserve">Framework: PHPUnit 11.x (backend), Jest (frontend), JUnit 5 + Kotest (Android KMP), XCTest + Swift Testing (iOS)</w:t>
      </w:r>
    </w:p>
    <w:p>
      <w:pPr>
        <w:pStyle w:val="Compact"/>
        <w:numPr>
          <w:ilvl w:val="0"/>
          <w:numId w:val="1003"/>
        </w:numPr>
      </w:pPr>
      <w:r>
        <w:t xml:space="preserve">Every CDS rule shall have a dedicated test class with minimum 10 test cases covering: normal values, boundary values, edge cases, and invalid inputs</w:t>
      </w:r>
    </w:p>
    <w:p>
      <w:pPr>
        <w:pStyle w:val="Compact"/>
        <w:numPr>
          <w:ilvl w:val="0"/>
          <w:numId w:val="1003"/>
        </w:numPr>
      </w:pPr>
      <w:r>
        <w:t xml:space="preserve">Every financial calculation shall verify precision to 2 decimal places using integer arithmetic (UGX has no subunits, but insurance co-pay splits require decimal precision)</w:t>
      </w:r>
    </w:p>
    <w:p>
      <w:pPr>
        <w:pStyle w:val="Compact"/>
        <w:numPr>
          <w:ilvl w:val="0"/>
          <w:numId w:val="1003"/>
        </w:numPr>
      </w:pPr>
      <w:r>
        <w:t xml:space="preserve">Test isolation: no database, no filesystem, no network; all dependencies mocked or stubbed</w:t>
      </w:r>
    </w:p>
    <w:p>
      <w:pPr>
        <w:pStyle w:val="Compact"/>
        <w:numPr>
          <w:ilvl w:val="0"/>
          <w:numId w:val="1003"/>
        </w:numPr>
      </w:pPr>
      <w:r>
        <w:t xml:space="preserve">Naming convention:</w:t>
      </w:r>
      <w:r>
        <w:t xml:space="preserve"> </w:t>
      </w:r>
      <w:r>
        <w:rPr>
          <w:rStyle w:val="VerbatimChar"/>
        </w:rPr>
        <w:t xml:space="preserve">test_[method]_[scenario]_[expectedResult]</w:t>
      </w:r>
    </w:p>
    <w:bookmarkEnd w:id="24"/>
    <w:bookmarkStart w:id="25" w:name="X568479dec39630f36a70e5e8b09fd961f3e2565"/>
    <w:p>
      <w:pPr>
        <w:pStyle w:val="Heading3"/>
      </w:pPr>
      <w:r>
        <w:t xml:space="preserve">2.3 Integration Test Standards</w:t>
      </w:r>
    </w:p>
    <w:p>
      <w:pPr>
        <w:pStyle w:val="Compact"/>
        <w:numPr>
          <w:ilvl w:val="0"/>
          <w:numId w:val="1004"/>
        </w:numPr>
      </w:pPr>
      <w:r>
        <w:t xml:space="preserve">Framework: PHPUnit with</w:t>
      </w:r>
      <w:r>
        <w:t xml:space="preserve"> </w:t>
      </w:r>
      <w:r>
        <w:rPr>
          <w:rStyle w:val="VerbatimChar"/>
        </w:rPr>
        <w:t xml:space="preserve">RefreshDatabase</w:t>
      </w:r>
      <w:r>
        <w:t xml:space="preserve"> </w:t>
      </w:r>
      <w:r>
        <w:t xml:space="preserve">trait (backend), Espresso + Room (Android), XCTest (iOS)</w:t>
      </w:r>
    </w:p>
    <w:p>
      <w:pPr>
        <w:pStyle w:val="Compact"/>
        <w:numPr>
          <w:ilvl w:val="0"/>
          <w:numId w:val="1004"/>
        </w:numPr>
      </w:pPr>
      <w:r>
        <w:t xml:space="preserve">Database: MySQL 8.x in Docker container, seeded per test class</w:t>
      </w:r>
    </w:p>
    <w:p>
      <w:pPr>
        <w:pStyle w:val="Compact"/>
        <w:numPr>
          <w:ilvl w:val="0"/>
          <w:numId w:val="1004"/>
        </w:numPr>
      </w:pPr>
      <w:r>
        <w:t xml:space="preserve">Every API endpoint shall have at minimum: 1 success case, 1 authentication failure case, 1 authorisation failure case, 1 validation failure case, 1 tenant isolation case</w:t>
      </w:r>
    </w:p>
    <w:p>
      <w:pPr>
        <w:pStyle w:val="Compact"/>
        <w:numPr>
          <w:ilvl w:val="0"/>
          <w:numId w:val="1004"/>
        </w:numPr>
      </w:pPr>
      <w:r>
        <w:t xml:space="preserve">Tenant isolation tests: every tenant-scoped endpoint tested with cross-facility credentials to verify 403 Forbidden response</w:t>
      </w:r>
    </w:p>
    <w:bookmarkEnd w:id="25"/>
    <w:bookmarkStart w:id="26" w:name="Xcd5d713d8a452aeb5f8e5826b516418f7d175d5"/>
    <w:p>
      <w:pPr>
        <w:pStyle w:val="Heading3"/>
      </w:pPr>
      <w:r>
        <w:t xml:space="preserve">2.4 End-to-End Test Standards</w:t>
      </w:r>
    </w:p>
    <w:p>
      <w:pPr>
        <w:pStyle w:val="Compact"/>
        <w:numPr>
          <w:ilvl w:val="0"/>
          <w:numId w:val="1005"/>
        </w:numPr>
      </w:pPr>
      <w:r>
        <w:t xml:space="preserve">Framework: Playwright (web), Espresso (Android), XCUITest (iOS)</w:t>
      </w:r>
    </w:p>
    <w:p>
      <w:pPr>
        <w:pStyle w:val="Compact"/>
        <w:numPr>
          <w:ilvl w:val="0"/>
          <w:numId w:val="1005"/>
        </w:numPr>
      </w:pPr>
      <w:r>
        <w:t xml:space="preserve">Test against staging environment mirroring production configuration</w:t>
      </w:r>
    </w:p>
    <w:p>
      <w:pPr>
        <w:pStyle w:val="Compact"/>
        <w:numPr>
          <w:ilvl w:val="0"/>
          <w:numId w:val="1005"/>
        </w:numPr>
      </w:pPr>
      <w:r>
        <w:t xml:space="preserve">Clinical workflow tests execute the complete patient journey: registration through discharge</w:t>
      </w:r>
    </w:p>
    <w:p>
      <w:pPr>
        <w:pStyle w:val="Compact"/>
        <w:numPr>
          <w:ilvl w:val="0"/>
          <w:numId w:val="1005"/>
        </w:numPr>
      </w:pPr>
      <w:r>
        <w:t xml:space="preserve">Offline E2E tests require network simulation (disconnect/reconnect cycle)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5" w:name="Xdcb4eabe578509945ecfeba5a2c0969e0de0430"/>
    <w:p>
      <w:pPr>
        <w:pStyle w:val="Heading2"/>
      </w:pPr>
      <w:r>
        <w:t xml:space="preserve">3 Test Categories</w:t>
      </w:r>
    </w:p>
    <w:bookmarkStart w:id="35" w:name="X090f3a97f0c188dc4f3225135c057de992002ef"/>
    <w:p>
      <w:pPr>
        <w:pStyle w:val="Heading3"/>
      </w:pPr>
      <w:r>
        <w:t xml:space="preserve">3.1 Clinical Safety Tests (HIGHEST PRIORITY)</w:t>
      </w:r>
    </w:p>
    <w:p>
      <w:pPr>
        <w:pStyle w:val="FirstParagraph"/>
      </w:pPr>
      <w:r>
        <w:t xml:space="preserve">Clinical safety tests verify that the CDS engine, dosing safeguards, and escalation mechanisms function correctly under all conditions. A failure in any clinical safety test blocks the release unconditionally.</w:t>
      </w:r>
    </w:p>
    <w:bookmarkStart w:id="28" w:name="Xdf2996eda9092d77a72e564274f3dd69f992728"/>
    <w:p>
      <w:pPr>
        <w:pStyle w:val="Heading4"/>
      </w:pPr>
      <w:r>
        <w:t xml:space="preserve">3.1.1 Drug Interaction Alert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FR-OPD-007, NFR-HC-012, BR-CLIN-004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TC-CDS-001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1 (Info) interaction</w:t>
            </w:r>
          </w:p>
        </w:tc>
        <w:tc>
          <w:tcPr/>
          <w:p>
            <w:pPr>
              <w:pStyle w:val="Compact"/>
            </w:pPr>
            <w:r>
              <w:t xml:space="preserve">Info message displayed passively in the prescription sidebar; prescription accepted without clinician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TC-CDS-002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2 (Warning) interaction</w:t>
            </w:r>
          </w:p>
        </w:tc>
        <w:tc>
          <w:tcPr/>
          <w:p>
            <w:pPr>
              <w:pStyle w:val="Compact"/>
            </w:pPr>
            <w:r>
              <w:t xml:space="preserve">Amber banner displayed prominently; clinician may proceed without override; prescription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TC-CDS-003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3 (Serious) interaction</w:t>
            </w:r>
          </w:p>
        </w:tc>
        <w:tc>
          <w:tcPr/>
          <w:p>
            <w:pPr>
              <w:pStyle w:val="Compact"/>
            </w:pPr>
            <w:r>
              <w:t xml:space="preserve">Modal alert blocks workflow; prescription blocked until clinician enters documented override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TC-CDS-004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3 interaction, provide override reason</w:t>
            </w:r>
          </w:p>
        </w:tc>
        <w:tc>
          <w:tcPr/>
          <w:p>
            <w:pPr>
              <w:pStyle w:val="Compact"/>
            </w:pPr>
            <w:r>
              <w:t xml:space="preserve">Prescription accepted; audit log records</w:t>
            </w:r>
            <w:r>
              <w:t xml:space="preserve"> </w:t>
            </w:r>
            <w:r>
              <w:rPr>
                <w:rStyle w:val="VerbatimChar"/>
              </w:rPr>
              <w:t xml:space="preserve">clinician_id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drug_pair</w:t>
            </w:r>
            <w:r>
              <w:t xml:space="preserve">, severity "Serious",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 action "overridden", and override reason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TC-CDS-005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4 (Fatal) interaction</w:t>
            </w:r>
          </w:p>
        </w:tc>
        <w:tc>
          <w:tcPr/>
          <w:p>
            <w:pPr>
              <w:pStyle w:val="Compact"/>
            </w:pPr>
            <w:r>
              <w:t xml:space="preserve">Hard stop; no override option available to the prescriber; system prompts for pharmacist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TC-CDS-006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4 interaction, pharmacist resolves</w:t>
            </w:r>
          </w:p>
        </w:tc>
        <w:tc>
          <w:tcPr/>
          <w:p>
            <w:pPr>
              <w:pStyle w:val="Compact"/>
            </w:pPr>
            <w:r>
              <w:t xml:space="preserve">Pharmacist intervention logged; prescription accepted only after pharmacist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TC-CDS-007</w:t>
            </w:r>
          </w:p>
        </w:tc>
        <w:tc>
          <w:tcPr/>
          <w:p>
            <w:pPr>
              <w:pStyle w:val="Compact"/>
            </w:pPr>
            <w:r>
              <w:t xml:space="preserve">Prescribe 3 drugs where Drug A + B = Tier 2 and Drug B + C = Tier 3</w:t>
            </w:r>
          </w:p>
        </w:tc>
        <w:tc>
          <w:tcPr/>
          <w:p>
            <w:pPr>
              <w:pStyle w:val="Compact"/>
            </w:pPr>
            <w:r>
              <w:t xml:space="preserve">Both alerts displayed; the highest-severity alert (Tier 3) governs the workflow blocking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TC-CDS-008</w:t>
            </w:r>
          </w:p>
        </w:tc>
        <w:tc>
          <w:tcPr/>
          <w:p>
            <w:pPr>
              <w:pStyle w:val="Compact"/>
            </w:pPr>
            <w:r>
              <w:t xml:space="preserve">Prescribe a drug with a known interaction, then cancel the interacting drug</w:t>
            </w:r>
          </w:p>
        </w:tc>
        <w:tc>
          <w:tcPr/>
          <w:p>
            <w:pPr>
              <w:pStyle w:val="Compact"/>
            </w:pPr>
            <w:r>
              <w:t xml:space="preserve">Alert clears; remaining prescription proceeds without interaction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TC-CDS-009</w:t>
            </w:r>
          </w:p>
        </w:tc>
        <w:tc>
          <w:tcPr/>
          <w:p>
            <w:pPr>
              <w:pStyle w:val="Compact"/>
            </w:pPr>
            <w:r>
              <w:t xml:space="preserve">Verify override rate tracking per facility</w:t>
            </w:r>
          </w:p>
        </w:tc>
        <w:tc>
          <w:tcPr/>
          <w:p>
            <w:pPr>
              <w:pStyle w:val="Compact"/>
            </w:pPr>
            <w:r>
              <w:t xml:space="preserve">Query the override analytics; verify facility-level override rate calculation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TC-CDS-010</w:t>
            </w:r>
          </w:p>
        </w:tc>
        <w:tc>
          <w:tcPr/>
          <w:p>
            <w:pPr>
              <w:pStyle w:val="Compact"/>
            </w:pPr>
            <w:r>
              <w:t xml:space="preserve">Verify all 4 tiers logged with required audit fields</w:t>
            </w:r>
          </w:p>
        </w:tc>
        <w:tc>
          <w:tcPr/>
          <w:p>
            <w:pPr>
              <w:pStyle w:val="Compact"/>
            </w:pPr>
            <w:r>
              <w:t xml:space="preserve">Query audit log after 1 test per tier; verify all 8 required fields populated for each entry</w:t>
            </w:r>
          </w:p>
        </w:tc>
      </w:tr>
    </w:tbl>
    <w:bookmarkEnd w:id="28"/>
    <w:bookmarkStart w:id="29" w:name="X934b8efff1d40e77b195fead455c019127476c9"/>
    <w:p>
      <w:pPr>
        <w:pStyle w:val="Heading4"/>
      </w:pPr>
      <w:r>
        <w:t xml:space="preserve">3.1.2 Paediatric Dosing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NFR-HC-011, BR-CLIN-006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TC-PED-001</w:t>
            </w:r>
          </w:p>
        </w:tc>
        <w:tc>
          <w:tcPr/>
          <w:p>
            <w:pPr>
              <w:pStyle w:val="Compact"/>
            </w:pPr>
            <w:r>
              <w:t xml:space="preserve">Patient age 2, weight 5 kg, drug dose 10 mg/kg</w:t>
            </w:r>
          </w:p>
        </w:tc>
        <w:tc>
          <w:tcPr/>
          <w:p>
            <w:pPr>
              <w:pStyle w:val="Compact"/>
            </w:pPr>
            <w:r>
              <w:t xml:space="preserve">System calculates dose as 50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TC-PED-002</w:t>
            </w:r>
          </w:p>
        </w:tc>
        <w:tc>
          <w:tcPr/>
          <w:p>
            <w:pPr>
              <w:pStyle w:val="Compact"/>
            </w:pPr>
            <w:r>
              <w:t xml:space="preserve">Calculated dose exceeds adult ceiling (e.g., 600 mg vs 500 mg ceiling)</w:t>
            </w:r>
          </w:p>
        </w:tc>
        <w:tc>
          <w:tcPr/>
          <w:p>
            <w:pPr>
              <w:pStyle w:val="Compact"/>
            </w:pPr>
            <w:r>
              <w:t xml:space="preserve">System rejects prescription with ceiling dose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TC-PED-003</w:t>
            </w:r>
          </w:p>
        </w:tc>
        <w:tc>
          <w:tcPr/>
          <w:p>
            <w:pPr>
              <w:pStyle w:val="Compact"/>
            </w:pPr>
            <w:r>
              <w:t xml:space="preserve">Calculated dose is 10x expected (decimal error guard)</w:t>
            </w:r>
          </w:p>
        </w:tc>
        <w:tc>
          <w:tcPr/>
          <w:p>
            <w:pPr>
              <w:pStyle w:val="Compact"/>
            </w:pPr>
            <w:r>
              <w:t xml:space="preserve">System flags potential decimal error; blocks submission until clinician provides explicit override with documented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TC-PED-004</w:t>
            </w:r>
          </w:p>
        </w:tc>
        <w:tc>
          <w:tcPr/>
          <w:p>
            <w:pPr>
              <w:pStyle w:val="Compact"/>
            </w:pPr>
            <w:r>
              <w:t xml:space="preserve">No weight recorded within 24 hours</w:t>
            </w:r>
          </w:p>
        </w:tc>
        <w:tc>
          <w:tcPr/>
          <w:p>
            <w:pPr>
              <w:pStyle w:val="Compact"/>
            </w:pPr>
            <w:r>
              <w:t xml:space="preserve">System blocks prescription submission with message requiring weight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TC-PED-005</w:t>
            </w:r>
          </w:p>
        </w:tc>
        <w:tc>
          <w:tcPr/>
          <w:p>
            <w:pPr>
              <w:pStyle w:val="Compact"/>
            </w:pPr>
            <w:r>
              <w:t xml:space="preserve">Patient age 11 (under 12 boundary)</w:t>
            </w:r>
          </w:p>
        </w:tc>
        <w:tc>
          <w:tcPr/>
          <w:p>
            <w:pPr>
              <w:pStyle w:val="Compact"/>
            </w:pPr>
            <w:r>
              <w:t xml:space="preserve">Weight-based dosing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TC-PED-006</w:t>
            </w:r>
          </w:p>
        </w:tc>
        <w:tc>
          <w:tcPr/>
          <w:p>
            <w:pPr>
              <w:pStyle w:val="Compact"/>
            </w:pPr>
            <w:r>
              <w:t xml:space="preserve">Patient age 12 (at boundary, adult)</w:t>
            </w:r>
          </w:p>
        </w:tc>
        <w:tc>
          <w:tcPr/>
          <w:p>
            <w:pPr>
              <w:pStyle w:val="Compact"/>
            </w:pPr>
            <w:r>
              <w:t xml:space="preserve">Weight-based dosing NOT enforced; standard adult dosing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TC-PED-007</w:t>
            </w:r>
          </w:p>
        </w:tc>
        <w:tc>
          <w:tcPr/>
          <w:p>
            <w:pPr>
              <w:pStyle w:val="Compact"/>
            </w:pPr>
            <w:r>
              <w:t xml:space="preserve">Weight recorded exactly 24 hours ago (boundary)</w:t>
            </w:r>
          </w:p>
        </w:tc>
        <w:tc>
          <w:tcPr/>
          <w:p>
            <w:pPr>
              <w:pStyle w:val="Compact"/>
            </w:pPr>
            <w:r>
              <w:t xml:space="preserve">System accepts weight as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TC-PED-008</w:t>
            </w:r>
          </w:p>
        </w:tc>
        <w:tc>
          <w:tcPr/>
          <w:p>
            <w:pPr>
              <w:pStyle w:val="Compact"/>
            </w:pPr>
            <w:r>
              <w:t xml:space="preserve">Weight recorded 24 hours and 1 minute ago (expired)</w:t>
            </w:r>
          </w:p>
        </w:tc>
        <w:tc>
          <w:tcPr/>
          <w:p>
            <w:pPr>
              <w:pStyle w:val="Compact"/>
            </w:pPr>
            <w:r>
              <w:t xml:space="preserve">System blocks prescription; requires fresh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TC-PED-009</w:t>
            </w:r>
          </w:p>
        </w:tc>
        <w:tc>
          <w:tcPr/>
          <w:p>
            <w:pPr>
              <w:pStyle w:val="Compact"/>
            </w:pPr>
            <w:r>
              <w:t xml:space="preserve">Dose calculated as exactly the adult ceiling</w:t>
            </w:r>
          </w:p>
        </w:tc>
        <w:tc>
          <w:tcPr/>
          <w:p>
            <w:pPr>
              <w:pStyle w:val="Compact"/>
            </w:pPr>
            <w:r>
              <w:t xml:space="preserve">System accepts (ceiling is inclusive)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TC-PED-010</w:t>
            </w:r>
          </w:p>
        </w:tc>
        <w:tc>
          <w:tcPr/>
          <w:p>
            <w:pPr>
              <w:pStyle w:val="Compact"/>
            </w:pPr>
            <w:r>
              <w:t xml:space="preserve">Dose calculated as 1 mg above adult ceiling</w:t>
            </w:r>
          </w:p>
        </w:tc>
        <w:tc>
          <w:tcPr/>
          <w:p>
            <w:pPr>
              <w:pStyle w:val="Compact"/>
            </w:pPr>
            <w:r>
              <w:t xml:space="preserve">System rejects</w:t>
            </w:r>
          </w:p>
        </w:tc>
      </w:tr>
    </w:tbl>
    <w:bookmarkEnd w:id="29"/>
    <w:bookmarkStart w:id="30" w:name="X43a735f8edd15896ee5f11739f35db7b5c11fd6"/>
    <w:p>
      <w:pPr>
        <w:pStyle w:val="Heading4"/>
      </w:pPr>
      <w:r>
        <w:t xml:space="preserve">3.1.3 Critical Value Escalation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NFR-HC-022, BR-CLIN-003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TC-ESC-001</w:t>
            </w:r>
          </w:p>
        </w:tc>
        <w:tc>
          <w:tcPr/>
          <w:p>
            <w:pPr>
              <w:pStyle w:val="Compact"/>
            </w:pPr>
            <w:r>
              <w:t xml:space="preserve">Lab result exceeds panic threshold (e.g., potassium &gt; 6.5 mmol/L)</w:t>
            </w:r>
          </w:p>
        </w:tc>
        <w:tc>
          <w:tcPr/>
          <w:p>
            <w:pPr>
              <w:pStyle w:val="Compact"/>
            </w:pPr>
            <w:r>
              <w:t xml:space="preserve">Immediate notification sent to requesting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TC-ESC-002</w:t>
            </w:r>
          </w:p>
        </w:tc>
        <w:tc>
          <w:tcPr/>
          <w:p>
            <w:pPr>
              <w:pStyle w:val="Compact"/>
            </w:pPr>
            <w:r>
              <w:t xml:space="preserve">Doctor does not acknowledge within 30 minutes</w:t>
            </w:r>
          </w:p>
        </w:tc>
        <w:tc>
          <w:tcPr/>
          <w:p>
            <w:pPr>
              <w:pStyle w:val="Compact"/>
            </w:pPr>
            <w:r>
              <w:t xml:space="preserve">System escalates to ward sister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TC-ESC-003</w:t>
            </w:r>
          </w:p>
        </w:tc>
        <w:tc>
          <w:tcPr/>
          <w:p>
            <w:pPr>
              <w:pStyle w:val="Compact"/>
            </w:pPr>
            <w:r>
              <w:t xml:space="preserve">Ward sister does not acknowledge within 60 minutes</w:t>
            </w:r>
          </w:p>
        </w:tc>
        <w:tc>
          <w:tcPr/>
          <w:p>
            <w:pPr>
              <w:pStyle w:val="Compact"/>
            </w:pPr>
            <w:r>
              <w:t xml:space="preserve">System escalates to 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TC-ESC-004</w:t>
            </w:r>
          </w:p>
        </w:tc>
        <w:tc>
          <w:tcPr/>
          <w:p>
            <w:pPr>
              <w:pStyle w:val="Compact"/>
            </w:pPr>
            <w:r>
              <w:t xml:space="preserve">Doctor acknowledges within 30 minutes</w:t>
            </w:r>
          </w:p>
        </w:tc>
        <w:tc>
          <w:tcPr/>
          <w:p>
            <w:pPr>
              <w:pStyle w:val="Compact"/>
            </w:pPr>
            <w:r>
              <w:t xml:space="preserve">No further escalation occurs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TC-ESC-005</w:t>
            </w:r>
          </w:p>
        </w:tc>
        <w:tc>
          <w:tcPr/>
          <w:p>
            <w:pPr>
              <w:pStyle w:val="Compact"/>
            </w:pPr>
            <w:r>
              <w:t xml:space="preserve">All escalation steps timestamped in audit trail</w:t>
            </w:r>
          </w:p>
        </w:tc>
        <w:tc>
          <w:tcPr/>
          <w:p>
            <w:pPr>
              <w:pStyle w:val="Compact"/>
            </w:pPr>
            <w:r>
              <w:t xml:space="preserve">Query audit log; 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escalation_2</w:t>
            </w:r>
            <w:r>
              <w:t xml:space="preserve"> </w:t>
            </w:r>
            <w:r>
              <w:t xml:space="preserve">timestamps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TC-ESC-006</w:t>
            </w:r>
          </w:p>
        </w:tc>
        <w:tc>
          <w:tcPr/>
          <w:p>
            <w:pPr>
              <w:pStyle w:val="Compact"/>
            </w:pPr>
            <w:r>
              <w:t xml:space="preserve">Multiple critical values for same patient simultaneously</w:t>
            </w:r>
          </w:p>
        </w:tc>
        <w:tc>
          <w:tcPr/>
          <w:p>
            <w:pPr>
              <w:pStyle w:val="Compact"/>
            </w:pPr>
            <w:r>
              <w:t xml:space="preserve">Each critical value triggers its own independent escalation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TC-ESC-007</w:t>
            </w:r>
          </w:p>
        </w:tc>
        <w:tc>
          <w:tcPr/>
          <w:p>
            <w:pPr>
              <w:pStyle w:val="Compact"/>
            </w:pPr>
            <w:r>
              <w:t xml:space="preserve">Critical value for glucose &lt; 2.5 mmol/L (lower bound panic)</w:t>
            </w:r>
          </w:p>
        </w:tc>
        <w:tc>
          <w:tcPr/>
          <w:p>
            <w:pPr>
              <w:pStyle w:val="Compact"/>
            </w:pPr>
            <w:r>
              <w:t xml:space="preserve">Escalation cascade fires identically to upper bound panic values</w:t>
            </w:r>
          </w:p>
        </w:tc>
      </w:tr>
    </w:tbl>
    <w:bookmarkEnd w:id="30"/>
    <w:bookmarkStart w:id="31" w:name="X86eb544326009ad7b374404cff7c8203c3a3ee3"/>
    <w:p>
      <w:pPr>
        <w:pStyle w:val="Heading4"/>
      </w:pPr>
      <w:r>
        <w:t xml:space="preserve">3.1.4 Five Rights CPOE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FR-OPD-007, BR-CLIN-008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TC-5R-001</w:t>
            </w:r>
          </w:p>
        </w:tc>
        <w:tc>
          <w:tcPr/>
          <w:p>
            <w:pPr>
              <w:pStyle w:val="Compact"/>
            </w:pPr>
            <w:r>
              <w:t xml:space="preserve">Correct patient, drug, dose, route, time</w:t>
            </w:r>
          </w:p>
        </w:tc>
        <w:tc>
          <w:tcPr/>
          <w:p>
            <w:pPr>
              <w:pStyle w:val="Compact"/>
            </w:pPr>
            <w:r>
              <w:t xml:space="preserve">Prescription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TC-5R-002</w:t>
            </w:r>
          </w:p>
        </w:tc>
        <w:tc>
          <w:tcPr/>
          <w:p>
            <w:pPr>
              <w:pStyle w:val="Compact"/>
            </w:pPr>
            <w:r>
              <w:t xml:space="preserve">Wrong patient (patient ID mismatch at order entry)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Patient"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TC-5R-003</w:t>
            </w:r>
          </w:p>
        </w:tc>
        <w:tc>
          <w:tcPr/>
          <w:p>
            <w:pPr>
              <w:pStyle w:val="Compact"/>
            </w:pPr>
            <w:r>
              <w:t xml:space="preserve">Wrong drug (drug not on facility formulary)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Drug"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TC-5R-004</w:t>
            </w:r>
          </w:p>
        </w:tc>
        <w:tc>
          <w:tcPr/>
          <w:p>
            <w:pPr>
              <w:pStyle w:val="Compact"/>
            </w:pPr>
            <w:r>
              <w:t xml:space="preserve">Wrong dose (outside therapeutic range for drug and patient weight)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Dose"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TC-5R-005</w:t>
            </w:r>
          </w:p>
        </w:tc>
        <w:tc>
          <w:tcPr/>
          <w:p>
            <w:pPr>
              <w:pStyle w:val="Compact"/>
            </w:pPr>
            <w:r>
              <w:t xml:space="preserve">Wrong route (invalid administration route for selected drug)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Route"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TC-5R-006</w:t>
            </w:r>
          </w:p>
        </w:tc>
        <w:tc>
          <w:tcPr/>
          <w:p>
            <w:pPr>
              <w:pStyle w:val="Compact"/>
            </w:pPr>
            <w:r>
              <w:t xml:space="preserve">Wrong time (clinically inappropriate frequency schedule)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Time"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TC-5R-007</w:t>
            </w:r>
          </w:p>
        </w:tc>
        <w:tc>
          <w:tcPr/>
          <w:p>
            <w:pPr>
              <w:pStyle w:val="Compact"/>
            </w:pPr>
            <w:r>
              <w:t xml:space="preserve">Multiple rights violated simultaneously</w:t>
            </w:r>
          </w:p>
        </w:tc>
        <w:tc>
          <w:tcPr/>
          <w:p>
            <w:pPr>
              <w:pStyle w:val="Compact"/>
            </w:pPr>
            <w:r>
              <w:t xml:space="preserve">System reports all failed checks, not just the first</w:t>
            </w:r>
          </w:p>
        </w:tc>
      </w:tr>
    </w:tbl>
    <w:bookmarkEnd w:id="31"/>
    <w:bookmarkStart w:id="32" w:name="X980029dccd16d0233219edec1b382b1f59bd2cb"/>
    <w:p>
      <w:pPr>
        <w:pStyle w:val="Heading4"/>
      </w:pPr>
      <w:r>
        <w:t xml:space="preserve">3.1.5 Medication Reconciliation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BR-CLIN-005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TC-MR-001</w:t>
            </w:r>
          </w:p>
        </w:tc>
        <w:tc>
          <w:tcPr/>
          <w:p>
            <w:pPr>
              <w:pStyle w:val="Compact"/>
            </w:pPr>
            <w:r>
              <w:t xml:space="preserve">OPD to IPD admission</w:t>
            </w:r>
          </w:p>
        </w:tc>
        <w:tc>
          <w:tcPr/>
          <w:p>
            <w:pPr>
              <w:pStyle w:val="Compact"/>
            </w:pPr>
            <w:r>
              <w:t xml:space="preserve">System generates reconciliation form listing all active medications with dose, frequency, and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TC-MR-002</w:t>
            </w:r>
          </w:p>
        </w:tc>
        <w:tc>
          <w:tcPr/>
          <w:p>
            <w:pPr>
              <w:pStyle w:val="Compact"/>
            </w:pPr>
            <w:r>
              <w:t xml:space="preserve">Ward-to-ward transfer</w:t>
            </w:r>
          </w:p>
        </w:tc>
        <w:tc>
          <w:tcPr/>
          <w:p>
            <w:pPr>
              <w:pStyle w:val="Compact"/>
            </w:pPr>
            <w:r>
              <w:t xml:space="preserve">Reconciliation form generated; receiving clinician must confirm before transfer finalised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TC-MR-003</w:t>
            </w:r>
          </w:p>
        </w:tc>
        <w:tc>
          <w:tcPr/>
          <w:p>
            <w:pPr>
              <w:pStyle w:val="Compact"/>
            </w:pPr>
            <w:r>
              <w:t xml:space="preserve">IPD to discharge</w:t>
            </w:r>
          </w:p>
        </w:tc>
        <w:tc>
          <w:tcPr/>
          <w:p>
            <w:pPr>
              <w:pStyle w:val="Compact"/>
            </w:pPr>
            <w:r>
              <w:t xml:space="preserve">Reconciliation form generated; discharge blocked until reconciliation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TC-MR-004</w:t>
            </w:r>
          </w:p>
        </w:tc>
        <w:tc>
          <w:tcPr/>
          <w:p>
            <w:pPr>
              <w:pStyle w:val="Compact"/>
            </w:pPr>
            <w:r>
              <w:t xml:space="preserve">Facility-to-facility referral</w:t>
            </w:r>
          </w:p>
        </w:tc>
        <w:tc>
          <w:tcPr/>
          <w:p>
            <w:pPr>
              <w:pStyle w:val="Compact"/>
            </w:pPr>
            <w:r>
              <w:t xml:space="preserve">Reconciliation form generated and included in referral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TC-MR-005</w:t>
            </w:r>
          </w:p>
        </w:tc>
        <w:tc>
          <w:tcPr/>
          <w:p>
            <w:pPr>
              <w:pStyle w:val="Compact"/>
            </w:pPr>
            <w:r>
              <w:t xml:space="preserve">Attempt to finalise transition without completing reconciliation</w:t>
            </w:r>
          </w:p>
        </w:tc>
        <w:tc>
          <w:tcPr/>
          <w:p>
            <w:pPr>
              <w:pStyle w:val="Compact"/>
            </w:pPr>
            <w:r>
              <w:t xml:space="preserve">System blocks transition with error message</w:t>
            </w:r>
          </w:p>
        </w:tc>
      </w:tr>
    </w:tbl>
    <w:bookmarkEnd w:id="32"/>
    <w:bookmarkStart w:id="33" w:name="X1ecd5c02d436c270bb895d16e8f184189a001cd"/>
    <w:p>
      <w:pPr>
        <w:pStyle w:val="Heading4"/>
      </w:pPr>
      <w:r>
        <w:t xml:space="preserve">3.1.6 NEWS2 Calculation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BR-CLIN-007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TC-NEWS-001</w:t>
            </w:r>
          </w:p>
        </w:tc>
        <w:tc>
          <w:tcPr/>
          <w:p>
            <w:pPr>
              <w:pStyle w:val="Compact"/>
            </w:pPr>
            <w:r>
              <w:t xml:space="preserve">All vitals normal (score 0)</w:t>
            </w:r>
          </w:p>
        </w:tc>
        <w:tc>
          <w:tcPr/>
          <w:p>
            <w:pPr>
              <w:pStyle w:val="Compact"/>
            </w:pPr>
            <w:r>
              <w:t xml:space="preserve">NEWS2 score = 0; routine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TC-NEWS-002</w:t>
            </w:r>
          </w:p>
        </w:tc>
        <w:tc>
          <w:tcPr/>
          <w:p>
            <w:pPr>
              <w:pStyle w:val="Compact"/>
            </w:pPr>
            <w:r>
              <w:t xml:space="preserve">Score 4 (upper boundary of low risk)</w:t>
            </w:r>
          </w:p>
        </w:tc>
        <w:tc>
          <w:tcPr/>
          <w:p>
            <w:pPr>
              <w:pStyle w:val="Compact"/>
            </w:pPr>
            <w:r>
              <w:t xml:space="preserve">Routine monitoring at standard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TC-NEWS-003</w:t>
            </w:r>
          </w:p>
        </w:tc>
        <w:tc>
          <w:tcPr/>
          <w:p>
            <w:pPr>
              <w:pStyle w:val="Compact"/>
            </w:pPr>
            <w:r>
              <w:t xml:space="preserve">Score 5 (lower boundary of medium risk)</w:t>
            </w:r>
          </w:p>
        </w:tc>
        <w:tc>
          <w:tcPr/>
          <w:p>
            <w:pPr>
              <w:pStyle w:val="Compact"/>
            </w:pPr>
            <w:r>
              <w:t xml:space="preserve">System increases monitoring frequency; notifies responsible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TC-NEWS-004</w:t>
            </w:r>
          </w:p>
        </w:tc>
        <w:tc>
          <w:tcPr/>
          <w:p>
            <w:pPr>
              <w:pStyle w:val="Compact"/>
            </w:pPr>
            <w:r>
              <w:t xml:space="preserve">Score 6 (upper boundary of medium risk)</w:t>
            </w:r>
          </w:p>
        </w:tc>
        <w:tc>
          <w:tcPr/>
          <w:p>
            <w:pPr>
              <w:pStyle w:val="Compact"/>
            </w:pPr>
            <w:r>
              <w:t xml:space="preserve">Same as score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TC-NEWS-005</w:t>
            </w:r>
          </w:p>
        </w:tc>
        <w:tc>
          <w:tcPr/>
          <w:p>
            <w:pPr>
              <w:pStyle w:val="Compact"/>
            </w:pPr>
            <w:r>
              <w:t xml:space="preserve">Score 7 (lower boundary of high risk)</w:t>
            </w:r>
          </w:p>
        </w:tc>
        <w:tc>
          <w:tcPr/>
          <w:p>
            <w:pPr>
              <w:pStyle w:val="Compact"/>
            </w:pPr>
            <w:r>
              <w:t xml:space="preserve">System triggers immediate clinical review alert; flags ICU transfer consideration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TC-NEWS-006</w:t>
            </w:r>
          </w:p>
        </w:tc>
        <w:tc>
          <w:tcPr/>
          <w:p>
            <w:pPr>
              <w:pStyle w:val="Compact"/>
            </w:pPr>
            <w:r>
              <w:t xml:space="preserve">Score 12 (maximum)</w:t>
            </w:r>
          </w:p>
        </w:tc>
        <w:tc>
          <w:tcPr/>
          <w:p>
            <w:pPr>
              <w:pStyle w:val="Compact"/>
            </w:pPr>
            <w:r>
              <w:t xml:space="preserve">Same as score 7 with maximum urgency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TC-NEWS-007</w:t>
            </w:r>
          </w:p>
        </w:tc>
        <w:tc>
          <w:tcPr/>
          <w:p>
            <w:pPr>
              <w:pStyle w:val="Compact"/>
            </w:pPr>
            <w:r>
              <w:t xml:space="preserve">Sub-Saharan Africa adjusted thresholds applied</w:t>
            </w:r>
          </w:p>
        </w:tc>
        <w:tc>
          <w:tcPr/>
          <w:p>
            <w:pPr>
              <w:pStyle w:val="Compact"/>
            </w:pPr>
            <w:r>
              <w:t xml:space="preserve">Verify population-adjusted baselines produce correct scores where clinically validated</w:t>
            </w:r>
          </w:p>
        </w:tc>
      </w:tr>
    </w:tbl>
    <w:bookmarkEnd w:id="33"/>
    <w:bookmarkStart w:id="34" w:name="X450813561bb50f0762fb7e2aec24137c078bfac"/>
    <w:p>
      <w:pPr>
        <w:pStyle w:val="Heading4"/>
      </w:pPr>
      <w:r>
        <w:t xml:space="preserve">3.1.7 Tall Man Lettering Display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BR-RX-003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TC-TML-001</w:t>
            </w:r>
          </w:p>
        </w:tc>
        <w:tc>
          <w:tcPr/>
          <w:p>
            <w:pPr>
              <w:pStyle w:val="Compact"/>
            </w:pPr>
            <w:r>
              <w:t xml:space="preserve">Display hydrOXYzine in drug selection</w:t>
            </w:r>
          </w:p>
        </w:tc>
        <w:tc>
          <w:tcPr/>
          <w:p>
            <w:pPr>
              <w:pStyle w:val="Compact"/>
            </w:pPr>
            <w:r>
              <w:t xml:space="preserve">Differentiating letters "OXY" displayed in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TC-TML-002</w:t>
            </w:r>
          </w:p>
        </w:tc>
        <w:tc>
          <w:tcPr/>
          <w:p>
            <w:pPr>
              <w:pStyle w:val="Compact"/>
            </w:pPr>
            <w:r>
              <w:t xml:space="preserve">Display hydrALAZINE in drug selection</w:t>
            </w:r>
          </w:p>
        </w:tc>
        <w:tc>
          <w:tcPr/>
          <w:p>
            <w:pPr>
              <w:pStyle w:val="Compact"/>
            </w:pPr>
            <w:r>
              <w:t xml:space="preserve">Differentiating letters "ALAZINE" displayed in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TC-TML-003</w:t>
            </w:r>
          </w:p>
        </w:tc>
        <w:tc>
          <w:tcPr/>
          <w:p>
            <w:pPr>
              <w:pStyle w:val="Compact"/>
            </w:pPr>
            <w:r>
              <w:t xml:space="preserve">Non-LASA drug displayed</w:t>
            </w:r>
          </w:p>
        </w:tc>
        <w:tc>
          <w:tcPr/>
          <w:p>
            <w:pPr>
              <w:pStyle w:val="Compact"/>
            </w:pPr>
            <w:r>
              <w:t xml:space="preserve">Standard casing; no Tall Man formatting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TC-TML-004</w:t>
            </w:r>
          </w:p>
        </w:tc>
        <w:tc>
          <w:tcPr/>
          <w:p>
            <w:pPr>
              <w:pStyle w:val="Compact"/>
            </w:pPr>
            <w:r>
              <w:t xml:space="preserve">LASA drug list updated by pharmacy lead</w:t>
            </w:r>
          </w:p>
        </w:tc>
        <w:tc>
          <w:tcPr/>
          <w:p>
            <w:pPr>
              <w:pStyle w:val="Compact"/>
            </w:pPr>
            <w:r>
              <w:t xml:space="preserve">New LASA pair immediately renders with Tall Man Lettering</w:t>
            </w:r>
          </w:p>
        </w:tc>
      </w:tr>
    </w:tbl>
    <w:bookmarkEnd w:id="34"/>
    <w:bookmarkEnd w:id="35"/>
    <w:bookmarkStart w:id="41" w:name="Xd848fcd6ec06ea6353769096c7b5f65f1b346dc"/>
    <w:p>
      <w:pPr>
        <w:pStyle w:val="Heading3"/>
      </w:pPr>
      <w:r>
        <w:t xml:space="preserve">3.2 Data Integrity Tests</w:t>
      </w:r>
    </w:p>
    <w:bookmarkStart w:id="36" w:name="X720b71601f35567ed73628bc9e2fe0b2bffa52c"/>
    <w:p>
      <w:pPr>
        <w:pStyle w:val="Heading4"/>
      </w:pPr>
      <w:r>
        <w:t xml:space="preserve">3.2.1 Tenant Isolation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NFR-HC-015, BR-DATA-004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TC-TI-001</w:t>
            </w:r>
          </w:p>
        </w:tc>
        <w:tc>
          <w:tcPr/>
          <w:p>
            <w:pPr>
              <w:pStyle w:val="Compact"/>
            </w:pPr>
            <w:r>
              <w:t xml:space="preserve">Facility A user queries patient list</w:t>
            </w:r>
          </w:p>
        </w:tc>
        <w:tc>
          <w:tcPr/>
          <w:p>
            <w:pPr>
              <w:pStyle w:val="Compact"/>
            </w:pPr>
            <w:r>
              <w:t xml:space="preserve">Zero records from Facility B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TC-TI-002</w:t>
            </w:r>
          </w:p>
        </w:tc>
        <w:tc>
          <w:tcPr/>
          <w:p>
            <w:pPr>
              <w:pStyle w:val="Compact"/>
            </w:pPr>
            <w:r>
              <w:t xml:space="preserve">Facility B user attempts API access to Facility A patient clinical record</w:t>
            </w:r>
          </w:p>
        </w:tc>
        <w:tc>
          <w:tcPr/>
          <w:p>
            <w:pPr>
              <w:pStyle w:val="Compact"/>
            </w:pPr>
            <w:r>
              <w:t xml:space="preserve">HTTP 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TC-TI-003</w:t>
            </w:r>
          </w:p>
        </w:tc>
        <w:tc>
          <w:tcPr/>
          <w:p>
            <w:pPr>
              <w:pStyle w:val="Compact"/>
            </w:pPr>
            <w:r>
              <w:t xml:space="preserve">Raw SQL query without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filter in CI pipeline</w:t>
            </w:r>
          </w:p>
        </w:tc>
        <w:tc>
          <w:tcPr/>
          <w:p>
            <w:pPr>
              <w:pStyle w:val="Compact"/>
            </w:pPr>
            <w:r>
              <w:t xml:space="preserve">Build fails with tenant isolation violation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TC-TI-004</w:t>
            </w:r>
          </w:p>
        </w:tc>
        <w:tc>
          <w:tcPr/>
          <w:p>
            <w:pPr>
              <w:pStyle w:val="Compact"/>
            </w:pPr>
            <w:r>
              <w:t xml:space="preserve">Global patient identity lookup from Facility B</w:t>
            </w:r>
          </w:p>
        </w:tc>
        <w:tc>
          <w:tcPr/>
          <w:p>
            <w:pPr>
              <w:pStyle w:val="Compact"/>
            </w:pPr>
            <w:r>
              <w:t xml:space="preserve">Facility B sees patient exists (name, age, sex, identifiers) but cannot access clinical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TC-TI-005</w:t>
            </w:r>
          </w:p>
        </w:tc>
        <w:tc>
          <w:tcPr/>
          <w:p>
            <w:pPr>
              <w:pStyle w:val="Compact"/>
            </w:pPr>
            <w:r>
              <w:t xml:space="preserve">Emergency cross-facility access with patient confirmation</w:t>
            </w:r>
          </w:p>
        </w:tc>
        <w:tc>
          <w:tcPr/>
          <w:p>
            <w:pPr>
              <w:pStyle w:val="Compact"/>
            </w:pPr>
            <w:r>
              <w:t xml:space="preserve">Access granted for 24 hours; patient receives SMS notification; access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TC-TI-006</w:t>
            </w:r>
          </w:p>
        </w:tc>
        <w:tc>
          <w:tcPr/>
          <w:p>
            <w:pPr>
              <w:pStyle w:val="Compact"/>
            </w:pPr>
            <w:r>
              <w:t xml:space="preserve">Eloquent global scope enforces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on all tenant-scoped models</w:t>
            </w:r>
          </w:p>
        </w:tc>
        <w:tc>
          <w:tcPr/>
          <w:p>
            <w:pPr>
              <w:pStyle w:val="Compact"/>
            </w:pPr>
            <w:r>
              <w:t xml:space="preserve">Manually remove repository-level filter; verify Eloquent global scope still filters by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</w:p>
        </w:tc>
      </w:tr>
    </w:tbl>
    <w:bookmarkEnd w:id="36"/>
    <w:bookmarkStart w:id="37" w:name="Xed1ffb41434542b5624f250e78b96923c734917"/>
    <w:p>
      <w:pPr>
        <w:pStyle w:val="Heading4"/>
      </w:pPr>
      <w:r>
        <w:t xml:space="preserve">3.2.2 EMPI Duplicate Detection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BR-PID-001, BR-PID-002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TC-EMPI-001</w:t>
            </w:r>
          </w:p>
        </w:tc>
        <w:tc>
          <w:tcPr/>
          <w:p>
            <w:pPr>
              <w:pStyle w:val="Compact"/>
            </w:pPr>
            <w:r>
              <w:t xml:space="preserve">Register patient with identical name and DOB as existing patient</w:t>
            </w:r>
          </w:p>
        </w:tc>
        <w:tc>
          <w:tcPr/>
          <w:p>
            <w:pPr>
              <w:pStyle w:val="Compact"/>
            </w:pPr>
            <w:r>
              <w:t xml:space="preserve">Duplicate warning with confidence score exceeding 80%; mandatory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TC-EMPI-002</w:t>
            </w:r>
          </w:p>
        </w:tc>
        <w:tc>
          <w:tcPr/>
          <w:p>
            <w:pPr>
              <w:pStyle w:val="Compact"/>
            </w:pPr>
            <w:r>
              <w:t xml:space="preserve">Register patient with similar name (Soundex match) and same phone</w:t>
            </w:r>
          </w:p>
        </w:tc>
        <w:tc>
          <w:tcPr/>
          <w:p>
            <w:pPr>
              <w:pStyle w:val="Compact"/>
            </w:pPr>
            <w:r>
              <w:t xml:space="preserve">Duplicate warning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TC-EMPI-003</w:t>
            </w:r>
          </w:p>
        </w:tc>
        <w:tc>
          <w:tcPr/>
          <w:p>
            <w:pPr>
              <w:pStyle w:val="Compact"/>
            </w:pPr>
            <w:r>
              <w:t xml:space="preserve">Register patient with identical NIN</w:t>
            </w:r>
          </w:p>
        </w:tc>
        <w:tc>
          <w:tcPr/>
          <w:p>
            <w:pPr>
              <w:pStyle w:val="Compact"/>
            </w:pPr>
            <w:r>
              <w:t xml:space="preserve">Duplicate warning with high confidence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TC-EMPI-004</w:t>
            </w:r>
          </w:p>
        </w:tc>
        <w:tc>
          <w:tcPr/>
          <w:p>
            <w:pPr>
              <w:pStyle w:val="Compact"/>
            </w:pPr>
            <w:r>
              <w:t xml:space="preserve">Register patient with no matches</w:t>
            </w:r>
          </w:p>
        </w:tc>
        <w:tc>
          <w:tcPr/>
          <w:p>
            <w:pPr>
              <w:pStyle w:val="Compact"/>
            </w:pPr>
            <w:r>
              <w:t xml:space="preserve">No duplicate warning; "New Patient" proceeds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TC-EMPI-005</w:t>
            </w:r>
          </w:p>
        </w:tc>
        <w:tc>
          <w:tcPr/>
          <w:p>
            <w:pPr>
              <w:pStyle w:val="Compact"/>
            </w:pPr>
            <w:r>
              <w:t xml:space="preserve">Fuzzy matching with African naming patterns (compound surnames, clan names)</w:t>
            </w:r>
          </w:p>
        </w:tc>
        <w:tc>
          <w:tcPr/>
          <w:p>
            <w:pPr>
              <w:pStyle w:val="Compact"/>
            </w:pPr>
            <w:r>
              <w:t xml:space="preserve">Algorithm correctly identifies potential duplicates despite spelling variations</w:t>
            </w:r>
          </w:p>
        </w:tc>
      </w:tr>
    </w:tbl>
    <w:bookmarkEnd w:id="37"/>
    <w:bookmarkStart w:id="38" w:name="Xba1553de8608d9037a9a20c04f543b603a662fd"/>
    <w:p>
      <w:pPr>
        <w:pStyle w:val="Heading4"/>
      </w:pPr>
      <w:r>
        <w:t xml:space="preserve">3.2.3 Patient Merge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BR-PID-003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TC-MRG-001</w:t>
            </w:r>
          </w:p>
        </w:tc>
        <w:tc>
          <w:tcPr/>
          <w:p>
            <w:pPr>
              <w:pStyle w:val="Compact"/>
            </w:pPr>
            <w:r>
              <w:t xml:space="preserve">Merge 2 duplicate patient records</w:t>
            </w:r>
          </w:p>
        </w:tc>
        <w:tc>
          <w:tcPr/>
          <w:p>
            <w:pPr>
              <w:pStyle w:val="Compact"/>
            </w:pPr>
            <w:r>
              <w:t xml:space="preserve">All clinical history, billing records, and encounters consolidated under surviving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TC-MRG-002</w:t>
            </w:r>
          </w:p>
        </w:tc>
        <w:tc>
          <w:tcPr/>
          <w:p>
            <w:pPr>
              <w:pStyle w:val="Compact"/>
            </w:pPr>
            <w:r>
              <w:t xml:space="preserve">Verify merge audit trail</w:t>
            </w:r>
          </w:p>
        </w:tc>
        <w:tc>
          <w:tcPr/>
          <w:p>
            <w:pPr>
              <w:pStyle w:val="Compact"/>
            </w:pPr>
            <w:r>
              <w:t xml:space="preserve">Audit log records merge action, performing user, source records, surviving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TC-MRG-003</w:t>
            </w:r>
          </w:p>
        </w:tc>
        <w:tc>
          <w:tcPr/>
          <w:p>
            <w:pPr>
              <w:pStyle w:val="Compact"/>
            </w:pPr>
            <w:r>
              <w:t xml:space="preserve">Unmerge within 30 days</w:t>
            </w:r>
          </w:p>
        </w:tc>
        <w:tc>
          <w:tcPr/>
          <w:p>
            <w:pPr>
              <w:pStyle w:val="Compact"/>
            </w:pPr>
            <w:r>
              <w:t xml:space="preserve">Records separated; original data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TC-MRG-004</w:t>
            </w:r>
          </w:p>
        </w:tc>
        <w:tc>
          <w:tcPr/>
          <w:p>
            <w:pPr>
              <w:pStyle w:val="Compact"/>
            </w:pPr>
            <w:r>
              <w:t xml:space="preserve">Attempt unmerge after 30 days</w:t>
            </w:r>
          </w:p>
        </w:tc>
        <w:tc>
          <w:tcPr/>
          <w:p>
            <w:pPr>
              <w:pStyle w:val="Compact"/>
            </w:pPr>
            <w:r>
              <w:t xml:space="preserve">System rejects unmerge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TC-MRG-005</w:t>
            </w:r>
          </w:p>
        </w:tc>
        <w:tc>
          <w:tcPr/>
          <w:p>
            <w:pPr>
              <w:pStyle w:val="Compact"/>
            </w:pPr>
            <w:r>
              <w:t xml:space="preserve">Merge attempted by non-authorised role (not Records Officer or Facility Admin)</w:t>
            </w:r>
          </w:p>
        </w:tc>
        <w:tc>
          <w:tcPr/>
          <w:p>
            <w:pPr>
              <w:pStyle w:val="Compact"/>
            </w:pPr>
            <w:r>
              <w:t xml:space="preserve">System blocks merge; returns authorisation error</w:t>
            </w:r>
          </w:p>
        </w:tc>
      </w:tr>
    </w:tbl>
    <w:bookmarkEnd w:id="38"/>
    <w:bookmarkStart w:id="39" w:name="Xf6e7afa020b4f139a27edad0bd3e2c57d801fb3"/>
    <w:p>
      <w:pPr>
        <w:pStyle w:val="Heading4"/>
      </w:pPr>
      <w:r>
        <w:t xml:space="preserve">3.2.4 Audit Trail Immutability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Perform CRUD on patient record; verify audit entry</w:t>
            </w:r>
          </w:p>
        </w:tc>
        <w:tc>
          <w:tcPr/>
          <w:p>
            <w:pPr>
              <w:pStyle w:val="Compact"/>
            </w:pPr>
            <w:r>
              <w:t xml:space="preserve">Audit log entry exists with all 8 required fields: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TC-AUD-002</w:t>
            </w:r>
          </w:p>
        </w:tc>
        <w:tc>
          <w:tcPr/>
          <w:p>
            <w:pPr>
              <w:pStyle w:val="Compact"/>
            </w:pPr>
            <w:r>
              <w:t xml:space="preserve">Attempt UPDATE on audit log table as Super Admin</w:t>
            </w:r>
          </w:p>
        </w:tc>
        <w:tc>
          <w:tcPr/>
          <w:p>
            <w:pPr>
              <w:pStyle w:val="Compact"/>
            </w:pPr>
            <w:r>
              <w:t xml:space="preserve">System rejects operation;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TC-AUD-003</w:t>
            </w:r>
          </w:p>
        </w:tc>
        <w:tc>
          <w:tcPr/>
          <w:p>
            <w:pPr>
              <w:pStyle w:val="Compact"/>
            </w:pPr>
            <w:r>
              <w:t xml:space="preserve">Attempt DELETE on audit log table as Super Admin</w:t>
            </w:r>
          </w:p>
        </w:tc>
        <w:tc>
          <w:tcPr/>
          <w:p>
            <w:pPr>
              <w:pStyle w:val="Compact"/>
            </w:pPr>
            <w:r>
              <w:t xml:space="preserve">System rejects operation;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TC-AUD-004</w:t>
            </w:r>
          </w:p>
        </w:tc>
        <w:tc>
          <w:tcPr/>
          <w:p>
            <w:pPr>
              <w:pStyle w:val="Compact"/>
            </w:pPr>
            <w:r>
              <w:t xml:space="preserve">Verify append-only constraint at database level</w:t>
            </w:r>
          </w:p>
        </w:tc>
        <w:tc>
          <w:tcPr/>
          <w:p>
            <w:pPr>
              <w:pStyle w:val="Compact"/>
            </w:pPr>
            <w:r>
              <w:t xml:space="preserve">Database trigger or constraint prevents modification of existing audit rows</w:t>
            </w:r>
          </w:p>
        </w:tc>
      </w:tr>
    </w:tbl>
    <w:bookmarkEnd w:id="39"/>
    <w:bookmarkStart w:id="40" w:name="X90f4ca12be25fcd76cbec24888a8dd4275bbfe0"/>
    <w:p>
      <w:pPr>
        <w:pStyle w:val="Heading4"/>
      </w:pPr>
      <w:r>
        <w:t xml:space="preserve">3.2.5 Auto-Save and Power Loss Recovery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NFR-HC-016, BR-DATA-005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TC-AS-001</w:t>
            </w:r>
          </w:p>
        </w:tc>
        <w:tc>
          <w:tcPr/>
          <w:p>
            <w:pPr>
              <w:pStyle w:val="Compact"/>
            </w:pPr>
            <w:r>
              <w:t xml:space="preserve">Fill OPD form partially; kill browser via Task Manager</w:t>
            </w:r>
          </w:p>
        </w:tc>
        <w:tc>
          <w:tcPr/>
          <w:p>
            <w:pPr>
              <w:pStyle w:val="Compact"/>
            </w:pPr>
            <w:r>
              <w:t xml:space="preserve">Reopen browser; recovery prompt appears with auto-save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TC-AS-002</w:t>
            </w:r>
          </w:p>
        </w:tc>
        <w:tc>
          <w:tcPr/>
          <w:p>
            <w:pPr>
              <w:pStyle w:val="Compact"/>
            </w:pPr>
            <w:r>
              <w:t xml:space="preserve">Accept recovery</w:t>
            </w:r>
          </w:p>
        </w:tc>
        <w:tc>
          <w:tcPr/>
          <w:p>
            <w:pPr>
              <w:pStyle w:val="Compact"/>
            </w:pPr>
            <w:r>
              <w:t xml:space="preserve">All entered data (chief complaint, diagnoses, prescription) restored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TC-AS-003</w:t>
            </w:r>
          </w:p>
        </w:tc>
        <w:tc>
          <w:tcPr/>
          <w:p>
            <w:pPr>
              <w:pStyle w:val="Compact"/>
            </w:pPr>
            <w:r>
              <w:t xml:space="preserve">Discard recovery</w:t>
            </w:r>
          </w:p>
        </w:tc>
        <w:tc>
          <w:tcPr/>
          <w:p>
            <w:pPr>
              <w:pStyle w:val="Compact"/>
            </w:pPr>
            <w:r>
              <w:t xml:space="preserve">Form opens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TC-AS-004</w:t>
            </w:r>
          </w:p>
        </w:tc>
        <w:tc>
          <w:tcPr/>
          <w:p>
            <w:pPr>
              <w:pStyle w:val="Compact"/>
            </w:pPr>
            <w:r>
              <w:t xml:space="preserve">Auto-save on keystroke</w:t>
            </w:r>
          </w:p>
        </w:tc>
        <w:tc>
          <w:tcPr/>
          <w:p>
            <w:pPr>
              <w:pStyle w:val="Compact"/>
            </w:pPr>
            <w:r>
              <w:t xml:space="preserve">IndexedDB updated after each keystroke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TC-AS-005</w:t>
            </w:r>
          </w:p>
        </w:tc>
        <w:tc>
          <w:tcPr/>
          <w:p>
            <w:pPr>
              <w:pStyle w:val="Compact"/>
            </w:pPr>
            <w:r>
              <w:t xml:space="preserve">Auto-save on dropdown selection</w:t>
            </w:r>
          </w:p>
        </w:tc>
        <w:tc>
          <w:tcPr/>
          <w:p>
            <w:pPr>
              <w:pStyle w:val="Compact"/>
            </w:pPr>
            <w:r>
              <w:t xml:space="preserve">IndexedDB updated after selection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TC-AS-006</w:t>
            </w:r>
          </w:p>
        </w:tc>
        <w:tc>
          <w:tcPr/>
          <w:p>
            <w:pPr>
              <w:pStyle w:val="Compact"/>
            </w:pPr>
            <w:r>
              <w:t xml:space="preserve">Session timeout with auto-saved data</w:t>
            </w:r>
          </w:p>
        </w:tc>
        <w:tc>
          <w:tcPr/>
          <w:p>
            <w:pPr>
              <w:pStyle w:val="Compact"/>
            </w:pPr>
            <w:r>
              <w:t xml:space="preserve">Data preserved across session timeout; restored after re-authentication</w:t>
            </w:r>
          </w:p>
        </w:tc>
      </w:tr>
    </w:tbl>
    <w:bookmarkEnd w:id="40"/>
    <w:bookmarkEnd w:id="41"/>
    <w:bookmarkStart w:id="47" w:name="X51653f8a16230bce86fee688bce4a3803e04948"/>
    <w:p>
      <w:pPr>
        <w:pStyle w:val="Heading3"/>
      </w:pPr>
      <w:r>
        <w:t xml:space="preserve">3.3 Financial Tests</w:t>
      </w:r>
    </w:p>
    <w:bookmarkStart w:id="42" w:name="Xbc16e8d02ca4a01f2a2798947d1a572c2111a69"/>
    <w:p>
      <w:pPr>
        <w:pStyle w:val="Heading4"/>
      </w:pPr>
      <w:r>
        <w:t xml:space="preserve">3.3.1 Auto-Billing Accuracy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FR-BIL-001 through FR-BIL-010, BR-FIN-001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TC-FIN-001</w:t>
            </w:r>
          </w:p>
        </w:tc>
        <w:tc>
          <w:tcPr/>
          <w:p>
            <w:pPr>
              <w:pStyle w:val="Compact"/>
            </w:pPr>
            <w:r>
              <w:t xml:space="preserve">Request lab test from OPD</w:t>
            </w:r>
          </w:p>
        </w:tc>
        <w:tc>
          <w:tcPr/>
          <w:p>
            <w:pPr>
              <w:pStyle w:val="Compact"/>
            </w:pPr>
            <w:r>
              <w:t xml:space="preserve">Lab charge auto-posted to patient account matching price list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TC-FIN-002</w:t>
            </w:r>
          </w:p>
        </w:tc>
        <w:tc>
          <w:tcPr/>
          <w:p>
            <w:pPr>
              <w:pStyle w:val="Compact"/>
            </w:pPr>
            <w:r>
              <w:t xml:space="preserve">Dispense drug from pharmacy</w:t>
            </w:r>
          </w:p>
        </w:tc>
        <w:tc>
          <w:tcPr/>
          <w:p>
            <w:pPr>
              <w:pStyle w:val="Compact"/>
            </w:pPr>
            <w:r>
              <w:t xml:space="preserve">Drug charge auto-posted matching price list quantity and unit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TC-FIN-003</w:t>
            </w:r>
          </w:p>
        </w:tc>
        <w:tc>
          <w:tcPr/>
          <w:p>
            <w:pPr>
              <w:pStyle w:val="Compact"/>
            </w:pPr>
            <w:r>
              <w:t xml:space="preserve">Record OPD procedure</w:t>
            </w:r>
          </w:p>
        </w:tc>
        <w:tc>
          <w:tcPr/>
          <w:p>
            <w:pPr>
              <w:pStyle w:val="Compact"/>
            </w:pPr>
            <w:r>
              <w:t xml:space="preserve">Procedure charge auto-posted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TC-FIN-004</w:t>
            </w:r>
          </w:p>
        </w:tc>
        <w:tc>
          <w:tcPr/>
          <w:p>
            <w:pPr>
              <w:pStyle w:val="Compact"/>
            </w:pPr>
            <w:r>
              <w:t xml:space="preserve">Record bed day (IPD)</w:t>
            </w:r>
          </w:p>
        </w:tc>
        <w:tc>
          <w:tcPr/>
          <w:p>
            <w:pPr>
              <w:pStyle w:val="Compact"/>
            </w:pPr>
            <w:r>
              <w:t xml:space="preserve">Bed day charge auto-posted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TC-FIN-005</w:t>
            </w:r>
          </w:p>
        </w:tc>
        <w:tc>
          <w:tcPr/>
          <w:p>
            <w:pPr>
              <w:pStyle w:val="Compact"/>
            </w:pPr>
            <w:r>
              <w:t xml:space="preserve">Service not in price list</w:t>
            </w:r>
          </w:p>
        </w:tc>
        <w:tc>
          <w:tcPr/>
          <w:p>
            <w:pPr>
              <w:pStyle w:val="Compact"/>
            </w:pPr>
            <w:r>
              <w:t xml:space="preserve">No charge posted; no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TC-FIN-006</w:t>
            </w:r>
          </w:p>
        </w:tc>
        <w:tc>
          <w:tcPr/>
          <w:p>
            <w:pPr>
              <w:pStyle w:val="Compact"/>
            </w:pPr>
            <w:r>
              <w:t xml:space="preserve">Multiple clinical actions in single encounter</w:t>
            </w:r>
          </w:p>
        </w:tc>
        <w:tc>
          <w:tcPr/>
          <w:p>
            <w:pPr>
              <w:pStyle w:val="Compact"/>
            </w:pPr>
            <w:r>
              <w:t xml:space="preserve">All corresponding charges posted; total equals sum of individual charges</w:t>
            </w:r>
          </w:p>
        </w:tc>
      </w:tr>
    </w:tbl>
    <w:bookmarkEnd w:id="42"/>
    <w:bookmarkStart w:id="43" w:name="X7d2b3dc5ad538019b4e9d124635082a30445965"/>
    <w:p>
      <w:pPr>
        <w:pStyle w:val="Heading4"/>
      </w:pPr>
      <w:r>
        <w:t xml:space="preserve">3.3.2 Mobile Money Reconciliation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TC-MOMO-001</w:t>
            </w:r>
          </w:p>
        </w:tc>
        <w:tc>
          <w:tcPr/>
          <w:p>
            <w:pPr>
              <w:pStyle w:val="Compact"/>
            </w:pPr>
            <w:r>
              <w:t xml:space="preserve">MoMo payment received with valid transaction reference</w:t>
            </w:r>
          </w:p>
        </w:tc>
        <w:tc>
          <w:tcPr/>
          <w:p>
            <w:pPr>
              <w:pStyle w:val="Compact"/>
            </w:pPr>
            <w:r>
              <w:t xml:space="preserve">Payment auto-matched to patient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TC-MOMO-002</w:t>
            </w:r>
          </w:p>
        </w:tc>
        <w:tc>
          <w:tcPr/>
          <w:p>
            <w:pPr>
              <w:pStyle w:val="Compact"/>
            </w:pPr>
            <w:r>
              <w:t xml:space="preserve">Airtel Money payment received with valid reference</w:t>
            </w:r>
          </w:p>
        </w:tc>
        <w:tc>
          <w:tcPr/>
          <w:p>
            <w:pPr>
              <w:pStyle w:val="Compact"/>
            </w:pPr>
            <w:r>
              <w:t xml:space="preserve">Payment auto-matched to patient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TC-MOMO-003</w:t>
            </w:r>
          </w:p>
        </w:tc>
        <w:tc>
          <w:tcPr/>
          <w:p>
            <w:pPr>
              <w:pStyle w:val="Compact"/>
            </w:pPr>
            <w:r>
              <w:t xml:space="preserve">Payment with unrecognised reference</w:t>
            </w:r>
          </w:p>
        </w:tc>
        <w:tc>
          <w:tcPr/>
          <w:p>
            <w:pPr>
              <w:pStyle w:val="Compact"/>
            </w:pPr>
            <w:r>
              <w:t xml:space="preserve">Posted to suspense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TC-MOMO-004</w:t>
            </w:r>
          </w:p>
        </w:tc>
        <w:tc>
          <w:tcPr/>
          <w:p>
            <w:pPr>
              <w:pStyle w:val="Compact"/>
            </w:pPr>
            <w:r>
              <w:t xml:space="preserve">Unmatched payment not resolved within 48 hours</w:t>
            </w:r>
          </w:p>
        </w:tc>
        <w:tc>
          <w:tcPr/>
          <w:p>
            <w:pPr>
              <w:pStyle w:val="Compact"/>
            </w:pPr>
            <w:r>
              <w:t xml:space="preserve">Flagged in daily unmatched payments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TC-MOMO-005</w:t>
            </w:r>
          </w:p>
        </w:tc>
        <w:tc>
          <w:tcPr/>
          <w:p>
            <w:pPr>
              <w:pStyle w:val="Compact"/>
            </w:pPr>
            <w:r>
              <w:t xml:space="preserve">Manual matching by cashier</w:t>
            </w:r>
          </w:p>
        </w:tc>
        <w:tc>
          <w:tcPr/>
          <w:p>
            <w:pPr>
              <w:pStyle w:val="Compact"/>
            </w:pPr>
            <w:r>
              <w:t xml:space="preserve">Payment moved from suspense to correct patient account</w:t>
            </w:r>
          </w:p>
        </w:tc>
      </w:tr>
    </w:tbl>
    <w:bookmarkEnd w:id="43"/>
    <w:bookmarkStart w:id="44" w:name="X01791daa3bbf47ed9f45d04513fa3d3502df491"/>
    <w:p>
      <w:pPr>
        <w:pStyle w:val="Heading4"/>
      </w:pPr>
      <w:r>
        <w:t xml:space="preserve">3.3.3 Cashier Reconciliation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TC-CASH-001</w:t>
            </w:r>
          </w:p>
        </w:tc>
        <w:tc>
          <w:tcPr/>
          <w:p>
            <w:pPr>
              <w:pStyle w:val="Compact"/>
            </w:pPr>
            <w:r>
              <w:t xml:space="preserve">End-of-session reconciliation with matching totals</w:t>
            </w:r>
          </w:p>
        </w:tc>
        <w:tc>
          <w:tcPr/>
          <w:p>
            <w:pPr>
              <w:pStyle w:val="Compact"/>
            </w:pPr>
            <w:r>
              <w:t xml:space="preserve">Session closes; no discrepancy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TC-CASH-002</w:t>
            </w:r>
          </w:p>
        </w:tc>
        <w:tc>
          <w:tcPr/>
          <w:p>
            <w:pPr>
              <w:pStyle w:val="Compact"/>
            </w:pPr>
            <w:r>
              <w:t xml:space="preserve">Discrepancy exceeding UGX 5,000</w:t>
            </w:r>
          </w:p>
        </w:tc>
        <w:tc>
          <w:tcPr/>
          <w:p>
            <w:pPr>
              <w:pStyle w:val="Compact"/>
            </w:pPr>
            <w:r>
              <w:t xml:space="preserve">Supervisor review flag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TC-CASH-003</w:t>
            </w:r>
          </w:p>
        </w:tc>
        <w:tc>
          <w:tcPr/>
          <w:p>
            <w:pPr>
              <w:pStyle w:val="Compact"/>
            </w:pPr>
            <w:r>
              <w:t xml:space="preserve">Discrepancy under UGX 5,000</w:t>
            </w:r>
          </w:p>
        </w:tc>
        <w:tc>
          <w:tcPr/>
          <w:p>
            <w:pPr>
              <w:pStyle w:val="Compact"/>
            </w:pPr>
            <w:r>
              <w:t xml:space="preserve">Session closes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TC-CASH-004</w:t>
            </w:r>
          </w:p>
        </w:tc>
        <w:tc>
          <w:tcPr/>
          <w:p>
            <w:pPr>
              <w:pStyle w:val="Compact"/>
            </w:pPr>
            <w:r>
              <w:t xml:space="preserve">Collections by payment mode calculated correctly</w:t>
            </w:r>
          </w:p>
        </w:tc>
        <w:tc>
          <w:tcPr/>
          <w:p>
            <w:pPr>
              <w:pStyle w:val="Compact"/>
            </w:pPr>
            <w:r>
              <w:t xml:space="preserve">Cash + MoMo + Airtel + card = total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TC-CASH-005</w:t>
            </w:r>
          </w:p>
        </w:tc>
        <w:tc>
          <w:tcPr/>
          <w:p>
            <w:pPr>
              <w:pStyle w:val="Compact"/>
            </w:pPr>
            <w:r>
              <w:t xml:space="preserve">Opening float + collections - banking = closing float</w:t>
            </w:r>
          </w:p>
        </w:tc>
        <w:tc>
          <w:tcPr/>
          <w:p>
            <w:pPr>
              <w:pStyle w:val="Compact"/>
            </w:pPr>
            <w:r>
              <w:t xml:space="preserve">Calculation verified</w:t>
            </w:r>
          </w:p>
        </w:tc>
      </w:tr>
    </w:tbl>
    <w:bookmarkEnd w:id="44"/>
    <w:bookmarkStart w:id="45" w:name="X331406a0b229c225618a32c97f98a279ba7405c"/>
    <w:p>
      <w:pPr>
        <w:pStyle w:val="Heading4"/>
      </w:pPr>
      <w:r>
        <w:t xml:space="preserve">3.3.4 Missing Charge Detection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TC-MC-001</w:t>
            </w:r>
          </w:p>
        </w:tc>
        <w:tc>
          <w:tcPr/>
          <w:p>
            <w:pPr>
              <w:pStyle w:val="Compact"/>
            </w:pPr>
            <w:r>
              <w:t xml:space="preserve">OPD visit with no corresponding billing record</w:t>
            </w:r>
          </w:p>
        </w:tc>
        <w:tc>
          <w:tcPr/>
          <w:p>
            <w:pPr>
              <w:pStyle w:val="Compact"/>
            </w:pPr>
            <w:r>
              <w:t xml:space="preserve">Flagged in daily missing charge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TC-MC-002</w:t>
            </w:r>
          </w:p>
        </w:tc>
        <w:tc>
          <w:tcPr/>
          <w:p>
            <w:pPr>
              <w:pStyle w:val="Compact"/>
            </w:pPr>
            <w:r>
              <w:t xml:space="preserve">Lab result received with no lab charge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TC-MC-003</w:t>
            </w:r>
          </w:p>
        </w:tc>
        <w:tc>
          <w:tcPr/>
          <w:p>
            <w:pPr>
              <w:pStyle w:val="Compact"/>
            </w:pPr>
            <w:r>
              <w:t xml:space="preserve">Drug dispensed with no drug charge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TC-MC-004</w:t>
            </w:r>
          </w:p>
        </w:tc>
        <w:tc>
          <w:tcPr/>
          <w:p>
            <w:pPr>
              <w:pStyle w:val="Compact"/>
            </w:pPr>
            <w:r>
              <w:t xml:space="preserve">All clinical actions have corresponding charges</w:t>
            </w:r>
          </w:p>
        </w:tc>
        <w:tc>
          <w:tcPr/>
          <w:p>
            <w:pPr>
              <w:pStyle w:val="Compact"/>
            </w:pPr>
            <w:r>
              <w:t xml:space="preserve">Report shows zero missing charges</w:t>
            </w:r>
          </w:p>
        </w:tc>
      </w:tr>
    </w:tbl>
    <w:bookmarkEnd w:id="45"/>
    <w:bookmarkStart w:id="46" w:name="X601c792c7fd67cc6885cbec01ed5463a37b64bc"/>
    <w:p>
      <w:pPr>
        <w:pStyle w:val="Heading4"/>
      </w:pPr>
      <w:r>
        <w:t xml:space="preserve">3.3.5 Insurance Co-Pay Split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TC-INS-001</w:t>
            </w:r>
          </w:p>
        </w:tc>
        <w:tc>
          <w:tcPr/>
          <w:p>
            <w:pPr>
              <w:pStyle w:val="Compact"/>
            </w:pPr>
            <w:r>
              <w:t xml:space="preserve">Patient with active insurance scheme; bill UGX 100,000; benefit covers 80%</w:t>
            </w:r>
          </w:p>
        </w:tc>
        <w:tc>
          <w:tcPr/>
          <w:p>
            <w:pPr>
              <w:pStyle w:val="Compact"/>
            </w:pPr>
            <w:r>
              <w:t xml:space="preserve">Insurer portion = UGX 80,000 posted to receivables ledger; patient co-pay = UGX 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TC-INS-002</w:t>
            </w:r>
          </w:p>
        </w:tc>
        <w:tc>
          <w:tcPr/>
          <w:p>
            <w:pPr>
              <w:pStyle w:val="Compact"/>
            </w:pPr>
            <w:r>
              <w:t xml:space="preserve">Service exceeds benefit limit</w:t>
            </w:r>
          </w:p>
        </w:tc>
        <w:tc>
          <w:tcPr/>
          <w:p>
            <w:pPr>
              <w:pStyle w:val="Compact"/>
            </w:pPr>
            <w:r>
              <w:t xml:space="preserve">Excess posted entirely to patient co-pay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TC-INS-003</w:t>
            </w:r>
          </w:p>
        </w:tc>
        <w:tc>
          <w:tcPr/>
          <w:p>
            <w:pPr>
              <w:pStyle w:val="Compact"/>
            </w:pPr>
            <w:r>
              <w:t xml:space="preserve">Patient with no active insurance</w:t>
            </w:r>
          </w:p>
        </w:tc>
        <w:tc>
          <w:tcPr/>
          <w:p>
            <w:pPr>
              <w:pStyle w:val="Compact"/>
            </w:pPr>
            <w:r>
              <w:t xml:space="preserve">Entire bill assigned to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TC-INS-004</w:t>
            </w:r>
          </w:p>
        </w:tc>
        <w:tc>
          <w:tcPr/>
          <w:p>
            <w:pPr>
              <w:pStyle w:val="Compact"/>
            </w:pPr>
            <w:r>
              <w:t xml:space="preserve">Multiple services with different benefit rates</w:t>
            </w:r>
          </w:p>
        </w:tc>
        <w:tc>
          <w:tcPr/>
          <w:p>
            <w:pPr>
              <w:pStyle w:val="Compact"/>
            </w:pPr>
            <w:r>
              <w:t xml:space="preserve">Each service split according to its benefit schedule entry</w:t>
            </w:r>
          </w:p>
        </w:tc>
      </w:tr>
    </w:tbl>
    <w:bookmarkEnd w:id="46"/>
    <w:bookmarkEnd w:id="47"/>
    <w:bookmarkStart w:id="52" w:name="X9ccd6869d68e4365c5fcd55e954a35e3f4ffa00"/>
    <w:p>
      <w:pPr>
        <w:pStyle w:val="Heading3"/>
      </w:pPr>
      <w:r>
        <w:t xml:space="preserve">3.4 Regulatory Compliance Tests</w:t>
      </w:r>
    </w:p>
    <w:bookmarkStart w:id="48" w:name="X9123e2d00c68ed41b3c0660898214cacb272f83"/>
    <w:p>
      <w:pPr>
        <w:pStyle w:val="Heading4"/>
      </w:pPr>
      <w:r>
        <w:t xml:space="preserve">3.4.1 HMIS Accuracy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NFR-HC-009, BR-HMIS-001, BR-HMIS-002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TC-HMIS-001</w:t>
            </w:r>
          </w:p>
        </w:tc>
        <w:tc>
          <w:tcPr/>
          <w:p>
            <w:pPr>
              <w:pStyle w:val="Compact"/>
            </w:pPr>
            <w:r>
              <w:t xml:space="preserve">Record 10 OPD visits across 2 age groups and both sexes</w:t>
            </w:r>
          </w:p>
        </w:tc>
        <w:tc>
          <w:tcPr/>
          <w:p>
            <w:pPr>
              <w:pStyle w:val="Compact"/>
            </w:pPr>
            <w:r>
              <w:t xml:space="preserve">HMIS 105 Section 1 tallies match recorded visits by age group and sex without manual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TC-HMIS-002</w:t>
            </w:r>
          </w:p>
        </w:tc>
        <w:tc>
          <w:tcPr/>
          <w:p>
            <w:pPr>
              <w:pStyle w:val="Compact"/>
            </w:pPr>
            <w:r>
              <w:t xml:space="preserve">Record 5 lab tests of different types</w:t>
            </w:r>
          </w:p>
        </w:tc>
        <w:tc>
          <w:tcPr/>
          <w:p>
            <w:pPr>
              <w:pStyle w:val="Compact"/>
            </w:pPr>
            <w:r>
              <w:t xml:space="preserve">HMIS 105 Section 2 tallies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TC-HMIS-003</w:t>
            </w:r>
          </w:p>
        </w:tc>
        <w:tc>
          <w:tcPr/>
          <w:p>
            <w:pPr>
              <w:pStyle w:val="Compact"/>
            </w:pPr>
            <w:r>
              <w:t xml:space="preserve">Cross-validate auto-tallied data against manual count</w:t>
            </w:r>
          </w:p>
        </w:tc>
        <w:tc>
          <w:tcPr/>
          <w:p>
            <w:pPr>
              <w:pStyle w:val="Compact"/>
            </w:pPr>
            <w:r>
              <w:t xml:space="preserve">Zero discrepancies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TC-HMIS-004</w:t>
            </w:r>
          </w:p>
        </w:tc>
        <w:tc>
          <w:tcPr/>
          <w:p>
            <w:pPr>
              <w:pStyle w:val="Compact"/>
            </w:pPr>
            <w:r>
              <w:t xml:space="preserve">HMIS 108 inpatient data auto-population</w:t>
            </w:r>
          </w:p>
        </w:tc>
        <w:tc>
          <w:tcPr/>
          <w:p>
            <w:pPr>
              <w:pStyle w:val="Compact"/>
            </w:pPr>
            <w:r>
              <w:t xml:space="preserve">Admissions, discharges, deaths match recorded data</w:t>
            </w:r>
          </w:p>
        </w:tc>
      </w:tr>
    </w:tbl>
    <w:bookmarkEnd w:id="48"/>
    <w:bookmarkStart w:id="49" w:name="X001da66e4ae8dbfd06bacd018471dd71496740d"/>
    <w:p>
      <w:pPr>
        <w:pStyle w:val="Heading4"/>
      </w:pPr>
      <w:r>
        <w:t xml:space="preserve">3.4.2 DHIS2 Export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BR-HMIS-004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TC-DHIS-001</w:t>
            </w:r>
          </w:p>
        </w:tc>
        <w:tc>
          <w:tcPr/>
          <w:p>
            <w:pPr>
              <w:pStyle w:val="Compact"/>
            </w:pPr>
            <w:r>
              <w:t xml:space="preserve">Export HMIS 105 to DHIS2 format</w:t>
            </w:r>
          </w:p>
        </w:tc>
        <w:tc>
          <w:tcPr/>
          <w:p>
            <w:pPr>
              <w:pStyle w:val="Compact"/>
            </w:pPr>
            <w:r>
              <w:t xml:space="preserve">Output file validates against Uganda eHMIS data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TC-DHIS-002</w:t>
            </w:r>
          </w:p>
        </w:tc>
        <w:tc>
          <w:tcPr/>
          <w:p>
            <w:pPr>
              <w:pStyle w:val="Compact"/>
            </w:pPr>
            <w:r>
              <w:t xml:space="preserve">API push to DHIS2 test instance</w:t>
            </w:r>
          </w:p>
        </w:tc>
        <w:tc>
          <w:tcPr/>
          <w:p>
            <w:pPr>
              <w:pStyle w:val="Compact"/>
            </w:pPr>
            <w:r>
              <w:t xml:space="preserve">Successful submission; reporting period marked as "submitted"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TC-DHIS-003</w:t>
            </w:r>
          </w:p>
        </w:tc>
        <w:tc>
          <w:tcPr/>
          <w:p>
            <w:pPr>
              <w:pStyle w:val="Compact"/>
            </w:pPr>
            <w:r>
              <w:t xml:space="preserve">Export with no internet</w:t>
            </w:r>
          </w:p>
        </w:tc>
        <w:tc>
          <w:tcPr/>
          <w:p>
            <w:pPr>
              <w:pStyle w:val="Compact"/>
            </w:pPr>
            <w:r>
              <w:t xml:space="preserve">System queues export; submits when connectivity resumes</w:t>
            </w:r>
          </w:p>
        </w:tc>
      </w:tr>
    </w:tbl>
    <w:bookmarkEnd w:id="49"/>
    <w:bookmarkStart w:id="50" w:name="Xee8c40ece1875e3b3f29f11403f36cd70c8a683"/>
    <w:p>
      <w:pPr>
        <w:pStyle w:val="Heading4"/>
      </w:pPr>
      <w:r>
        <w:t xml:space="preserve">3.4.3 PDPA 2019 Compliance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NFR-HC-008, NFR-HC-001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TC-PDPA-001</w:t>
            </w:r>
          </w:p>
        </w:tc>
        <w:tc>
          <w:tcPr/>
          <w:p>
            <w:pPr>
              <w:pStyle w:val="Compact"/>
            </w:pPr>
            <w:r>
              <w:t xml:space="preserve">Patient consent not given for data processing</w:t>
            </w:r>
          </w:p>
        </w:tc>
        <w:tc>
          <w:tcPr/>
          <w:p>
            <w:pPr>
              <w:pStyle w:val="Compact"/>
            </w:pPr>
            <w:r>
              <w:t xml:space="preserve">System blocks data processing for that patient; displays consent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TC-PDPA-002</w:t>
            </w:r>
          </w:p>
        </w:tc>
        <w:tc>
          <w:tcPr/>
          <w:p>
            <w:pPr>
              <w:pStyle w:val="Compact"/>
            </w:pPr>
            <w:r>
              <w:t xml:space="preserve">Data retention period (10 years) enforced</w:t>
            </w:r>
          </w:p>
        </w:tc>
        <w:tc>
          <w:tcPr/>
          <w:p>
            <w:pPr>
              <w:pStyle w:val="Compact"/>
            </w:pPr>
            <w:r>
              <w:t xml:space="preserve">Attempt to delete record within retention period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TC-PDPA-003</w:t>
            </w:r>
          </w:p>
        </w:tc>
        <w:tc>
          <w:tcPr/>
          <w:p>
            <w:pPr>
              <w:pStyle w:val="Compact"/>
            </w:pPr>
            <w:r>
              <w:t xml:space="preserve">Breach notification tooling</w:t>
            </w:r>
          </w:p>
        </w:tc>
        <w:tc>
          <w:tcPr/>
          <w:p>
            <w:pPr>
              <w:pStyle w:val="Compact"/>
            </w:pPr>
            <w:r>
              <w:t xml:space="preserve">Breach impact report generated within 4 hours; lists affected patient count, data categories, timeline, facility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TC-PDPA-004</w:t>
            </w:r>
          </w:p>
        </w:tc>
        <w:tc>
          <w:tcPr/>
          <w:p>
            <w:pPr>
              <w:pStyle w:val="Compact"/>
            </w:pPr>
            <w:r>
              <w:t xml:space="preserve">SMS notification drafts for affected patients</w:t>
            </w:r>
          </w:p>
        </w:tc>
        <w:tc>
          <w:tcPr/>
          <w:p>
            <w:pPr>
              <w:pStyle w:val="Compact"/>
            </w:pPr>
            <w:r>
              <w:t xml:space="preserve">System generates SMS drafts for all affected patients</w:t>
            </w:r>
          </w:p>
        </w:tc>
      </w:tr>
    </w:tbl>
    <w:bookmarkEnd w:id="50"/>
    <w:bookmarkStart w:id="51" w:name="Xf223de73607c02a3da333ea94eabc44c4e7530e"/>
    <w:p>
      <w:pPr>
        <w:pStyle w:val="Heading4"/>
      </w:pPr>
      <w:r>
        <w:t xml:space="preserve">3.4.4 HIV Record Access Control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TC-HIV-001</w:t>
            </w:r>
          </w:p>
        </w:tc>
        <w:tc>
          <w:tcPr/>
          <w:p>
            <w:pPr>
              <w:pStyle w:val="Compact"/>
            </w:pPr>
            <w:r>
              <w:t xml:space="preserve">Clinician without "sensitive record" permission views patient</w:t>
            </w:r>
          </w:p>
        </w:tc>
        <w:tc>
          <w:tcPr/>
          <w:p>
            <w:pPr>
              <w:pStyle w:val="Compact"/>
            </w:pPr>
            <w:r>
              <w:t xml:space="preserve">HIV status displays "[Restricted]"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TC-HIV-002</w:t>
            </w:r>
          </w:p>
        </w:tc>
        <w:tc>
          <w:tcPr/>
          <w:p>
            <w:pPr>
              <w:pStyle w:val="Compact"/>
            </w:pPr>
            <w:r>
              <w:t xml:space="preserve">Clinician with permission and active treatment relationship</w:t>
            </w:r>
          </w:p>
        </w:tc>
        <w:tc>
          <w:tcPr/>
          <w:p>
            <w:pPr>
              <w:pStyle w:val="Compact"/>
            </w:pPr>
            <w:r>
              <w:t xml:space="preserve">HIV status value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TC-HIV-003</w:t>
            </w:r>
          </w:p>
        </w:tc>
        <w:tc>
          <w:tcPr/>
          <w:p>
            <w:pPr>
              <w:pStyle w:val="Compact"/>
            </w:pPr>
            <w:r>
              <w:t xml:space="preserve">Denied and granted access logged</w:t>
            </w:r>
          </w:p>
        </w:tc>
        <w:tc>
          <w:tcPr/>
          <w:p>
            <w:pPr>
              <w:pStyle w:val="Compact"/>
            </w:pPr>
            <w:r>
              <w:t xml:space="preserve">Audit log contains entries for both outcomes with user ID, timestamp, facility, access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TC-HIV-004</w:t>
            </w:r>
          </w:p>
        </w:tc>
        <w:tc>
          <w:tcPr/>
          <w:p>
            <w:pPr>
              <w:pStyle w:val="Compact"/>
            </w:pPr>
            <w:r>
              <w:t xml:space="preserve">"Break the glass" emergency access</w:t>
            </w:r>
          </w:p>
        </w:tc>
        <w:tc>
          <w:tcPr/>
          <w:p>
            <w:pPr>
              <w:pStyle w:val="Compact"/>
            </w:pPr>
            <w:r>
              <w:t xml:space="preserve">Access granted for 24 hours; patient receives SMS within 60 seconds; access expires after 24 hours</w:t>
            </w:r>
          </w:p>
        </w:tc>
      </w:tr>
    </w:tbl>
    <w:bookmarkEnd w:id="51"/>
    <w:bookmarkEnd w:id="52"/>
    <w:bookmarkStart w:id="53" w:name="Xcece86e74a2f3b06226537120a26d38367b0759"/>
    <w:p>
      <w:pPr>
        <w:pStyle w:val="Heading3"/>
      </w:pPr>
      <w:r>
        <w:t xml:space="preserve">3.5 Performance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NFR-HC-006, NFR-HC-017, quality_standards.md Section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TC-PERF-001</w:t>
            </w:r>
          </w:p>
        </w:tc>
        <w:tc>
          <w:tcPr/>
          <w:p>
            <w:pPr>
              <w:pStyle w:val="Compact"/>
            </w:pPr>
            <w:r>
              <w:t xml:space="preserve">API response time under normal load</w:t>
            </w:r>
          </w:p>
        </w:tc>
        <w:tc>
          <w:tcPr/>
          <w:p>
            <w:pPr>
              <w:pStyle w:val="Compact"/>
            </w:pPr>
            <w:r>
              <w:t xml:space="preserve">P95 &lt; 500 ms at 50 concurrent users per facility</w:t>
            </w:r>
          </w:p>
        </w:tc>
        <w:tc>
          <w:tcPr/>
          <w:p>
            <w:pPr>
              <w:pStyle w:val="Compact"/>
            </w:pPr>
            <w:r>
              <w:t xml:space="preserve">k6 / Locust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TC-PERF-002</w:t>
            </w:r>
          </w:p>
        </w:tc>
        <w:tc>
          <w:tcPr/>
          <w:p>
            <w:pPr>
              <w:pStyle w:val="Compact"/>
            </w:pPr>
            <w:r>
              <w:t xml:space="preserve">Web page load time</w:t>
            </w:r>
          </w:p>
        </w:tc>
        <w:tc>
          <w:tcPr/>
          <w:p>
            <w:pPr>
              <w:pStyle w:val="Compact"/>
            </w:pPr>
            <w:r>
              <w:t xml:space="preserve">&lt; 2 seconds on 1 Mbps connection</w:t>
            </w:r>
          </w:p>
        </w:tc>
        <w:tc>
          <w:tcPr/>
          <w:p>
            <w:pPr>
              <w:pStyle w:val="Compact"/>
            </w:pPr>
            <w:r>
              <w:t xml:space="preserve">Lighthouse / WebPageTest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TC-PERF-003</w:t>
            </w:r>
          </w:p>
        </w:tc>
        <w:tc>
          <w:tcPr/>
          <w:p>
            <w:pPr>
              <w:pStyle w:val="Compact"/>
            </w:pPr>
            <w:r>
              <w:t xml:space="preserve">Database query execution time</w:t>
            </w:r>
          </w:p>
        </w:tc>
        <w:tc>
          <w:tcPr/>
          <w:p>
            <w:pPr>
              <w:pStyle w:val="Compact"/>
            </w:pPr>
            <w:r>
              <w:t xml:space="preserve">P95 &lt; 200 ms for single-record retrieval</w:t>
            </w:r>
          </w:p>
        </w:tc>
        <w:tc>
          <w:tcPr/>
          <w:p>
            <w:pPr>
              <w:pStyle w:val="Compact"/>
            </w:pPr>
            <w:r>
              <w:t xml:space="preserve">MySQL slow query log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TC-PERF-004</w:t>
            </w:r>
          </w:p>
        </w:tc>
        <w:tc>
          <w:tcPr/>
          <w:p>
            <w:pPr>
              <w:pStyle w:val="Compact"/>
            </w:pPr>
            <w:r>
              <w:t xml:space="preserve">Android cold start time</w:t>
            </w:r>
          </w:p>
        </w:tc>
        <w:tc>
          <w:tcPr/>
          <w:p>
            <w:pPr>
              <w:pStyle w:val="Compact"/>
            </w:pPr>
            <w:r>
              <w:t xml:space="preserve">&lt; 3 seconds on 1 GB RAM device (Android 7.0)</w:t>
            </w:r>
          </w:p>
        </w:tc>
        <w:tc>
          <w:tcPr/>
          <w:p>
            <w:pPr>
              <w:pStyle w:val="Compact"/>
            </w:pPr>
            <w:r>
              <w:t xml:space="preserve">Android Studio profiler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TC-PERF-005</w:t>
            </w:r>
          </w:p>
        </w:tc>
        <w:tc>
          <w:tcPr/>
          <w:p>
            <w:pPr>
              <w:pStyle w:val="Compact"/>
            </w:pPr>
            <w:r>
              <w:t xml:space="preserve">iOS cold start time</w:t>
            </w:r>
          </w:p>
        </w:tc>
        <w:tc>
          <w:tcPr/>
          <w:p>
            <w:pPr>
              <w:pStyle w:val="Compact"/>
            </w:pPr>
            <w:r>
              <w:t xml:space="preserve">&lt; 3 seconds on minimum supported device (iOS 15.0)</w:t>
            </w:r>
          </w:p>
        </w:tc>
        <w:tc>
          <w:tcPr/>
          <w:p>
            <w:pPr>
              <w:pStyle w:val="Compact"/>
            </w:pPr>
            <w:r>
              <w:t xml:space="preserve">Xcode Instruments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TC-PERF-006</w:t>
            </w:r>
          </w:p>
        </w:tc>
        <w:tc>
          <w:tcPr/>
          <w:p>
            <w:pPr>
              <w:pStyle w:val="Compact"/>
            </w:pPr>
            <w:r>
              <w:t xml:space="preserve">APK + initial data size</w:t>
            </w:r>
          </w:p>
        </w:tc>
        <w:tc>
          <w:tcPr/>
          <w:p>
            <w:pPr>
              <w:pStyle w:val="Compact"/>
            </w:pPr>
            <w:r>
              <w:t xml:space="preserve">&lt; 50 MB</w:t>
            </w:r>
          </w:p>
        </w:tc>
        <w:tc>
          <w:tcPr/>
          <w:p>
            <w:pPr>
              <w:pStyle w:val="Compact"/>
            </w:pPr>
            <w:r>
              <w:t xml:space="preserve">Build output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TC-PERF-007</w:t>
            </w:r>
          </w:p>
        </w:tc>
        <w:tc>
          <w:tcPr/>
          <w:p>
            <w:pPr>
              <w:pStyle w:val="Compact"/>
            </w:pPr>
            <w:r>
              <w:t xml:space="preserve">Data-lite mode on 64 Kbps</w:t>
            </w:r>
          </w:p>
        </w:tc>
        <w:tc>
          <w:tcPr/>
          <w:p>
            <w:pPr>
              <w:pStyle w:val="Compact"/>
            </w:pPr>
            <w:r>
              <w:t xml:space="preserve">Patient list loads, record opens, form submits without timeout</w:t>
            </w:r>
          </w:p>
        </w:tc>
        <w:tc>
          <w:tcPr/>
          <w:p>
            <w:pPr>
              <w:pStyle w:val="Compact"/>
            </w:pPr>
            <w:r>
              <w:t xml:space="preserve">Network throttling (Charles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TC-PERF-008</w:t>
            </w:r>
          </w:p>
        </w:tc>
        <w:tc>
          <w:tcPr/>
          <w:p>
            <w:pPr>
              <w:pStyle w:val="Compact"/>
            </w:pPr>
            <w:r>
              <w:t xml:space="preserve">Encrypted column query performance on Celeron-class CPU</w:t>
            </w:r>
          </w:p>
        </w:tc>
        <w:tc>
          <w:tcPr/>
          <w:p>
            <w:pPr>
              <w:pStyle w:val="Compact"/>
            </w:pPr>
            <w:r>
              <w:t xml:space="preserve">P95 &lt; 200 ms for single-record retrieval</w:t>
            </w:r>
          </w:p>
        </w:tc>
        <w:tc>
          <w:tcPr/>
          <w:p>
            <w:pPr>
              <w:pStyle w:val="Compact"/>
            </w:pPr>
            <w:r>
              <w:t xml:space="preserve">MySQL profiler on test hardware</w:t>
            </w:r>
          </w:p>
        </w:tc>
      </w:tr>
    </w:tbl>
    <w:bookmarkEnd w:id="53"/>
    <w:bookmarkStart w:id="54" w:name="Xa8f085ffc2bf2309b691d3dcb60c85fe3796a5b"/>
    <w:p>
      <w:pPr>
        <w:pStyle w:val="Heading3"/>
      </w:pPr>
      <w:r>
        <w:t xml:space="preserve">3.6 Offline and Sync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NFR-HC-013, NFR-HC-006, BR-DATA-003, BR-DATA-005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TC-OFF-001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register patient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TC-OFF-002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create OPD visit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TC-OFF-003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write prescription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TC-OFF-004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dispense drug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TC-OFF-005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enter lab result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TC-OFF-006</w:t>
            </w:r>
          </w:p>
        </w:tc>
        <w:tc>
          <w:tcPr/>
          <w:p>
            <w:pPr>
              <w:pStyle w:val="Compact"/>
            </w:pPr>
            <w:r>
              <w:t xml:space="preserve">Sync after reconnection</w:t>
            </w:r>
          </w:p>
        </w:tc>
        <w:tc>
          <w:tcPr/>
          <w:p>
            <w:pPr>
              <w:pStyle w:val="Compact"/>
            </w:pPr>
            <w:r>
              <w:t xml:space="preserve">All 5 queued records appear in server database within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TC-OFF-007</w:t>
            </w:r>
          </w:p>
        </w:tc>
        <w:tc>
          <w:tcPr/>
          <w:p>
            <w:pPr>
              <w:pStyle w:val="Compact"/>
            </w:pPr>
            <w:r>
              <w:t xml:space="preserve">Conflict resolution: clinical field edited on 2 offline workstations</w:t>
            </w:r>
          </w:p>
        </w:tc>
        <w:tc>
          <w:tcPr/>
          <w:p>
            <w:pPr>
              <w:pStyle w:val="Compact"/>
            </w:pPr>
            <w:r>
              <w:t xml:space="preserve">Both versions preserved side by side; flagged for clinician review; no clinical data silently overwritten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TC-OFF-008</w:t>
            </w:r>
          </w:p>
        </w:tc>
        <w:tc>
          <w:tcPr/>
          <w:p>
            <w:pPr>
              <w:pStyle w:val="Compact"/>
            </w:pPr>
            <w:r>
              <w:t xml:space="preserve">Conflict resolution: non-clinical field edited on 2 offline workstations</w:t>
            </w:r>
          </w:p>
        </w:tc>
        <w:tc>
          <w:tcPr/>
          <w:p>
            <w:pPr>
              <w:pStyle w:val="Compact"/>
            </w:pPr>
            <w:r>
              <w:t xml:space="preserve">Last-write-wins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TC-OFF-009</w:t>
            </w:r>
          </w:p>
        </w:tc>
        <w:tc>
          <w:tcPr/>
          <w:p>
            <w:pPr>
              <w:pStyle w:val="Compact"/>
            </w:pPr>
            <w:r>
              <w:t xml:space="preserve">72-hour offline queue</w:t>
            </w:r>
          </w:p>
        </w:tc>
        <w:tc>
          <w:tcPr/>
          <w:p>
            <w:pPr>
              <w:pStyle w:val="Compact"/>
            </w:pPr>
            <w:r>
              <w:t xml:space="preserve">Queue data for 72 hours of clinical operations without data loss; sync all records after reconnection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TC-OFF-010</w:t>
            </w:r>
          </w:p>
        </w:tc>
        <w:tc>
          <w:tcPr/>
          <w:p>
            <w:pPr>
              <w:pStyle w:val="Compact"/>
            </w:pPr>
            <w:r>
              <w:t xml:space="preserve">Generator-aware sync: power restoration detected</w:t>
            </w:r>
          </w:p>
        </w:tc>
        <w:tc>
          <w:tcPr/>
          <w:p>
            <w:pPr>
              <w:pStyle w:val="Compact"/>
            </w:pPr>
            <w:r>
              <w:t xml:space="preserve">System immediately initiates sync of offline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Xe174e6e6f39251185efa05df1880daf411ebd0d"/>
    <w:p>
      <w:pPr>
        <w:pStyle w:val="Heading2"/>
      </w:pPr>
      <w:r>
        <w:t xml:space="preserve">4 Test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Unit tests, rapid feedback</w:t>
            </w:r>
          </w:p>
        </w:tc>
        <w:tc>
          <w:tcPr/>
          <w:p>
            <w:pPr>
              <w:pStyle w:val="Compact"/>
            </w:pPr>
            <w:r>
              <w:t xml:space="preserve">SQLite in-memory (unit tests) / MySQL 8.x Docker (integration)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Developer workstation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(GitHub Actions)</w:t>
            </w:r>
          </w:p>
        </w:tc>
        <w:tc>
          <w:tcPr/>
          <w:p>
            <w:pPr>
              <w:pStyle w:val="Compact"/>
            </w:pPr>
            <w:r>
              <w:t xml:space="preserve">Automated test suite on every push</w:t>
            </w:r>
          </w:p>
        </w:tc>
        <w:tc>
          <w:tcPr/>
          <w:p>
            <w:pPr>
              <w:pStyle w:val="Compact"/>
            </w:pPr>
            <w:r>
              <w:t xml:space="preserve">MySQL 8.x in Docker container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Automated, triggered by git push/PR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E2E tests, performance tests, security tests</w:t>
            </w:r>
          </w:p>
        </w:tc>
        <w:tc>
          <w:tcPr/>
          <w:p>
            <w:pPr>
              <w:pStyle w:val="Compact"/>
            </w:pPr>
            <w:r>
              <w:t xml:space="preserve">MySQL 8.x, production-mirror schema and sample data</w:t>
            </w:r>
          </w:p>
        </w:tc>
        <w:tc>
          <w:tcPr/>
          <w:p>
            <w:pPr>
              <w:pStyle w:val="Compact"/>
            </w:pPr>
            <w:r>
              <w:t xml:space="preserve">Cloud-hosted, throttleable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Facility pilot testing, clinical workflow validation</w:t>
            </w:r>
          </w:p>
        </w:tc>
        <w:tc>
          <w:tcPr/>
          <w:p>
            <w:pPr>
              <w:pStyle w:val="Compact"/>
            </w:pPr>
            <w:r>
              <w:t xml:space="preserve">MySQL 8.x, production-mirror with anonymised data</w:t>
            </w:r>
          </w:p>
        </w:tc>
        <w:tc>
          <w:tcPr/>
          <w:p>
            <w:pPr>
              <w:pStyle w:val="Compact"/>
            </w:pPr>
            <w:r>
              <w:t xml:space="preserve">Production-equivalent</w:t>
            </w:r>
          </w:p>
        </w:tc>
        <w:tc>
          <w:tcPr/>
          <w:p>
            <w:pPr>
              <w:pStyle w:val="Compact"/>
            </w:pPr>
            <w:r>
              <w:t xml:space="preserve">3 pilot facilities (Tororo, Kasanje, 1 additional)</w:t>
            </w:r>
          </w:p>
        </w:tc>
      </w:tr>
    </w:tbl>
    <w:bookmarkStart w:id="56" w:name="X30826e574be726bec45e99d07035ea79d49f479"/>
    <w:p>
      <w:pPr>
        <w:pStyle w:val="Heading3"/>
      </w:pPr>
      <w:r>
        <w:t xml:space="preserve">4.1 Environment Configuration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Staging</w:t>
      </w:r>
      <w:r>
        <w:t xml:space="preserve"> </w:t>
      </w:r>
      <w:r>
        <w:t xml:space="preserve">shall mirror production in: MySQL version, PHP version, server OS, Nginx configuration, SSL/TLS settings, and encryption-at-rest configuration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UAT</w:t>
      </w:r>
      <w:r>
        <w:t xml:space="preserve"> </w:t>
      </w:r>
      <w:r>
        <w:t xml:space="preserve">shall run on hardware equivalent to the lowest-specification facility deployment target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shall execute the full unit and integration test suite in under 10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development environment shall support running all unit tests without Docker or network access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ccefee6d9777845b5e702f5851f451a8950efd5"/>
    <w:p>
      <w:pPr>
        <w:pStyle w:val="Heading2"/>
      </w:pPr>
      <w:r>
        <w:t xml:space="preserve">5 Test Data Management</w:t>
      </w:r>
    </w:p>
    <w:bookmarkStart w:id="58" w:name="X0e6ab02195692384051e3b8cf1da84a54dfe232"/>
    <w:p>
      <w:pPr>
        <w:pStyle w:val="Heading3"/>
      </w:pPr>
      <w:r>
        <w:t xml:space="preserve">5.1 Test Data Generation</w:t>
      </w:r>
    </w:p>
    <w:p>
      <w:pPr>
        <w:pStyle w:val="Compact"/>
        <w:numPr>
          <w:ilvl w:val="0"/>
          <w:numId w:val="1007"/>
        </w:numPr>
      </w:pPr>
      <w:r>
        <w:t xml:space="preserve">Laravel model factories shall exist for every Eloquent model in the system</w:t>
      </w:r>
    </w:p>
    <w:p>
      <w:pPr>
        <w:pStyle w:val="Compact"/>
        <w:numPr>
          <w:ilvl w:val="0"/>
          <w:numId w:val="1007"/>
        </w:numPr>
      </w:pPr>
      <w:r>
        <w:t xml:space="preserve">Factories shall produce valid, internally consistent data that passes all validation rules</w:t>
      </w:r>
    </w:p>
    <w:p>
      <w:pPr>
        <w:pStyle w:val="Compact"/>
        <w:numPr>
          <w:ilvl w:val="0"/>
          <w:numId w:val="1007"/>
        </w:numPr>
      </w:pPr>
      <w:r>
        <w:t xml:space="preserve">Seeder shall generate: 10 facilities (tenants), 100 patients per facility, 500 OPD encounters, 300 lab requests with results, 400 prescriptions with dispensing records, 200 billing transactions</w:t>
      </w:r>
    </w:p>
    <w:p>
      <w:pPr>
        <w:pStyle w:val="Compact"/>
        <w:numPr>
          <w:ilvl w:val="0"/>
          <w:numId w:val="1007"/>
        </w:numPr>
      </w:pPr>
      <w:r>
        <w:t xml:space="preserve">Every factory-generated patient shall have: name, sex, age/DOB, at least 1 contact method, and a facility assignment</w:t>
      </w:r>
    </w:p>
    <w:bookmarkEnd w:id="58"/>
    <w:bookmarkStart w:id="59" w:name="X91222745e66c7ec86656e5ac27441b5539a9345"/>
    <w:p>
      <w:pPr>
        <w:pStyle w:val="Heading3"/>
      </w:pPr>
      <w:r>
        <w:t xml:space="preserve">5.2 PHI Masking</w:t>
      </w:r>
    </w:p>
    <w:p>
      <w:pPr>
        <w:pStyle w:val="Compact"/>
        <w:numPr>
          <w:ilvl w:val="0"/>
          <w:numId w:val="1008"/>
        </w:numPr>
      </w:pPr>
      <w:r>
        <w:t xml:space="preserve">Test data shall never contain real patient information</w:t>
      </w:r>
    </w:p>
    <w:p>
      <w:pPr>
        <w:pStyle w:val="Compact"/>
        <w:numPr>
          <w:ilvl w:val="0"/>
          <w:numId w:val="1008"/>
        </w:numPr>
      </w:pPr>
      <w:r>
        <w:t xml:space="preserve">Patient names shall be generated using Faker library with African naming locale</w:t>
      </w:r>
    </w:p>
    <w:p>
      <w:pPr>
        <w:pStyle w:val="Compact"/>
        <w:numPr>
          <w:ilvl w:val="0"/>
          <w:numId w:val="1008"/>
        </w:numPr>
      </w:pPr>
      <w:r>
        <w:t xml:space="preserve">NIN, phone numbers, and addresses shall be synthetically generated</w:t>
      </w:r>
    </w:p>
    <w:p>
      <w:pPr>
        <w:pStyle w:val="Compact"/>
        <w:numPr>
          <w:ilvl w:val="0"/>
          <w:numId w:val="1008"/>
        </w:numPr>
      </w:pPr>
      <w:r>
        <w:t xml:space="preserve">Any dataset imported from a real facility for UAT shall be anonymised using a documented de-identification procedure before import</w:t>
      </w:r>
    </w:p>
    <w:bookmarkEnd w:id="59"/>
    <w:bookmarkStart w:id="60" w:name="Xa4ad4b62e0e5e8370267a9e0ddba7d99cdc57f2"/>
    <w:p>
      <w:pPr>
        <w:pStyle w:val="Heading3"/>
      </w:pPr>
      <w:r>
        <w:t xml:space="preserve">5.3 Tenant-Aware Testing</w:t>
      </w:r>
    </w:p>
    <w:p>
      <w:pPr>
        <w:pStyle w:val="Compact"/>
        <w:numPr>
          <w:ilvl w:val="0"/>
          <w:numId w:val="1009"/>
        </w:numPr>
      </w:pPr>
      <w:r>
        <w:t xml:space="preserve">Every test shall execute within an explicit facility context</w:t>
      </w:r>
    </w:p>
    <w:p>
      <w:pPr>
        <w:pStyle w:val="Compact"/>
        <w:numPr>
          <w:ilvl w:val="0"/>
          <w:numId w:val="1009"/>
        </w:numPr>
      </w:pPr>
      <w:r>
        <w:t xml:space="preserve">Tests that verify tenant isolation shall operate across 2 or more facility contexts</w:t>
      </w:r>
    </w:p>
    <w:p>
      <w:pPr>
        <w:pStyle w:val="Compact"/>
        <w:numPr>
          <w:ilvl w:val="0"/>
          <w:numId w:val="1009"/>
        </w:numPr>
      </w:pPr>
      <w:r>
        <w:t xml:space="preserve">Test setup shall create a fresh facility tenant and tear it down after the test class completes</w:t>
      </w:r>
    </w:p>
    <w:p>
      <w:pPr>
        <w:pStyle w:val="Compact"/>
        <w:numPr>
          <w:ilvl w:val="0"/>
          <w:numId w:val="1009"/>
        </w:numPr>
      </w:pPr>
      <w:r>
        <w:t xml:space="preserve">No test shall depend on the state of another test's facility</w:t>
      </w:r>
    </w:p>
    <w:bookmarkEnd w:id="60"/>
    <w:bookmarkStart w:id="61" w:name="Xcf0d6c5b5007305df6ca2fa8162208c3dafa550"/>
    <w:p>
      <w:pPr>
        <w:pStyle w:val="Heading3"/>
      </w:pPr>
      <w:r>
        <w:t xml:space="preserve">5.4 CDS Test Data</w:t>
      </w:r>
    </w:p>
    <w:p>
      <w:pPr>
        <w:pStyle w:val="Compact"/>
        <w:numPr>
          <w:ilvl w:val="0"/>
          <w:numId w:val="1010"/>
        </w:numPr>
      </w:pPr>
      <w:r>
        <w:t xml:space="preserve">A dedicated drug interaction test dataset shall contain known drug pairs for all 4 severity tiers</w:t>
      </w:r>
    </w:p>
    <w:p>
      <w:pPr>
        <w:pStyle w:val="Compact"/>
        <w:numPr>
          <w:ilvl w:val="0"/>
          <w:numId w:val="1010"/>
        </w:numPr>
      </w:pPr>
      <w:r>
        <w:t xml:space="preserve">A paediatric dosing test dataset shall contain drugs with known mg/kg doses, adult ceiling doses, and expected calculated doses for test patient weights</w:t>
      </w:r>
    </w:p>
    <w:p>
      <w:pPr>
        <w:pStyle w:val="Compact"/>
        <w:numPr>
          <w:ilvl w:val="0"/>
          <w:numId w:val="1010"/>
        </w:numPr>
      </w:pPr>
      <w:r>
        <w:t xml:space="preserve">A critical value test dataset shall contain lab analytes with known panic thresholds (e.g., potassium &gt; 6.5 mmol/L, glucose &lt; 2.5 mmol/L)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8fdb606fe474c89afd089b3e2d86c4db7c0ba1e"/>
    <w:p>
      <w:pPr>
        <w:pStyle w:val="Heading2"/>
      </w:pPr>
      <w:r>
        <w:t xml:space="preserve">6 Defect Management</w:t>
      </w:r>
    </w:p>
    <w:bookmarkStart w:id="63" w:name="Xb4be62553d01e17001a593e6be931c457900fd6"/>
    <w:p>
      <w:pPr>
        <w:pStyle w:val="Heading3"/>
      </w:pPr>
      <w:r>
        <w:t xml:space="preserve">6.1 Severity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(S1)</w:t>
            </w:r>
          </w:p>
        </w:tc>
        <w:tc>
          <w:tcPr/>
          <w:p>
            <w:pPr>
              <w:pStyle w:val="Compact"/>
            </w:pPr>
            <w:r>
              <w:t xml:space="preserve">Patient safety risk or system-wide outage</w:t>
            </w:r>
          </w:p>
        </w:tc>
        <w:tc>
          <w:tcPr/>
          <w:p>
            <w:pPr>
              <w:pStyle w:val="Compact"/>
            </w:pPr>
            <w:r>
              <w:t xml:space="preserve">CDS alert not firing, paediatric dosing miscalculation, tenant data leakage, audit trail modifiable</w:t>
            </w:r>
          </w:p>
        </w:tc>
        <w:tc>
          <w:tcPr/>
          <w:p>
            <w:pPr>
              <w:pStyle w:val="Compact"/>
            </w:pPr>
            <w:r>
              <w:t xml:space="preserve">Immediate fix; blocks release; root cause analysis 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(S2)</w:t>
            </w:r>
          </w:p>
        </w:tc>
        <w:tc>
          <w:tcPr/>
          <w:p>
            <w:pPr>
              <w:pStyle w:val="Compact"/>
            </w:pPr>
            <w:r>
              <w:t xml:space="preserve">Data loss, data corruption, or major functional failure</w:t>
            </w:r>
          </w:p>
        </w:tc>
        <w:tc>
          <w:tcPr/>
          <w:p>
            <w:pPr>
              <w:pStyle w:val="Compact"/>
            </w:pPr>
            <w:r>
              <w:t xml:space="preserve">Offline sync data loss, billing miscalculation, EMPI false negative (missed duplicate), HMIS miscount</w:t>
            </w:r>
          </w:p>
        </w:tc>
        <w:tc>
          <w:tcPr/>
          <w:p>
            <w:pPr>
              <w:pStyle w:val="Compact"/>
            </w:pPr>
            <w:r>
              <w:t xml:space="preserve">Fix within 24 hours; blocks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(S3)</w:t>
            </w:r>
          </w:p>
        </w:tc>
        <w:tc>
          <w:tcPr/>
          <w:p>
            <w:pPr>
              <w:pStyle w:val="Compact"/>
            </w:pPr>
            <w:r>
              <w:t xml:space="preserve">Functional defect with workaround available</w:t>
            </w:r>
          </w:p>
        </w:tc>
        <w:tc>
          <w:tcPr/>
          <w:p>
            <w:pPr>
              <w:pStyle w:val="Compact"/>
            </w:pPr>
            <w:r>
              <w:t xml:space="preserve">Appointment booking error with manual workaround, report formatting issue</w:t>
            </w:r>
          </w:p>
        </w:tc>
        <w:tc>
          <w:tcPr/>
          <w:p>
            <w:pPr>
              <w:pStyle w:val="Compact"/>
            </w:pPr>
            <w:r>
              <w:t xml:space="preserve">Fix within current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(S4)</w:t>
            </w:r>
          </w:p>
        </w:tc>
        <w:tc>
          <w:tcPr/>
          <w:p>
            <w:pPr>
              <w:pStyle w:val="Compact"/>
            </w:pPr>
            <w:r>
              <w:t xml:space="preserve">Cosmetic or minor usability issue</w:t>
            </w:r>
          </w:p>
        </w:tc>
        <w:tc>
          <w:tcPr/>
          <w:p>
            <w:pPr>
              <w:pStyle w:val="Compact"/>
            </w:pPr>
            <w:r>
              <w:t xml:space="preserve">Misaligned label, spelling error, icon inconsistency</w:t>
            </w:r>
          </w:p>
        </w:tc>
        <w:tc>
          <w:tcPr/>
          <w:p>
            <w:pPr>
              <w:pStyle w:val="Compact"/>
            </w:pPr>
            <w:r>
              <w:t xml:space="preserve">Fix when capacity allows</w:t>
            </w:r>
          </w:p>
        </w:tc>
      </w:tr>
    </w:tbl>
    <w:bookmarkEnd w:id="63"/>
    <w:bookmarkStart w:id="64" w:name="X8fc3dbcad634d5227b8e1b589648695cb82c766"/>
    <w:p>
      <w:pPr>
        <w:pStyle w:val="Heading3"/>
      </w:pPr>
      <w:r>
        <w:t xml:space="preserve">6.2 Clinical Safety Defect Protocol</w:t>
      </w:r>
    </w:p>
    <w:p>
      <w:pPr>
        <w:pStyle w:val="FirstParagraph"/>
      </w:pPr>
      <w:r>
        <w:t xml:space="preserve">All defects classified as Critical (S1) shall follow an enhanced resolution process:</w:t>
      </w:r>
    </w:p>
    <w:p>
      <w:pPr>
        <w:pStyle w:val="Compact"/>
        <w:numPr>
          <w:ilvl w:val="0"/>
          <w:numId w:val="1011"/>
        </w:numPr>
      </w:pPr>
      <w:r>
        <w:t xml:space="preserve">Defect reported with full reproduction steps, affected module, and patient safety impact assessment</w:t>
      </w:r>
    </w:p>
    <w:p>
      <w:pPr>
        <w:pStyle w:val="Compact"/>
        <w:numPr>
          <w:ilvl w:val="0"/>
          <w:numId w:val="1011"/>
        </w:numPr>
      </w:pPr>
      <w:r>
        <w:t xml:space="preserve">Development halted on non-critical work until fix is implemented</w:t>
      </w:r>
    </w:p>
    <w:p>
      <w:pPr>
        <w:pStyle w:val="Compact"/>
        <w:numPr>
          <w:ilvl w:val="0"/>
          <w:numId w:val="1011"/>
        </w:numPr>
      </w:pPr>
      <w:r>
        <w:t xml:space="preserve">Root cause analysis (RCA) completed and documented before the fix is merged</w:t>
      </w:r>
    </w:p>
    <w:p>
      <w:pPr>
        <w:pStyle w:val="Compact"/>
        <w:numPr>
          <w:ilvl w:val="0"/>
          <w:numId w:val="1011"/>
        </w:numPr>
      </w:pPr>
      <w:r>
        <w:t xml:space="preserve">Fix verified by a second reviewer (clinical advisor if available)</w:t>
      </w:r>
    </w:p>
    <w:p>
      <w:pPr>
        <w:pStyle w:val="Compact"/>
        <w:numPr>
          <w:ilvl w:val="0"/>
          <w:numId w:val="1011"/>
        </w:numPr>
      </w:pPr>
      <w:r>
        <w:t xml:space="preserve">Regression test added to the CDS test suite to prevent recurrence</w:t>
      </w:r>
    </w:p>
    <w:p>
      <w:pPr>
        <w:pStyle w:val="Compact"/>
        <w:numPr>
          <w:ilvl w:val="0"/>
          <w:numId w:val="1011"/>
        </w:numPr>
      </w:pPr>
      <w:r>
        <w:t xml:space="preserve">Post-incident report filed in the project safety register</w:t>
      </w:r>
    </w:p>
    <w:bookmarkEnd w:id="64"/>
    <w:bookmarkStart w:id="65" w:name="X53a927008e8fc4c413299333786101a2b6ba3a3"/>
    <w:p>
      <w:pPr>
        <w:pStyle w:val="Heading3"/>
      </w:pPr>
      <w:r>
        <w:t xml:space="preserve">6.3 Defect Tracking</w:t>
      </w:r>
    </w:p>
    <w:p>
      <w:pPr>
        <w:pStyle w:val="Compact"/>
        <w:numPr>
          <w:ilvl w:val="0"/>
          <w:numId w:val="1012"/>
        </w:numPr>
      </w:pPr>
      <w:r>
        <w:t xml:space="preserve">All defects tracked in GitHub Issues with severity label, module label, and phase label</w:t>
      </w:r>
    </w:p>
    <w:p>
      <w:pPr>
        <w:pStyle w:val="Compact"/>
        <w:numPr>
          <w:ilvl w:val="0"/>
          <w:numId w:val="1012"/>
        </w:numPr>
      </w:pPr>
      <w:r>
        <w:t xml:space="preserve">Critical and High defects assigned immediately upon creation</w:t>
      </w:r>
    </w:p>
    <w:p>
      <w:pPr>
        <w:pStyle w:val="Compact"/>
        <w:numPr>
          <w:ilvl w:val="0"/>
          <w:numId w:val="1012"/>
        </w:numPr>
      </w:pPr>
      <w:r>
        <w:t xml:space="preserve">Defect metrics reported weekly: open count by severity, mean time to resolution by severity, defect discovery rate by test phase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ddc5a9f3f66b7004405b26294886d2e97d47208"/>
    <w:p>
      <w:pPr>
        <w:pStyle w:val="Heading2"/>
      </w:pPr>
      <w:r>
        <w:t xml:space="preserve">7 Test Automation and CI/CD Integration</w:t>
      </w:r>
    </w:p>
    <w:bookmarkStart w:id="67" w:name="X735d88414ce84c1ac73d3ba3816b9e640377c14"/>
    <w:p>
      <w:pPr>
        <w:pStyle w:val="Heading3"/>
      </w:pPr>
      <w:r>
        <w:t xml:space="preserve">7.1 Continuous Integration Pipeline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Pre-commit:</w:t>
      </w:r>
      <w:r>
        <w:t xml:space="preserve"> </w:t>
      </w:r>
      <w:r>
        <w:t xml:space="preserve">Linting (PHP CS Fixer, ESLint), static analysis (PHPStan level 8), tenant isolation audit (raw SQL scan)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 push:</w:t>
      </w:r>
      <w:r>
        <w:t xml:space="preserve"> </w:t>
      </w:r>
      <w:r>
        <w:t xml:space="preserve">Unit tests (all), integration tests (all), code coverage report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 PR to main:</w:t>
      </w:r>
      <w:r>
        <w:t xml:space="preserve"> </w:t>
      </w:r>
      <w:r>
        <w:t xml:space="preserve">Full test suite including E2E smoke tests, security scanning (Snyk/Trivy), dependency vulnerability check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Pre-release:</w:t>
      </w:r>
      <w:r>
        <w:t xml:space="preserve"> </w:t>
      </w:r>
      <w:r>
        <w:t xml:space="preserve">Performance test suite, FHIR validation suite, HMIS accuracy validation</w:t>
      </w:r>
    </w:p>
    <w:bookmarkEnd w:id="67"/>
    <w:bookmarkStart w:id="68" w:name="X1c8426f829884e56d23927747b5ba4675b5a861"/>
    <w:p>
      <w:pPr>
        <w:pStyle w:val="Heading3"/>
      </w:pPr>
      <w:r>
        <w:t xml:space="preserve">7.2 Coverage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Minimum line coverage</w:t>
            </w:r>
          </w:p>
        </w:tc>
        <w:tc>
          <w:tcPr/>
          <w:p>
            <w:pPr>
              <w:pStyle w:val="Compact"/>
            </w:pPr>
            <w:r>
              <w:t xml:space="preserve">Minimum branch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(drug interactions, dosing, NEWS2)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and RBAC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financial calculations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registration and EMPI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other modules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68"/>
    <w:bookmarkStart w:id="69" w:name="X860fad1a267500a2904e191022f8872a7022e9f"/>
    <w:p>
      <w:pPr>
        <w:pStyle w:val="Heading3"/>
      </w:pPr>
      <w:r>
        <w:t xml:space="preserve">7.3 Test Reporting</w:t>
      </w:r>
    </w:p>
    <w:p>
      <w:pPr>
        <w:pStyle w:val="Compact"/>
        <w:numPr>
          <w:ilvl w:val="0"/>
          <w:numId w:val="1014"/>
        </w:numPr>
      </w:pPr>
      <w:r>
        <w:t xml:space="preserve">Test results published to GitHub Actions summary on every CI run</w:t>
      </w:r>
    </w:p>
    <w:p>
      <w:pPr>
        <w:pStyle w:val="Compact"/>
        <w:numPr>
          <w:ilvl w:val="0"/>
          <w:numId w:val="1014"/>
        </w:numPr>
      </w:pPr>
      <w:r>
        <w:t xml:space="preserve">Code coverage report generated via Xdebug/PCOV and published alongside test results</w:t>
      </w:r>
    </w:p>
    <w:p>
      <w:pPr>
        <w:pStyle w:val="Compact"/>
        <w:numPr>
          <w:ilvl w:val="0"/>
          <w:numId w:val="1014"/>
        </w:numPr>
      </w:pPr>
      <w:r>
        <w:t xml:space="preserve">Failing tests block PR merge</w:t>
      </w:r>
    </w:p>
    <w:p>
      <w:pPr>
        <w:pStyle w:val="Compact"/>
        <w:numPr>
          <w:ilvl w:val="0"/>
          <w:numId w:val="1014"/>
        </w:numPr>
      </w:pPr>
      <w:r>
        <w:t xml:space="preserve">Flaky test policy: a test that fails intermittently is treated as a defect and fixed within 48 hours; no test is permanently skipped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0ee3c2d9470c84c27342ca83eecc3e35e7157a2"/>
    <w:p>
      <w:pPr>
        <w:pStyle w:val="Heading2"/>
      </w:pPr>
      <w:r>
        <w:t xml:space="preserve">8 AI Intelligence Test Strategy</w:t>
      </w:r>
    </w:p>
    <w:bookmarkStart w:id="71" w:name="X949a7efed55c42b338e00a84a24e0f9d02acb4a"/>
    <w:p>
      <w:pPr>
        <w:pStyle w:val="Heading3"/>
      </w:pPr>
      <w:r>
        <w:t xml:space="preserve">8.1 Unit Testing</w:t>
      </w:r>
    </w:p>
    <w:p>
      <w:pPr>
        <w:pStyle w:val="Compact"/>
        <w:numPr>
          <w:ilvl w:val="0"/>
          <w:numId w:val="1015"/>
        </w:numPr>
      </w:pPr>
      <w:r>
        <w:t xml:space="preserve">Unit tests for all AI capabilities mock the</w:t>
      </w:r>
      <w:r>
        <w:t xml:space="preserve"> </w:t>
      </w:r>
      <w:r>
        <w:rPr>
          <w:rStyle w:val="VerbatimChar"/>
        </w:rPr>
        <w:t xml:space="preserve">AIProviderInterface</w:t>
      </w:r>
      <w:r>
        <w:t xml:space="preserve"> </w:t>
      </w:r>
      <w:r>
        <w:t xml:space="preserve">using a test double that returns a fixed response.</w:t>
      </w:r>
    </w:p>
    <w:p>
      <w:pPr>
        <w:pStyle w:val="Compact"/>
        <w:numPr>
          <w:ilvl w:val="0"/>
          <w:numId w:val="1015"/>
        </w:numPr>
      </w:pPr>
      <w:r>
        <w:t xml:space="preserve">The mock response matches the schema expected by the capability service.</w:t>
      </w:r>
    </w:p>
    <w:p>
      <w:pPr>
        <w:pStyle w:val="Compact"/>
        <w:numPr>
          <w:ilvl w:val="0"/>
          <w:numId w:val="1015"/>
        </w:numPr>
      </w:pPr>
      <w:r>
        <w:t xml:space="preserve">Unit tests MUST NOT call any live AI provider API.</w:t>
      </w:r>
    </w:p>
    <w:p>
      <w:pPr>
        <w:pStyle w:val="Compact"/>
        <w:numPr>
          <w:ilvl w:val="0"/>
          <w:numId w:val="1015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AICapabilityService::suggestICDCodes()</w:t>
      </w:r>
      <w:r>
        <w:t xml:space="preserve"> </w:t>
      </w:r>
      <w:r>
        <w:t xml:space="preserve">with mocked adapter returns</w:t>
      </w:r>
      <w:r>
        <w:t xml:space="preserve"> </w:t>
      </w:r>
      <w:r>
        <w:rPr>
          <w:rStyle w:val="VerbatimChar"/>
        </w:rPr>
        <w:t xml:space="preserve">ICDSuggestion[]</w:t>
      </w:r>
      <w:r>
        <w:t xml:space="preserve"> </w:t>
      </w:r>
      <w:r>
        <w:t xml:space="preserve">with at least one entry.</w:t>
      </w:r>
    </w:p>
    <w:bookmarkEnd w:id="71"/>
    <w:bookmarkStart w:id="72" w:name="Xd35d0abecf9c33ab84dea739a7eac9054b33700"/>
    <w:p>
      <w:pPr>
        <w:pStyle w:val="Heading3"/>
      </w:pPr>
      <w:r>
        <w:t xml:space="preserve">8.2 Integration Testing</w:t>
      </w:r>
    </w:p>
    <w:p>
      <w:pPr>
        <w:pStyle w:val="Compact"/>
        <w:numPr>
          <w:ilvl w:val="0"/>
          <w:numId w:val="1016"/>
        </w:numPr>
      </w:pPr>
      <w:r>
        <w:t xml:space="preserve">Integration tests use a sandbox API key for each configured provider (OpenAI, Anthropic, DeepSeek, Gemini) — never production keys.</w:t>
      </w:r>
    </w:p>
    <w:p>
      <w:pPr>
        <w:pStyle w:val="Compact"/>
        <w:numPr>
          <w:ilvl w:val="0"/>
          <w:numId w:val="1016"/>
        </w:numPr>
      </w:pPr>
      <w:r>
        <w:t xml:space="preserve">Sandbox keys are stored in</w:t>
      </w:r>
      <w:r>
        <w:t xml:space="preserve"> </w:t>
      </w:r>
      <w:r>
        <w:rPr>
          <w:rStyle w:val="VerbatimChar"/>
        </w:rPr>
        <w:t xml:space="preserve">.env.testing</w:t>
      </w:r>
      <w:r>
        <w:t xml:space="preserve">, never committed to version control.</w:t>
      </w:r>
    </w:p>
    <w:p>
      <w:pPr>
        <w:pStyle w:val="Compact"/>
        <w:numPr>
          <w:ilvl w:val="0"/>
          <w:numId w:val="1016"/>
        </w:numPr>
      </w:pPr>
      <w:r>
        <w:t xml:space="preserve">Integration tests are tagged</w:t>
      </w:r>
      <w:r>
        <w:t xml:space="preserve"> </w:t>
      </w:r>
      <w:r>
        <w:rPr>
          <w:rStyle w:val="VerbatimChar"/>
        </w:rPr>
        <w:t xml:space="preserve">@integration</w:t>
      </w:r>
      <w:r>
        <w:t xml:space="preserve"> </w:t>
      </w:r>
      <w:r>
        <w:t xml:space="preserve">and excluded from the default</w:t>
      </w:r>
      <w:r>
        <w:t xml:space="preserve"> </w:t>
      </w:r>
      <w:r>
        <w:rPr>
          <w:rStyle w:val="VerbatimChar"/>
        </w:rPr>
        <w:t xml:space="preserve">phpunit</w:t>
      </w:r>
      <w:r>
        <w:t xml:space="preserve"> </w:t>
      </w:r>
      <w:r>
        <w:t xml:space="preserve">run; they are run separately in CI on a dedicated test stage.</w:t>
      </w:r>
    </w:p>
    <w:p>
      <w:pPr>
        <w:pStyle w:val="Compact"/>
        <w:numPr>
          <w:ilvl w:val="0"/>
          <w:numId w:val="1016"/>
        </w:numPr>
      </w:pPr>
      <w:r>
        <w:t xml:space="preserve">Integration test: call</w:t>
      </w:r>
      <w:r>
        <w:t xml:space="preserve"> </w:t>
      </w:r>
      <w:r>
        <w:rPr>
          <w:rStyle w:val="VerbatimChar"/>
        </w:rPr>
        <w:t xml:space="preserve">POST /api/v1/ai/icd-suggest</w:t>
      </w:r>
      <w:r>
        <w:t xml:space="preserve"> </w:t>
      </w:r>
      <w:r>
        <w:t xml:space="preserve">with real API key against sandbox; assert HTTP 200 and at least one ICD code suggestion returned.</w:t>
      </w:r>
    </w:p>
    <w:bookmarkEnd w:id="72"/>
    <w:bookmarkStart w:id="73" w:name="X6951edf21a273c8ef373e61c335d8051884128d"/>
    <w:p>
      <w:pPr>
        <w:pStyle w:val="Heading3"/>
      </w:pPr>
      <w:r>
        <w:t xml:space="preserve">8.3 Failover Testing</w:t>
      </w:r>
    </w:p>
    <w:p>
      <w:pPr>
        <w:pStyle w:val="Compact"/>
        <w:numPr>
          <w:ilvl w:val="0"/>
          <w:numId w:val="1017"/>
        </w:numPr>
      </w:pPr>
      <w:r>
        <w:t xml:space="preserve">Simulate primary provider timeout by injecting a mock adapter that sleeps &gt; 10 s.</w:t>
      </w:r>
    </w:p>
    <w:p>
      <w:pPr>
        <w:pStyle w:val="Compact"/>
        <w:numPr>
          <w:ilvl w:val="0"/>
          <w:numId w:val="1017"/>
        </w:numPr>
      </w:pPr>
      <w:r>
        <w:t xml:space="preserve">Assert that the secondary (failover) adapter is called within 12 s.</w:t>
      </w:r>
    </w:p>
    <w:p>
      <w:pPr>
        <w:pStyle w:val="Compact"/>
        <w:numPr>
          <w:ilvl w:val="0"/>
          <w:numId w:val="1017"/>
        </w:numPr>
      </w:pPr>
      <w:r>
        <w:t xml:space="preserve">Assert HTTP 503 is returned if both adapters are injected as timeout mocks.</w:t>
      </w:r>
    </w:p>
    <w:p>
      <w:pPr>
        <w:pStyle w:val="Compact"/>
        <w:numPr>
          <w:ilvl w:val="0"/>
          <w:numId w:val="1017"/>
        </w:numPr>
      </w:pPr>
      <w:r>
        <w:t xml:space="preserve">Assert</w:t>
      </w:r>
      <w:r>
        <w:t xml:space="preserve"> </w:t>
      </w:r>
      <w:r>
        <w:rPr>
          <w:rStyle w:val="VerbatimChar"/>
        </w:rPr>
        <w:t xml:space="preserve">was_failover =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when failover is triggered.</w:t>
      </w:r>
    </w:p>
    <w:bookmarkEnd w:id="73"/>
    <w:bookmarkStart w:id="74" w:name="X84f3ae77d8925f16ffb7a3f95f2fd5c120e3e93"/>
    <w:p>
      <w:pPr>
        <w:pStyle w:val="Heading3"/>
      </w:pPr>
      <w:r>
        <w:t xml:space="preserve">8.4 AI Safety Tests (non-negotiable)</w:t>
      </w:r>
    </w:p>
    <w:p>
      <w:pPr>
        <w:pStyle w:val="Compact"/>
        <w:numPr>
          <w:ilvl w:val="0"/>
          <w:numId w:val="1018"/>
        </w:numPr>
      </w:pPr>
      <w:r>
        <w:t xml:space="preserve">Test: call any AI clinical documentation endpoint WITHOUT the</w:t>
      </w:r>
      <w:r>
        <w:t xml:space="preserve"> </w:t>
      </w:r>
      <w:r>
        <w:rPr>
          <w:rStyle w:val="VerbatimChar"/>
        </w:rPr>
        <w:t xml:space="preserve">approved = true</w:t>
      </w:r>
      <w:r>
        <w:t xml:space="preserve"> </w:t>
      </w:r>
      <w:r>
        <w:t xml:space="preserve">flag; assert the response is a draft (HTTP 200 with draft content) and NO database write occurs to the patient record.</w:t>
      </w:r>
    </w:p>
    <w:p>
      <w:pPr>
        <w:pStyle w:val="Compact"/>
        <w:numPr>
          <w:ilvl w:val="0"/>
          <w:numId w:val="1018"/>
        </w:numPr>
      </w:pPr>
      <w:r>
        <w:t xml:space="preserve">Test: call the same endpoint WITH</w:t>
      </w:r>
      <w:r>
        <w:t xml:space="preserve"> </w:t>
      </w:r>
      <w:r>
        <w:rPr>
          <w:rStyle w:val="VerbatimChar"/>
        </w:rPr>
        <w:t xml:space="preserve">approved = true</w:t>
      </w:r>
      <w:r>
        <w:t xml:space="preserve">; assert the draft IS written to the patient record.</w:t>
      </w:r>
    </w:p>
    <w:p>
      <w:pPr>
        <w:pStyle w:val="Compact"/>
        <w:numPr>
          <w:ilvl w:val="0"/>
          <w:numId w:val="1018"/>
        </w:numPr>
      </w:pPr>
      <w:r>
        <w:t xml:space="preserve">These two tests are gating: they MUST pass in CI before any AI capability code is merged.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282832b2afd15368d3cbf62ad6e4c906dc22203"/>
    <w:p>
      <w:pPr>
        <w:pStyle w:val="Heading2"/>
      </w:pPr>
      <w:r>
        <w:t xml:space="preserve">9 i18n Test Strategy</w:t>
      </w:r>
    </w:p>
    <w:bookmarkStart w:id="76" w:name="Xf400889cfd32e40f99bb7f646ddad04e97ca07e"/>
    <w:p>
      <w:pPr>
        <w:pStyle w:val="Heading3"/>
      </w:pPr>
      <w:r>
        <w:t xml:space="preserve">9.1 Automated String Coverage</w:t>
      </w:r>
    </w:p>
    <w:p>
      <w:pPr>
        <w:pStyle w:val="Compact"/>
        <w:numPr>
          <w:ilvl w:val="0"/>
          <w:numId w:val="1019"/>
        </w:numPr>
      </w:pPr>
      <w:r>
        <w:t xml:space="preserve">Before any module build, run</w:t>
      </w:r>
      <w:r>
        <w:t xml:space="preserve"> </w:t>
      </w:r>
      <w:r>
        <w:rPr>
          <w:rStyle w:val="VerbatimChar"/>
        </w:rPr>
        <w:t xml:space="preserve">php artisan i18n:audit</w:t>
      </w:r>
      <w:r>
        <w:t xml:space="preserve"> </w:t>
      </w:r>
      <w:r>
        <w:t xml:space="preserve">and assert the output lists zero</w:t>
      </w:r>
      <w:r>
        <w:t xml:space="preserve"> </w:t>
      </w:r>
      <w:r>
        <w:rPr>
          <w:rStyle w:val="VerbatimChar"/>
        </w:rPr>
        <w:t xml:space="preserve">[I18N-GAP]</w:t>
      </w:r>
      <w:r>
        <w:t xml:space="preserve"> </w:t>
      </w:r>
      <w:r>
        <w:t xml:space="preserve">entries.</w:t>
      </w:r>
    </w:p>
    <w:p>
      <w:pPr>
        <w:pStyle w:val="Compact"/>
        <w:numPr>
          <w:ilvl w:val="0"/>
          <w:numId w:val="1019"/>
        </w:numPr>
      </w:pPr>
      <w:r>
        <w:t xml:space="preserve">Failure of this audit is a CI build failure; the build MUST NOT continue.</w:t>
      </w:r>
    </w:p>
    <w:bookmarkEnd w:id="76"/>
    <w:bookmarkStart w:id="77" w:name="Xdc4a171b986941e9813b771bddde0e4d4c83ed1"/>
    <w:p>
      <w:pPr>
        <w:pStyle w:val="Heading3"/>
      </w:pPr>
      <w:r>
        <w:t xml:space="preserve">9.2 Manual Native-Speaker Review</w:t>
      </w:r>
    </w:p>
    <w:p>
      <w:pPr>
        <w:pStyle w:val="Compact"/>
        <w:numPr>
          <w:ilvl w:val="0"/>
          <w:numId w:val="1020"/>
        </w:numPr>
      </w:pPr>
      <w:r>
        <w:t xml:space="preserve">Before any module ships to production, a native Kiswahili speaker and a native French speaker must review all strings in the module and confirm clinical accuracy.</w:t>
      </w:r>
    </w:p>
    <w:p>
      <w:pPr>
        <w:pStyle w:val="Compact"/>
        <w:numPr>
          <w:ilvl w:val="0"/>
          <w:numId w:val="1020"/>
        </w:numPr>
      </w:pPr>
      <w:r>
        <w:t xml:space="preserve">Sign-off is recorded in</w:t>
      </w:r>
      <w:r>
        <w:t xml:space="preserve"> </w:t>
      </w:r>
      <w:r>
        <w:rPr>
          <w:rStyle w:val="VerbatimChar"/>
        </w:rPr>
        <w:t xml:space="preserve">_context/quality-log.md</w:t>
      </w:r>
      <w:r>
        <w:t xml:space="preserve"> </w:t>
      </w:r>
      <w:r>
        <w:t xml:space="preserve">under "i18n Native Speaker Review".</w:t>
      </w:r>
    </w:p>
    <w:p>
      <w:pPr>
        <w:pStyle w:val="Compact"/>
        <w:numPr>
          <w:ilvl w:val="0"/>
          <w:numId w:val="1020"/>
        </w:numPr>
      </w:pPr>
      <w:r>
        <w:t xml:space="preserve">Strings cannot be approved by machine translation alone.</w:t>
      </w:r>
    </w:p>
    <w:bookmarkEnd w:id="77"/>
    <w:bookmarkStart w:id="78" w:name="X474cbef5eaadcf8bf296ec8fa827fa915d2772f"/>
    <w:p>
      <w:pPr>
        <w:pStyle w:val="Heading3"/>
      </w:pPr>
      <w:r>
        <w:t xml:space="preserve">9.3 Locale Switching Test</w:t>
      </w:r>
    </w:p>
    <w:p>
      <w:pPr>
        <w:pStyle w:val="Compact"/>
        <w:numPr>
          <w:ilvl w:val="0"/>
          <w:numId w:val="1021"/>
        </w:numPr>
      </w:pPr>
      <w:r>
        <w:t xml:space="preserve">Switch the UI locale to</w:t>
      </w:r>
      <w:r>
        <w:t xml:space="preserve"> </w:t>
      </w:r>
      <w:r>
        <w:rPr>
          <w:rStyle w:val="VerbatimChar"/>
        </w:rPr>
        <w:t xml:space="preserve">sw</w:t>
      </w:r>
      <w:r>
        <w:t xml:space="preserve">; assert all visible strings on the tested screen are in Kiswahili.</w:t>
      </w:r>
    </w:p>
    <w:p>
      <w:pPr>
        <w:pStyle w:val="Compact"/>
        <w:numPr>
          <w:ilvl w:val="0"/>
          <w:numId w:val="1021"/>
        </w:numPr>
      </w:pPr>
      <w:r>
        <w:t xml:space="preserve">Switch to</w:t>
      </w:r>
      <w:r>
        <w:t xml:space="preserve"> </w:t>
      </w:r>
      <w:r>
        <w:rPr>
          <w:rStyle w:val="VerbatimChar"/>
        </w:rPr>
        <w:t xml:space="preserve">fr</w:t>
      </w:r>
      <w:r>
        <w:t xml:space="preserve">; assert all visible strings on the tested screen are in French.</w:t>
      </w:r>
    </w:p>
    <w:p>
      <w:pPr>
        <w:pStyle w:val="Compact"/>
        <w:numPr>
          <w:ilvl w:val="0"/>
          <w:numId w:val="1021"/>
        </w:numPr>
      </w:pPr>
      <w:r>
        <w:t xml:space="preserve">Assert no English fallback strings are visible in non-alert UI elements when locale is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</w:t>
      </w:r>
      <w:r>
        <w:t xml:space="preserve">.</w:t>
      </w:r>
    </w:p>
    <w:bookmarkEnd w:id="78"/>
    <w:bookmarkEnd w:id="79"/>
    <w:bookmarkEnd w:id="8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2026-04-17T07:22:48Z</dcterms:created>
  <dcterms:modified xsi:type="dcterms:W3CDTF">2026-04-17T07:22:48Z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