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Transportation and Fleet Operations</w:t>
      </w:r>
    </w:p>
    <w:p>
      <w:pPr>
        <w:pStyle w:val="Subtitle"/>
      </w:pPr>
      <w:r>
        <w:t xml:space="preserve">Document Set 02 - Requirements Engineering</w:t>
      </w:r>
    </w:p>
    <w:p>
      <w:pPr>
        <w:pStyle w:val="Date"/>
      </w:pPr>
      <w:r>
        <w:t xml:space="preserve">2026-04-22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Transportation and Fleet Operations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2026-04-22</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d2fa43e5bb41530bc0780622e958d98c60bfc83"/>
    <w:p>
      <w:pPr>
        <w:pStyle w:val="Heading1"/>
      </w:pPr>
      <w:r>
        <w:t xml:space="preserve">Introduction to the Transportation and Fleet Operations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Transportation and Fleet Operations module of Longhorn ERP. It specifies how shipment demand, route planning, dispatch, execution visibility, fleet assignment, proof of delivery, freight audit, and transport analytics shall be managed as first-class operating workflows rather than as side effects of sales delivery or asset maintenance records.</w:t>
      </w:r>
    </w:p>
    <w:bookmarkEnd w:id="21"/>
    <w:bookmarkStart w:id="22" w:name="X3378fde8998068a01e48267892e5cd923e9bc15"/>
    <w:p>
      <w:pPr>
        <w:pStyle w:val="Heading2"/>
      </w:pPr>
      <w:r>
        <w:t xml:space="preserve">1.2 Scope</w:t>
      </w:r>
    </w:p>
    <w:p>
      <w:pPr>
        <w:pStyle w:val="FirstParagraph"/>
      </w:pPr>
      <w:r>
        <w:t xml:space="preserve">The Transportation and Fleet Operations module is an optional add-on for organisations that move goods using internal vehicles, third-party carriers, or hybrid transport models. It covers shipment-order creation, route and load planning, dispatch, carrier or fleet allocation, ETA and milestone tracking, exception handling, mobile proof capture, trip closure, freight audit, cost settlement, and transport analytics.</w:t>
      </w:r>
    </w:p>
    <w:p>
      <w:pPr>
        <w:pStyle w:val="BodyText"/>
      </w:pPr>
      <w:r>
        <w:t xml:space="preserve">The module integrates with:</w:t>
      </w:r>
    </w:p>
    <w:p>
      <w:pPr>
        <w:pStyle w:val="Compact"/>
        <w:numPr>
          <w:ilvl w:val="0"/>
          <w:numId w:val="1001"/>
        </w:numPr>
      </w:pPr>
      <w:r>
        <w:rPr>
          <w:b/>
          <w:bCs/>
        </w:rPr>
        <w:t xml:space="preserve">Sales</w:t>
      </w:r>
      <w:r>
        <w:t xml:space="preserve"> </w:t>
      </w:r>
      <w:r>
        <w:t xml:space="preserve">- outbound delivery demand, delivery-note linkage, and customer proof of delivery</w:t>
      </w:r>
    </w:p>
    <w:p>
      <w:pPr>
        <w:pStyle w:val="Compact"/>
        <w:numPr>
          <w:ilvl w:val="0"/>
          <w:numId w:val="1001"/>
        </w:numPr>
      </w:pPr>
      <w:r>
        <w:rPr>
          <w:b/>
          <w:bCs/>
        </w:rPr>
        <w:t xml:space="preserve">Procurement</w:t>
      </w:r>
      <w:r>
        <w:t xml:space="preserve"> </w:t>
      </w:r>
      <w:r>
        <w:t xml:space="preserve">- inbound shipment visibility and supplier delivery planning</w:t>
      </w:r>
    </w:p>
    <w:p>
      <w:pPr>
        <w:pStyle w:val="Compact"/>
        <w:numPr>
          <w:ilvl w:val="0"/>
          <w:numId w:val="1001"/>
        </w:numPr>
      </w:pPr>
      <w:r>
        <w:rPr>
          <w:b/>
          <w:bCs/>
        </w:rPr>
        <w:t xml:space="preserve">Inventory and Advanced Inventory</w:t>
      </w:r>
      <w:r>
        <w:t xml:space="preserve"> </w:t>
      </w:r>
      <w:r>
        <w:t xml:space="preserve">- warehouse staging, transfer demand, loading, receipt confirmation, and stock movement control</w:t>
      </w:r>
    </w:p>
    <w:p>
      <w:pPr>
        <w:pStyle w:val="Compact"/>
        <w:numPr>
          <w:ilvl w:val="0"/>
          <w:numId w:val="1001"/>
        </w:numPr>
      </w:pPr>
      <w:r>
        <w:rPr>
          <w:b/>
          <w:bCs/>
        </w:rPr>
        <w:t xml:space="preserve">Assets</w:t>
      </w:r>
      <w:r>
        <w:t xml:space="preserve"> </w:t>
      </w:r>
      <w:r>
        <w:t xml:space="preserve">- vehicle identity, maintenance availability status, and capital-asset reference data</w:t>
      </w:r>
    </w:p>
    <w:p>
      <w:pPr>
        <w:pStyle w:val="Compact"/>
        <w:numPr>
          <w:ilvl w:val="0"/>
          <w:numId w:val="1001"/>
        </w:numPr>
      </w:pPr>
      <w:r>
        <w:rPr>
          <w:b/>
          <w:bCs/>
        </w:rPr>
        <w:t xml:space="preserve">HR &amp; Payroll</w:t>
      </w:r>
      <w:r>
        <w:t xml:space="preserve"> </w:t>
      </w:r>
      <w:r>
        <w:t xml:space="preserve">- driver identity and optional labour-cost linkage</w:t>
      </w:r>
    </w:p>
    <w:p>
      <w:pPr>
        <w:pStyle w:val="Compact"/>
        <w:numPr>
          <w:ilvl w:val="0"/>
          <w:numId w:val="1001"/>
        </w:numPr>
      </w:pPr>
      <w:r>
        <w:rPr>
          <w:b/>
          <w:bCs/>
        </w:rPr>
        <w:t xml:space="preserve">Accounting</w:t>
      </w:r>
      <w:r>
        <w:t xml:space="preserve"> </w:t>
      </w:r>
      <w:r>
        <w:t xml:space="preserve">- freight accruals, carrier payables, transport cost allocation, and route profitability analysis</w:t>
      </w:r>
    </w:p>
    <w:p>
      <w:pPr>
        <w:pStyle w:val="Compact"/>
        <w:numPr>
          <w:ilvl w:val="0"/>
          <w:numId w:val="1001"/>
        </w:numPr>
      </w:pPr>
      <w:r>
        <w:rPr>
          <w:b/>
          <w:bCs/>
        </w:rPr>
        <w:t xml:space="preserve">Mobile API</w:t>
      </w:r>
      <w:r>
        <w:t xml:space="preserve"> </w:t>
      </w:r>
      <w:r>
        <w:t xml:space="preserve">- mobile dispatch, proof capture, and driver-side status updates</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TMS</w:t>
            </w:r>
          </w:p>
        </w:tc>
        <w:tc>
          <w:tcPr/>
          <w:p>
            <w:pPr>
              <w:pStyle w:val="Compact"/>
            </w:pPr>
            <w:r>
              <w:t xml:space="preserve">Transportation Management System - the discipline and system of record for transportation planning, execution, and control</w:t>
            </w:r>
          </w:p>
        </w:tc>
      </w:tr>
      <w:tr>
        <w:tc>
          <w:tcPr/>
          <w:p>
            <w:pPr>
              <w:pStyle w:val="Compact"/>
            </w:pPr>
            <w:r>
              <w:t xml:space="preserve">Shipment Order</w:t>
            </w:r>
          </w:p>
        </w:tc>
        <w:tc>
          <w:tcPr/>
          <w:p>
            <w:pPr>
              <w:pStyle w:val="Compact"/>
            </w:pPr>
            <w:r>
              <w:t xml:space="preserve">The transport-demand object created from a sales order, purchase order, transfer order, or manual transport request</w:t>
            </w:r>
          </w:p>
        </w:tc>
      </w:tr>
      <w:tr>
        <w:tc>
          <w:tcPr/>
          <w:p>
            <w:pPr>
              <w:pStyle w:val="Compact"/>
            </w:pPr>
            <w:r>
              <w:t xml:space="preserve">Load</w:t>
            </w:r>
          </w:p>
        </w:tc>
        <w:tc>
          <w:tcPr/>
          <w:p>
            <w:pPr>
              <w:pStyle w:val="Compact"/>
            </w:pPr>
            <w:r>
              <w:t xml:space="preserve">The planned grouping of 1 or more shipment orders onto a single trip, vehicle, or carrier movement</w:t>
            </w:r>
          </w:p>
        </w:tc>
      </w:tr>
      <w:tr>
        <w:tc>
          <w:tcPr/>
          <w:p>
            <w:pPr>
              <w:pStyle w:val="Compact"/>
            </w:pPr>
            <w:r>
              <w:t xml:space="preserve">Stop</w:t>
            </w:r>
          </w:p>
        </w:tc>
        <w:tc>
          <w:tcPr/>
          <w:p>
            <w:pPr>
              <w:pStyle w:val="Compact"/>
            </w:pPr>
            <w:r>
              <w:t xml:space="preserve">A planned pickup, delivery, or checkpoint event within a route</w:t>
            </w:r>
          </w:p>
        </w:tc>
      </w:tr>
      <w:tr>
        <w:tc>
          <w:tcPr/>
          <w:p>
            <w:pPr>
              <w:pStyle w:val="Compact"/>
            </w:pPr>
            <w:r>
              <w:t xml:space="preserve">ETA</w:t>
            </w:r>
          </w:p>
        </w:tc>
        <w:tc>
          <w:tcPr/>
          <w:p>
            <w:pPr>
              <w:pStyle w:val="Compact"/>
            </w:pPr>
            <w:r>
              <w:t xml:space="preserve">Estimated Time of Arrival</w:t>
            </w:r>
          </w:p>
        </w:tc>
      </w:tr>
      <w:tr>
        <w:tc>
          <w:tcPr/>
          <w:p>
            <w:pPr>
              <w:pStyle w:val="Compact"/>
            </w:pPr>
            <w:r>
              <w:t xml:space="preserve">POD</w:t>
            </w:r>
          </w:p>
        </w:tc>
        <w:tc>
          <w:tcPr/>
          <w:p>
            <w:pPr>
              <w:pStyle w:val="Compact"/>
            </w:pPr>
            <w:r>
              <w:t xml:space="preserve">Proof of Delivery - evidence that a shipment or stop was completed and received</w:t>
            </w:r>
          </w:p>
        </w:tc>
      </w:tr>
      <w:tr>
        <w:tc>
          <w:tcPr/>
          <w:p>
            <w:pPr>
              <w:pStyle w:val="Compact"/>
            </w:pPr>
            <w:r>
              <w:t xml:space="preserve">Freight Audit</w:t>
            </w:r>
          </w:p>
        </w:tc>
        <w:tc>
          <w:tcPr/>
          <w:p>
            <w:pPr>
              <w:pStyle w:val="Compact"/>
            </w:pPr>
            <w:r>
              <w:t xml:space="preserve">The validation of actual carrier or trip charges against planned or contracted transport cost</w:t>
            </w:r>
          </w:p>
        </w:tc>
      </w:tr>
      <w:tr>
        <w:tc>
          <w:tcPr/>
          <w:p>
            <w:pPr>
              <w:pStyle w:val="Compact"/>
            </w:pPr>
            <w:r>
              <w:t xml:space="preserve">Exception Queue</w:t>
            </w:r>
          </w:p>
        </w:tc>
        <w:tc>
          <w:tcPr/>
          <w:p>
            <w:pPr>
              <w:pStyle w:val="Compact"/>
            </w:pPr>
            <w:r>
              <w:t xml:space="preserve">A prioritised worklist of transport execution issues requiring planner or dispatcher action</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ISO 9001 - process control, traceability, and corrective-action discipline</w:t>
      </w:r>
    </w:p>
    <w:bookmarkEnd w:id="24"/>
    <w:bookmarkStart w:id="25" w:name="Xd26f9afbe842d3f71bdc8df4875dfaaf3d8fd5d"/>
    <w:p>
      <w:pPr>
        <w:pStyle w:val="Heading2"/>
      </w:pPr>
      <w:r>
        <w:t xml:space="preserve">1.5 Overview of This Document</w:t>
      </w:r>
    </w:p>
    <w:p>
      <w:pPr>
        <w:pStyle w:val="FirstParagraph"/>
      </w:pPr>
      <w:r>
        <w:t xml:space="preserve">Section 2 specifies the core functional requirements for shipment planning, route design, dispatch, live visibility, proof capture, freight audit, and fleet operations control. Section 3 defines non-functional requirements governing performance, availability, offline behaviour, and auditability. Section 4 presents the Traceability Matrix mapping each functional requirement to the business goals defined below.</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3"/>
        </w:numPr>
      </w:pPr>
      <w:r>
        <w:rPr>
          <w:b/>
          <w:bCs/>
        </w:rPr>
        <w:t xml:space="preserve">BG-TMS-001:</w:t>
      </w:r>
      <w:r>
        <w:t xml:space="preserve"> </w:t>
      </w:r>
      <w:r>
        <w:t xml:space="preserve">Reduce transport cost through better load planning, route control, and freight validation.</w:t>
      </w:r>
    </w:p>
    <w:p>
      <w:pPr>
        <w:pStyle w:val="Compact"/>
        <w:numPr>
          <w:ilvl w:val="0"/>
          <w:numId w:val="1003"/>
        </w:numPr>
      </w:pPr>
      <w:r>
        <w:rPr>
          <w:b/>
          <w:bCs/>
        </w:rPr>
        <w:t xml:space="preserve">BG-TMS-002:</w:t>
      </w:r>
      <w:r>
        <w:t xml:space="preserve"> </w:t>
      </w:r>
      <w:r>
        <w:t xml:space="preserve">Improve service reliability through dispatch discipline, ETA visibility, and exception ownership.</w:t>
      </w:r>
    </w:p>
    <w:p>
      <w:pPr>
        <w:pStyle w:val="Compact"/>
        <w:numPr>
          <w:ilvl w:val="0"/>
          <w:numId w:val="1003"/>
        </w:numPr>
      </w:pPr>
      <w:r>
        <w:rPr>
          <w:b/>
          <w:bCs/>
        </w:rPr>
        <w:t xml:space="preserve">BG-TMS-003:</w:t>
      </w:r>
      <w:r>
        <w:t xml:space="preserve"> </w:t>
      </w:r>
      <w:r>
        <w:t xml:space="preserve">Increase fleet utilisation and operational control for organisations running internal vehicles.</w:t>
      </w:r>
    </w:p>
    <w:p>
      <w:pPr>
        <w:pStyle w:val="Compact"/>
        <w:numPr>
          <w:ilvl w:val="0"/>
          <w:numId w:val="1003"/>
        </w:numPr>
      </w:pPr>
      <w:r>
        <w:rPr>
          <w:b/>
          <w:bCs/>
        </w:rPr>
        <w:t xml:space="preserve">BG-TMS-004:</w:t>
      </w:r>
      <w:r>
        <w:t xml:space="preserve"> </w:t>
      </w:r>
      <w:r>
        <w:t xml:space="preserve">Create a traceable transport record from shipment planning through proof of delivery and settlement.</w:t>
      </w:r>
    </w:p>
    <w:p>
      <w:pPr>
        <w:pStyle w:val="Compact"/>
        <w:numPr>
          <w:ilvl w:val="0"/>
          <w:numId w:val="1003"/>
        </w:numPr>
      </w:pPr>
      <w:r>
        <w:rPr>
          <w:b/>
          <w:bCs/>
        </w:rPr>
        <w:t xml:space="preserve">BG-TMS-005:</w:t>
      </w:r>
      <w:r>
        <w:t xml:space="preserve"> </w:t>
      </w:r>
      <w:r>
        <w:t xml:space="preserve">Give management transport analytics that connect physical movement to financial outcomes.</w:t>
      </w:r>
    </w:p>
    <w:bookmarkEnd w:id="26"/>
    <w:bookmarkStart w:id="27" w:name="X2bd6e56f20ac8ae406d5e667fd9b97b701ae3c2"/>
    <w:p>
      <w:pPr>
        <w:pStyle w:val="Heading2"/>
      </w:pPr>
      <w:r>
        <w:t xml:space="preserve">1.7 Assumptions and Dependencies</w:t>
      </w:r>
    </w:p>
    <w:p>
      <w:pPr>
        <w:pStyle w:val="Compact"/>
        <w:numPr>
          <w:ilvl w:val="0"/>
          <w:numId w:val="1004"/>
        </w:numPr>
      </w:pPr>
      <w:r>
        <w:t xml:space="preserve">The tenant has activated the Transportation and Fleet Operations module under a subscription plan that permits add-on modules.</w:t>
      </w:r>
    </w:p>
    <w:p>
      <w:pPr>
        <w:pStyle w:val="Compact"/>
        <w:numPr>
          <w:ilvl w:val="0"/>
          <w:numId w:val="1004"/>
        </w:numPr>
      </w:pPr>
      <w:r>
        <w:t xml:space="preserve">Sales, Procurement, Inventory, and Advanced Inventory remain the source modules for shipment demand and stock events.</w:t>
      </w:r>
    </w:p>
    <w:p>
      <w:pPr>
        <w:pStyle w:val="Compact"/>
        <w:numPr>
          <w:ilvl w:val="0"/>
          <w:numId w:val="1004"/>
        </w:numPr>
      </w:pPr>
      <w:r>
        <w:t xml:space="preserve">Assets remains the system of record for vehicle capital ownership and maintenance history, while Transportation owns dispatch and route operations.</w:t>
      </w:r>
    </w:p>
    <w:p>
      <w:pPr>
        <w:pStyle w:val="Compact"/>
        <w:numPr>
          <w:ilvl w:val="0"/>
          <w:numId w:val="1004"/>
        </w:numPr>
      </w:pPr>
      <w:r>
        <w:t xml:space="preserve">Mobile API services are available for field-side status capture and proof collection.</w:t>
      </w:r>
    </w:p>
    <w:p>
      <w:pPr>
        <w:pStyle w:val="Compact"/>
        <w:numPr>
          <w:ilvl w:val="0"/>
          <w:numId w:val="1004"/>
        </w:numPr>
      </w:pPr>
      <w:r>
        <w:t xml:space="preserve">GPS or telematics integration may be enabled later; the module shall operate without it in its baseline form.</w:t>
      </w:r>
    </w:p>
    <w:bookmarkEnd w:id="27"/>
    <w:bookmarkEnd w:id="28"/>
    <w:bookmarkStart w:id="35" w:name="Xcf64bfc2a24fcbbb0fcd367fc20b2cc464a04cf"/>
    <w:p>
      <w:pPr>
        <w:pStyle w:val="Heading1"/>
      </w:pPr>
      <w:r>
        <w:t xml:space="preserve">Module 17: Transportation and Fleet Operations - Functional Requirements</w:t>
      </w:r>
    </w:p>
    <w:bookmarkStart w:id="29" w:name="X4e4c51a6acc1e4668b6a356b0ffe2daa1611bf0"/>
    <w:p>
      <w:pPr>
        <w:pStyle w:val="Heading2"/>
      </w:pPr>
      <w:r>
        <w:t xml:space="preserve">2.1 FR-TMS-001: Shipment Demand Consolidation</w:t>
      </w:r>
    </w:p>
    <w:p>
      <w:pPr>
        <w:pStyle w:val="FirstParagraph"/>
      </w:pPr>
      <w:r>
        <w:rPr>
          <w:b/>
          <w:bCs/>
        </w:rPr>
        <w:t xml:space="preserve">FR-TMS-001:</w:t>
      </w:r>
      <w:r>
        <w:t xml:space="preserve"> </w:t>
      </w:r>
      <w:r>
        <w:t xml:space="preserve">When a sales order, purchase order, transfer order, or authorised manual transport request reaches a tenant-configurable state that requires physical movement, the system shall generate a shipment-order record containing source document reference, origin location, destination location, requested ship date, requested delivery date, weight, volume, handling constraints, and service priority. The system shall allow multiple shipment orders to remain unplanned until assigned to a load or route. The shipment-planning workbench shall display all unplanned shipment orders, filterable by branch, date, destination, and priority, within 2,000 ms at P95 for up to 10,000 open shipment orders per tenant.</w:t>
      </w:r>
    </w:p>
    <w:bookmarkEnd w:id="29"/>
    <w:bookmarkStart w:id="30" w:name="Xa6cd10642aa0e1c05b558b09c6c013af992161f"/>
    <w:p>
      <w:pPr>
        <w:pStyle w:val="Heading2"/>
      </w:pPr>
      <w:r>
        <w:t xml:space="preserve">2.2 FR-TMS-002: Load, Route, and Stop Planning</w:t>
      </w:r>
    </w:p>
    <w:p>
      <w:pPr>
        <w:pStyle w:val="FirstParagraph"/>
      </w:pPr>
      <w:r>
        <w:rPr>
          <w:b/>
          <w:bCs/>
        </w:rPr>
        <w:t xml:space="preserve">FR-TMS-002:</w:t>
      </w:r>
      <w:r>
        <w:t xml:space="preserve"> </w:t>
      </w:r>
      <w:r>
        <w:t xml:space="preserve">When an authorised planner creates or edits a transport plan, the system shall allow the planner to group 1 or more shipment orders into a load and assign that load to a route containing 1 or more ordered stops. The route-planning function shall enforce configured vehicle or carrier capacity rules for weight, volume, and maximum stop count. If the planner attempts to assign shipment orders whose total required capacity exceeds the selected vehicle or carrier profile, the system shall block the save and display the blocking capacity dimension. Each planned route shall store planned departure time, planned arrival time per stop, route distance, assigned resource, and estimated trip cost.</w:t>
      </w:r>
    </w:p>
    <w:bookmarkEnd w:id="30"/>
    <w:bookmarkStart w:id="31" w:name="X5c9c612c3f16605bf4e7843d434c7517592e096"/>
    <w:p>
      <w:pPr>
        <w:pStyle w:val="Heading2"/>
      </w:pPr>
      <w:r>
        <w:t xml:space="preserve">2.3 FR-TMS-003: Dispatch, Resource Assignment, and Availability Control</w:t>
      </w:r>
    </w:p>
    <w:p>
      <w:pPr>
        <w:pStyle w:val="FirstParagraph"/>
      </w:pPr>
      <w:r>
        <w:rPr>
          <w:b/>
          <w:bCs/>
        </w:rPr>
        <w:t xml:space="preserve">FR-TMS-003:</w:t>
      </w:r>
      <w:r>
        <w:t xml:space="preserve"> </w:t>
      </w:r>
      <w:r>
        <w:t xml:space="preserve">When a dispatcher releases a planned route for execution, the system shall require assignment of exactly 1 execution resource model: (a) internal vehicle and driver, or (b) external carrier and carrier contact. If an internal vehicle is selected, the system shall validate that the vehicle is not marked unavailable due to maintenance hold, expired insurance, or overlapping active trip assignment. If a driver is selected, the system shall validate that the driver is not already assigned to another active trip in the overlapping time window. Upon successful validation, the route shall transition from</w:t>
      </w:r>
      <w:r>
        <w:t xml:space="preserve"> </w:t>
      </w:r>
      <w:r>
        <w:rPr>
          <w:rStyle w:val="VerbatimChar"/>
        </w:rPr>
        <w:t xml:space="preserve">planned</w:t>
      </w:r>
      <w:r>
        <w:t xml:space="preserve"> </w:t>
      </w:r>
      <w:r>
        <w:t xml:space="preserve">to</w:t>
      </w:r>
      <w:r>
        <w:t xml:space="preserve"> </w:t>
      </w:r>
      <w:r>
        <w:rPr>
          <w:rStyle w:val="VerbatimChar"/>
        </w:rPr>
        <w:t xml:space="preserve">dispatched</w:t>
      </w:r>
      <w:r>
        <w:t xml:space="preserve">, generate a trip record, and notify the assigned driver or carrier contact through the mobile or notification subsystem.</w:t>
      </w:r>
    </w:p>
    <w:bookmarkEnd w:id="31"/>
    <w:bookmarkStart w:id="32" w:name="Xde02024874fa82c09b69178ca14549e12f76d55"/>
    <w:p>
      <w:pPr>
        <w:pStyle w:val="Heading2"/>
      </w:pPr>
      <w:r>
        <w:t xml:space="preserve">2.4 FR-TMS-004: Milestone Visibility, ETA, and Exception Management</w:t>
      </w:r>
    </w:p>
    <w:p>
      <w:pPr>
        <w:pStyle w:val="FirstParagraph"/>
      </w:pPr>
      <w:r>
        <w:rPr>
          <w:b/>
          <w:bCs/>
        </w:rPr>
        <w:t xml:space="preserve">FR-TMS-004:</w:t>
      </w:r>
      <w:r>
        <w:t xml:space="preserve"> </w:t>
      </w:r>
      <w:r>
        <w:t xml:space="preserve">When a trip is active, the system shall track milestone events at minimum for</w:t>
      </w:r>
      <w:r>
        <w:t xml:space="preserve"> </w:t>
      </w:r>
      <w:r>
        <w:rPr>
          <w:rStyle w:val="VerbatimChar"/>
        </w:rPr>
        <w:t xml:space="preserve">dispatched</w:t>
      </w:r>
      <w:r>
        <w:t xml:space="preserve">,</w:t>
      </w:r>
      <w:r>
        <w:t xml:space="preserve"> </w:t>
      </w:r>
      <w:r>
        <w:rPr>
          <w:rStyle w:val="VerbatimChar"/>
        </w:rPr>
        <w:t xml:space="preserve">departed_origin</w:t>
      </w:r>
      <w:r>
        <w:t xml:space="preserve">,</w:t>
      </w:r>
      <w:r>
        <w:t xml:space="preserve"> </w:t>
      </w:r>
      <w:r>
        <w:rPr>
          <w:rStyle w:val="VerbatimChar"/>
        </w:rPr>
        <w:t xml:space="preserve">arrived_stop</w:t>
      </w:r>
      <w:r>
        <w:t xml:space="preserve">,</w:t>
      </w:r>
      <w:r>
        <w:t xml:space="preserve"> </w:t>
      </w:r>
      <w:r>
        <w:rPr>
          <w:rStyle w:val="VerbatimChar"/>
        </w:rPr>
        <w:t xml:space="preserve">completed_stop</w:t>
      </w:r>
      <w:r>
        <w:t xml:space="preserve">, and</w:t>
      </w:r>
      <w:r>
        <w:t xml:space="preserve"> </w:t>
      </w:r>
      <w:r>
        <w:rPr>
          <w:rStyle w:val="VerbatimChar"/>
        </w:rPr>
        <w:t xml:space="preserve">closed</w:t>
      </w:r>
      <w:r>
        <w:t xml:space="preserve">. The system shall compute and refresh ETA per remaining stop whenever a new milestone, location ping, or planner update is received. If the projected arrival time for any stop exceeds the planned arrival time by more than the tenant-configurable threshold (default: 30 minutes), the system shall create an exception-queue record with severity, route, stop, owner, reason code, and due-response timestamp. Severity shall be assigned at minimum as</w:t>
      </w:r>
      <w:r>
        <w:t xml:space="preserve"> </w:t>
      </w: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 </w:t>
      </w:r>
      <w:r>
        <w:t xml:space="preserve">based on service priority and delay magnitude. High-severity exceptions shall appear on the dispatcher dashboard within 5 seconds of trigger.</w:t>
      </w:r>
    </w:p>
    <w:bookmarkEnd w:id="32"/>
    <w:bookmarkStart w:id="33" w:name="Xa96560030865c66393353729cc756c5c8ca56f9"/>
    <w:p>
      <w:pPr>
        <w:pStyle w:val="Heading2"/>
      </w:pPr>
      <w:r>
        <w:t xml:space="preserve">2.5 FR-TMS-005: Proof Capture, Trip Closure, and Operational Costing</w:t>
      </w:r>
    </w:p>
    <w:p>
      <w:pPr>
        <w:pStyle w:val="FirstParagraph"/>
      </w:pPr>
      <w:r>
        <w:rPr>
          <w:b/>
          <w:bCs/>
        </w:rPr>
        <w:t xml:space="preserve">FR-TMS-005:</w:t>
      </w:r>
      <w:r>
        <w:t xml:space="preserve"> </w:t>
      </w:r>
      <w:r>
        <w:t xml:space="preserve">When a stop is completed, the system shall support proof capture by one or more of the following methods: customer signature, stamped document image, delivery photo, barcode or QR confirmation, or dispatcher override with mandatory reason. Upon trip closure, the system shall require capture of actual departure time, actual arrival time, delivered quantity variance if any, fuel cost if internally operated, tolls and route charges if any, and closing odometer reading for internal-fleet trips. The system shall compute actual trip cost as the sum of configured fixed trip cost, fuel cost, tolls, driver allowance, and any manually approved additional charge. A trip shall not transition to</w:t>
      </w:r>
      <w:r>
        <w:t xml:space="preserve"> </w:t>
      </w:r>
      <w:r>
        <w:rPr>
          <w:rStyle w:val="VerbatimChar"/>
        </w:rPr>
        <w:t xml:space="preserve">closed</w:t>
      </w:r>
      <w:r>
        <w:t xml:space="preserve"> </w:t>
      </w:r>
      <w:r>
        <w:t xml:space="preserve">until every mandatory stop has status</w:t>
      </w:r>
      <w:r>
        <w:t xml:space="preserve"> </w:t>
      </w:r>
      <w:r>
        <w:rPr>
          <w:rStyle w:val="VerbatimChar"/>
        </w:rPr>
        <w:t xml:space="preserve">completed</w:t>
      </w:r>
      <w:r>
        <w:t xml:space="preserve">,</w:t>
      </w:r>
      <w:r>
        <w:t xml:space="preserve"> </w:t>
      </w:r>
      <w:r>
        <w:rPr>
          <w:rStyle w:val="VerbatimChar"/>
        </w:rPr>
        <w:t xml:space="preserve">failed_delivery</w:t>
      </w:r>
      <w:r>
        <w:t xml:space="preserve">, or</w:t>
      </w:r>
      <w:r>
        <w:t xml:space="preserve"> </w:t>
      </w:r>
      <w:r>
        <w:rPr>
          <w:rStyle w:val="VerbatimChar"/>
        </w:rPr>
        <w:t xml:space="preserve">cancelled_with_reason</w:t>
      </w:r>
      <w:r>
        <w:t xml:space="preserve">.</w:t>
      </w:r>
    </w:p>
    <w:bookmarkEnd w:id="33"/>
    <w:bookmarkStart w:id="34" w:name="X323fcf9dd39e89b74b0e27372297cb9eb92ba57"/>
    <w:p>
      <w:pPr>
        <w:pStyle w:val="Heading2"/>
      </w:pPr>
      <w:r>
        <w:t xml:space="preserve">2.6 FR-TMS-006: Freight Audit, Settlement, and Transport Analytics</w:t>
      </w:r>
    </w:p>
    <w:p>
      <w:pPr>
        <w:pStyle w:val="FirstParagraph"/>
      </w:pPr>
      <w:r>
        <w:rPr>
          <w:b/>
          <w:bCs/>
        </w:rPr>
        <w:t xml:space="preserve">FR-TMS-006:</w:t>
      </w:r>
      <w:r>
        <w:t xml:space="preserve"> </w:t>
      </w:r>
      <w:r>
        <w:t xml:space="preserve">When an external carrier invoice or internal trip settlement is submitted for a completed transport movement, the system shall compare the actual charge lines against the planned or contracted cost basis for that route, lane, carrier, or rate card. Any variance above the tenant-configurable tolerance (default: 5%) shall route the settlement into</w:t>
      </w:r>
      <w:r>
        <w:t xml:space="preserve"> </w:t>
      </w:r>
      <w:r>
        <w:rPr>
          <w:rStyle w:val="VerbatimChar"/>
        </w:rPr>
        <w:t xml:space="preserve">audit_hold</w:t>
      </w:r>
      <w:r>
        <w:t xml:space="preserve"> </w:t>
      </w:r>
      <w:r>
        <w:t xml:space="preserve">and require finance or transport-manager approval with a mandatory reason before payment posting. For approved settlements, the system shall post the payable or internal cost allocation to Accounting and update transport analytics for lane, carrier, vehicle, branch, customer, and route profitability. Monthly transport-performance dashboards for up to 24 months of history shall load within 5 seconds at P95.</w:t>
      </w:r>
    </w:p>
    <w:bookmarkEnd w:id="34"/>
    <w:bookmarkEnd w:id="35"/>
    <w:bookmarkStart w:id="43" w:name="Xb9377c8639ae611c2125db90dfe7e9ca38d4a67"/>
    <w:p>
      <w:pPr>
        <w:pStyle w:val="Heading1"/>
      </w:pPr>
      <w:r>
        <w:t xml:space="preserve">Non-Functional Requirements for the Transportation and Fleet Operations Module</w:t>
      </w:r>
    </w:p>
    <w:bookmarkStart w:id="36" w:name="X90037fffeb0517eb9be28959be4b42079adccec"/>
    <w:p>
      <w:pPr>
        <w:pStyle w:val="Heading2"/>
      </w:pPr>
      <w:r>
        <w:t xml:space="preserve">3.1 Overview</w:t>
      </w:r>
    </w:p>
    <w:p>
      <w:pPr>
        <w:pStyle w:val="FirstParagraph"/>
      </w:pPr>
      <w:r>
        <w:t xml:space="preserve">Non-functional requirements (NFRs) define the quality and operating envelope within which all transport behaviour specified in Section 2 must operate. Each NFR is assigned a unique identifier in the</w:t>
      </w:r>
      <w:r>
        <w:t xml:space="preserve"> </w:t>
      </w:r>
      <w:r>
        <w:rPr>
          <w:rStyle w:val="VerbatimChar"/>
        </w:rPr>
        <w:t xml:space="preserve">NFR-TMS-NNN</w:t>
      </w:r>
      <w:r>
        <w:t xml:space="preserve"> </w:t>
      </w:r>
      <w:r>
        <w:t xml:space="preserve">series and is stated with a specific, measurable metric.</w:t>
      </w:r>
    </w:p>
    <w:bookmarkEnd w:id="36"/>
    <w:bookmarkStart w:id="37" w:name="Xa834ae9ad21eb961b23e5961700de24339003dc"/>
    <w:p>
      <w:pPr>
        <w:pStyle w:val="Heading2"/>
      </w:pPr>
      <w:r>
        <w:t xml:space="preserve">3.2 Performance</w:t>
      </w:r>
    </w:p>
    <w:p>
      <w:pPr>
        <w:pStyle w:val="FirstParagraph"/>
      </w:pPr>
      <w:r>
        <w:rPr>
          <w:b/>
          <w:bCs/>
        </w:rPr>
        <w:t xml:space="preserve">NFR-TMS-001:</w:t>
      </w:r>
      <w:r>
        <w:t xml:space="preserve"> </w:t>
      </w:r>
      <w:r>
        <w:t xml:space="preserve">Shipment-planning workbench queries, dispatch-dashboard refreshes, and transport analytics views shall meet the response-time thresholds stated in their respective functional requirements under normal load of up to 100 concurrent transportation users per tenant.</w:t>
      </w:r>
    </w:p>
    <w:bookmarkEnd w:id="37"/>
    <w:bookmarkStart w:id="38" w:name="X315f17bbdca313cf6b1598e2a44d07921220f25"/>
    <w:p>
      <w:pPr>
        <w:pStyle w:val="Heading2"/>
      </w:pPr>
      <w:r>
        <w:t xml:space="preserve">3.3 Availability and Continuity</w:t>
      </w:r>
    </w:p>
    <w:p>
      <w:pPr>
        <w:pStyle w:val="FirstParagraph"/>
      </w:pPr>
      <w:r>
        <w:rPr>
          <w:b/>
          <w:bCs/>
        </w:rPr>
        <w:t xml:space="preserve">NFR-TMS-002:</w:t>
      </w:r>
      <w:r>
        <w:t xml:space="preserve"> </w:t>
      </w:r>
      <w:r>
        <w:t xml:space="preserve">Failure of telematics or location-ping ingestion shall not block manual trip progression, proof capture, or trip closure. The module shall continue to operate in manual mode with a visible warning that live location updates are unavailable.</w:t>
      </w:r>
    </w:p>
    <w:bookmarkEnd w:id="38"/>
    <w:bookmarkStart w:id="39" w:name="Xd0d3531d2a43c28c4ed6551982d4bb6ea0c5f99"/>
    <w:p>
      <w:pPr>
        <w:pStyle w:val="Heading2"/>
      </w:pPr>
      <w:r>
        <w:t xml:space="preserve">3.4 Mobile and Offline Operation</w:t>
      </w:r>
    </w:p>
    <w:p>
      <w:pPr>
        <w:pStyle w:val="FirstParagraph"/>
      </w:pPr>
      <w:r>
        <w:rPr>
          <w:b/>
          <w:bCs/>
        </w:rPr>
        <w:t xml:space="preserve">NFR-TMS-003:</w:t>
      </w:r>
      <w:r>
        <w:t xml:space="preserve"> </w:t>
      </w:r>
      <w:r>
        <w:t xml:space="preserve">Mobile proof capture and milestone updates shall support store-and-forward behaviour when connectivity is unavailable. Offline-captured events shall sync automatically within 60 seconds of connectivity restoration and shall preserve original event timestamps.</w:t>
      </w:r>
    </w:p>
    <w:bookmarkEnd w:id="39"/>
    <w:bookmarkStart w:id="40" w:name="Xb1f15d2baab52d32409b9074eed68f27a18c6c3"/>
    <w:p>
      <w:pPr>
        <w:pStyle w:val="Heading2"/>
      </w:pPr>
      <w:r>
        <w:t xml:space="preserve">3.5 Auditability</w:t>
      </w:r>
    </w:p>
    <w:p>
      <w:pPr>
        <w:pStyle w:val="FirstParagraph"/>
      </w:pPr>
      <w:r>
        <w:rPr>
          <w:b/>
          <w:bCs/>
        </w:rPr>
        <w:t xml:space="preserve">NFR-TMS-004:</w:t>
      </w:r>
      <w:r>
        <w:t xml:space="preserve"> </w:t>
      </w:r>
      <w:r>
        <w:t xml:space="preserve">Every transport-plan release, dispatch event, proof-capture action, trip-close action, settlement approval, and exception-owner reassignment shall generate an immutable Audit Log entry within 1 second of transaction commit.</w:t>
      </w:r>
    </w:p>
    <w:bookmarkEnd w:id="40"/>
    <w:bookmarkStart w:id="41" w:name="X29ce7c60a583b45446050094e5c4432999c1991"/>
    <w:p>
      <w:pPr>
        <w:pStyle w:val="Heading2"/>
      </w:pPr>
      <w:r>
        <w:t xml:space="preserve">3.6 Operational Safety Controls</w:t>
      </w:r>
    </w:p>
    <w:p>
      <w:pPr>
        <w:pStyle w:val="FirstParagraph"/>
      </w:pPr>
      <w:r>
        <w:rPr>
          <w:b/>
          <w:bCs/>
        </w:rPr>
        <w:t xml:space="preserve">NFR-TMS-005:</w:t>
      </w:r>
      <w:r>
        <w:t xml:space="preserve"> </w:t>
      </w:r>
      <w:r>
        <w:t xml:space="preserve">The system shall prevent dispatch of internal vehicles whose maintenance or compliance availability state is</w:t>
      </w:r>
      <w:r>
        <w:t xml:space="preserve"> </w:t>
      </w:r>
      <w:r>
        <w:rPr>
          <w:rStyle w:val="VerbatimChar"/>
        </w:rPr>
        <w:t xml:space="preserve">blocked</w:t>
      </w:r>
      <w:r>
        <w:t xml:space="preserve">. Blocked-state evaluation shall include at minimum maintenance hold, expired insurance, and inactive vehicle status.</w:t>
      </w:r>
    </w:p>
    <w:bookmarkEnd w:id="41"/>
    <w:bookmarkStart w:id="42" w:name="X5557305518f6bbaed1a1ac50c94089ced6c6d8a"/>
    <w:p>
      <w:pPr>
        <w:pStyle w:val="Heading2"/>
      </w:pPr>
      <w:r>
        <w:t xml:space="preserve">3.7 Graceful Degradation</w:t>
      </w:r>
    </w:p>
    <w:p>
      <w:pPr>
        <w:pStyle w:val="FirstParagraph"/>
      </w:pPr>
      <w:r>
        <w:rPr>
          <w:b/>
          <w:bCs/>
        </w:rPr>
        <w:t xml:space="preserve">NFR-TMS-006:</w:t>
      </w:r>
      <w:r>
        <w:t xml:space="preserve"> </w:t>
      </w:r>
      <w:r>
        <w:t xml:space="preserve">If route-ETA calculations, telematics ingestion, or notification delivery are temporarily unavailable, the core shipment, dispatch, proof, and settlement workflows shall remain usable. The unavailable subsystem shall surface a clear warning state without corrupting transport records.</w:t>
      </w:r>
    </w:p>
    <w:bookmarkEnd w:id="42"/>
    <w:bookmarkEnd w:id="43"/>
    <w:bookmarkStart w:id="47" w:name="Xf5e8b324cd8a604383e7657617f1eb1ed69192b"/>
    <w:p>
      <w:pPr>
        <w:pStyle w:val="Heading1"/>
      </w:pPr>
      <w:r>
        <w:t xml:space="preserve">Traceability Matrix - Transportation and Fleet Operations Module</w:t>
      </w:r>
    </w:p>
    <w:bookmarkStart w:id="44" w:name="X4e640066bc2aaf7152d59a8f504a4169cafa087"/>
    <w:p>
      <w:pPr>
        <w:pStyle w:val="Heading2"/>
      </w:pPr>
      <w:r>
        <w:t xml:space="preserve">4.1 Overview</w:t>
      </w:r>
    </w:p>
    <w:p>
      <w:pPr>
        <w:pStyle w:val="FirstParagraph"/>
      </w:pPr>
      <w:r>
        <w:t xml:space="preserve">This matrix maps every functional requirement in this SRS to at least 1 business goal defined in Section 1.6 and records the deterministic test oracle for each requirement. All FRs without a mapping to a business goal are anomalies and shall be treated as</w:t>
      </w:r>
      <w:r>
        <w:t xml:space="preserve"> </w:t>
      </w:r>
      <w:r>
        <w:rPr>
          <w:rStyle w:val="VerbatimChar"/>
        </w:rPr>
        <w:t xml:space="preserve">[TRACE-GAP]</w:t>
      </w:r>
      <w:r>
        <w:t xml:space="preserve">.</w:t>
      </w:r>
    </w:p>
    <w:bookmarkEnd w:id="44"/>
    <w:bookmarkStart w:id="45" w:name="X42e1f0c12b8d56a272bf433e8b2233f2eae464e"/>
    <w:p>
      <w:pPr>
        <w:pStyle w:val="Heading2"/>
      </w:pPr>
      <w:r>
        <w:t xml:space="preserve">4.2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BG-TMS-001</w:t>
            </w:r>
          </w:p>
        </w:tc>
        <w:tc>
          <w:tcPr/>
          <w:p>
            <w:pPr>
              <w:pStyle w:val="Compact"/>
            </w:pPr>
            <w:r>
              <w:t xml:space="preserve">Reduce transport cost through better load planning, route control, and freight validation</w:t>
            </w:r>
          </w:p>
        </w:tc>
      </w:tr>
      <w:tr>
        <w:tc>
          <w:tcPr/>
          <w:p>
            <w:pPr>
              <w:pStyle w:val="Compact"/>
            </w:pPr>
            <w:r>
              <w:t xml:space="preserve">BG-TMS-002</w:t>
            </w:r>
          </w:p>
        </w:tc>
        <w:tc>
          <w:tcPr/>
          <w:p>
            <w:pPr>
              <w:pStyle w:val="Compact"/>
            </w:pPr>
            <w:r>
              <w:t xml:space="preserve">Improve service reliability through dispatch discipline, ETA visibility, and exception ownership</w:t>
            </w:r>
          </w:p>
        </w:tc>
      </w:tr>
      <w:tr>
        <w:tc>
          <w:tcPr/>
          <w:p>
            <w:pPr>
              <w:pStyle w:val="Compact"/>
            </w:pPr>
            <w:r>
              <w:t xml:space="preserve">BG-TMS-003</w:t>
            </w:r>
          </w:p>
        </w:tc>
        <w:tc>
          <w:tcPr/>
          <w:p>
            <w:pPr>
              <w:pStyle w:val="Compact"/>
            </w:pPr>
            <w:r>
              <w:t xml:space="preserve">Increase fleet utilisation and operational control for organisations running internal vehicles</w:t>
            </w:r>
          </w:p>
        </w:tc>
      </w:tr>
      <w:tr>
        <w:tc>
          <w:tcPr/>
          <w:p>
            <w:pPr>
              <w:pStyle w:val="Compact"/>
            </w:pPr>
            <w:r>
              <w:t xml:space="preserve">BG-TMS-004</w:t>
            </w:r>
          </w:p>
        </w:tc>
        <w:tc>
          <w:tcPr/>
          <w:p>
            <w:pPr>
              <w:pStyle w:val="Compact"/>
            </w:pPr>
            <w:r>
              <w:t xml:space="preserve">Create a traceable transport record from shipment planning through proof of delivery and settlement</w:t>
            </w:r>
          </w:p>
        </w:tc>
      </w:tr>
      <w:tr>
        <w:tc>
          <w:tcPr/>
          <w:p>
            <w:pPr>
              <w:pStyle w:val="Compact"/>
            </w:pPr>
            <w:r>
              <w:t xml:space="preserve">BG-TMS-005</w:t>
            </w:r>
          </w:p>
        </w:tc>
        <w:tc>
          <w:tcPr/>
          <w:p>
            <w:pPr>
              <w:pStyle w:val="Compact"/>
            </w:pPr>
            <w:r>
              <w:t xml:space="preserve">Give management transport analytics that connect physical movement to financial outcomes</w:t>
            </w:r>
          </w:p>
        </w:tc>
      </w:tr>
    </w:tbl>
    <w:bookmarkEnd w:id="45"/>
    <w:bookmarkStart w:id="46" w:name="X6acc2bd092091aac959d60cc6bc6208e96caac9"/>
    <w:p>
      <w:pPr>
        <w:pStyle w:val="Heading2"/>
      </w:pPr>
      <w:r>
        <w:t xml:space="preserve">4.3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PRD Reference</w:t>
            </w:r>
          </w:p>
        </w:tc>
        <w:tc>
          <w:tcPr/>
          <w:p>
            <w:pPr>
              <w:pStyle w:val="Compact"/>
            </w:pPr>
            <w:r>
              <w:t xml:space="preserve">Test Oracle</w:t>
            </w:r>
          </w:p>
        </w:tc>
      </w:tr>
      <w:tr>
        <w:tc>
          <w:tcPr/>
          <w:p>
            <w:pPr>
              <w:pStyle w:val="Compact"/>
            </w:pPr>
            <w:r>
              <w:t xml:space="preserve">FR-TMS-001</w:t>
            </w:r>
          </w:p>
        </w:tc>
        <w:tc>
          <w:tcPr/>
          <w:p>
            <w:pPr>
              <w:pStyle w:val="Compact"/>
            </w:pPr>
            <w:r>
              <w:t xml:space="preserve">2.1</w:t>
            </w:r>
          </w:p>
        </w:tc>
        <w:tc>
          <w:tcPr/>
          <w:p>
            <w:pPr>
              <w:pStyle w:val="Compact"/>
            </w:pPr>
            <w:r>
              <w:t xml:space="preserve">Shipment-demand consolidation into a transport-planning workbench</w:t>
            </w:r>
          </w:p>
        </w:tc>
        <w:tc>
          <w:tcPr/>
          <w:p>
            <w:pPr>
              <w:pStyle w:val="Compact"/>
            </w:pPr>
            <w:r>
              <w:t xml:space="preserve">BG-TMS-001, BG-TMS-002, BG-TMS-004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Confirm sales order, transfer order, and manual transport request; verify 3 shipment orders appear in the unplanned workbench with correct source references.</w:t>
            </w:r>
          </w:p>
        </w:tc>
      </w:tr>
      <w:tr>
        <w:tc>
          <w:tcPr/>
          <w:p>
            <w:pPr>
              <w:pStyle w:val="Compact"/>
            </w:pPr>
            <w:r>
              <w:t xml:space="preserve">FR-TMS-002</w:t>
            </w:r>
          </w:p>
        </w:tc>
        <w:tc>
          <w:tcPr/>
          <w:p>
            <w:pPr>
              <w:pStyle w:val="Compact"/>
            </w:pPr>
            <w:r>
              <w:t xml:space="preserve">2.2</w:t>
            </w:r>
          </w:p>
        </w:tc>
        <w:tc>
          <w:tcPr/>
          <w:p>
            <w:pPr>
              <w:pStyle w:val="Compact"/>
            </w:pPr>
            <w:r>
              <w:t xml:space="preserve">Load, route, and stop planning with capacity enforcement</w:t>
            </w:r>
          </w:p>
        </w:tc>
        <w:tc>
          <w:tcPr/>
          <w:p>
            <w:pPr>
              <w:pStyle w:val="Compact"/>
            </w:pPr>
            <w:r>
              <w:t xml:space="preserve">BG-TMS-001, BG-TMS-002, BG-TMS-003</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vehicle profile with 5-ton capacity; plan route totalling 6 tons; verify save is blocked and capacity error identifies weight as the violating dimension.</w:t>
            </w:r>
          </w:p>
        </w:tc>
      </w:tr>
      <w:tr>
        <w:tc>
          <w:tcPr/>
          <w:p>
            <w:pPr>
              <w:pStyle w:val="Compact"/>
            </w:pPr>
            <w:r>
              <w:t xml:space="preserve">FR-TMS-003</w:t>
            </w:r>
          </w:p>
        </w:tc>
        <w:tc>
          <w:tcPr/>
          <w:p>
            <w:pPr>
              <w:pStyle w:val="Compact"/>
            </w:pPr>
            <w:r>
              <w:t xml:space="preserve">2.3</w:t>
            </w:r>
          </w:p>
        </w:tc>
        <w:tc>
          <w:tcPr/>
          <w:p>
            <w:pPr>
              <w:pStyle w:val="Compact"/>
            </w:pPr>
            <w:r>
              <w:t xml:space="preserve">Dispatch with carrier or internal-fleet assignment and availability control</w:t>
            </w:r>
          </w:p>
        </w:tc>
        <w:tc>
          <w:tcPr/>
          <w:p>
            <w:pPr>
              <w:pStyle w:val="Compact"/>
            </w:pPr>
            <w:r>
              <w:t xml:space="preserve">BG-TMS-002, BG-TMS-003, BG-TMS-004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Mark vehicle on maintenance hold; attempt dispatch; verify dispatch blocked. Release hold and dispatch with available driver; verify trip record created and notification queued.</w:t>
            </w:r>
          </w:p>
        </w:tc>
      </w:tr>
      <w:tr>
        <w:tc>
          <w:tcPr/>
          <w:p>
            <w:pPr>
              <w:pStyle w:val="Compact"/>
            </w:pPr>
            <w:r>
              <w:t xml:space="preserve">FR-TMS-004</w:t>
            </w:r>
          </w:p>
        </w:tc>
        <w:tc>
          <w:tcPr/>
          <w:p>
            <w:pPr>
              <w:pStyle w:val="Compact"/>
            </w:pPr>
            <w:r>
              <w:t xml:space="preserve">2.4</w:t>
            </w:r>
          </w:p>
        </w:tc>
        <w:tc>
          <w:tcPr/>
          <w:p>
            <w:pPr>
              <w:pStyle w:val="Compact"/>
            </w:pPr>
            <w:r>
              <w:t xml:space="preserve">Milestone visibility, ETA refresh, and exception queue</w:t>
            </w:r>
          </w:p>
        </w:tc>
        <w:tc>
          <w:tcPr/>
          <w:p>
            <w:pPr>
              <w:pStyle w:val="Compact"/>
            </w:pPr>
            <w:r>
              <w:t xml:space="preserve">BG-TMS-002, BG-TMS-004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Dispatch trip with 30-minute delay threshold; post milestone producing projected 45-minute delay; verify high-severity exception appears on dispatcher dashboard within 5 seconds.</w:t>
            </w:r>
          </w:p>
        </w:tc>
      </w:tr>
      <w:tr>
        <w:tc>
          <w:tcPr/>
          <w:p>
            <w:pPr>
              <w:pStyle w:val="Compact"/>
            </w:pPr>
            <w:r>
              <w:t xml:space="preserve">FR-TMS-005</w:t>
            </w:r>
          </w:p>
        </w:tc>
        <w:tc>
          <w:tcPr/>
          <w:p>
            <w:pPr>
              <w:pStyle w:val="Compact"/>
            </w:pPr>
            <w:r>
              <w:t xml:space="preserve">2.5</w:t>
            </w:r>
          </w:p>
        </w:tc>
        <w:tc>
          <w:tcPr/>
          <w:p>
            <w:pPr>
              <w:pStyle w:val="Compact"/>
            </w:pPr>
            <w:r>
              <w:t xml:space="preserve">Proof capture, trip closure, and actual operational costing</w:t>
            </w:r>
          </w:p>
        </w:tc>
        <w:tc>
          <w:tcPr/>
          <w:p>
            <w:pPr>
              <w:pStyle w:val="Compact"/>
            </w:pPr>
            <w:r>
              <w:t xml:space="preserve">BG-TMS-003, BG-TMS-004, BG-TMS-005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Complete stop with customer signature and image proof; attempt trip close without actual costs; verify mandatory close-out fields enforced; enter costs and verify trip closes successfully.</w:t>
            </w:r>
          </w:p>
        </w:tc>
      </w:tr>
      <w:tr>
        <w:tc>
          <w:tcPr/>
          <w:p>
            <w:pPr>
              <w:pStyle w:val="Compact"/>
            </w:pPr>
            <w:r>
              <w:t xml:space="preserve">FR-TMS-006</w:t>
            </w:r>
          </w:p>
        </w:tc>
        <w:tc>
          <w:tcPr/>
          <w:p>
            <w:pPr>
              <w:pStyle w:val="Compact"/>
            </w:pPr>
            <w:r>
              <w:t xml:space="preserve">2.6</w:t>
            </w:r>
          </w:p>
        </w:tc>
        <w:tc>
          <w:tcPr/>
          <w:p>
            <w:pPr>
              <w:pStyle w:val="Compact"/>
            </w:pPr>
            <w:r>
              <w:t xml:space="preserve">Freight audit, settlement, and analytics</w:t>
            </w:r>
          </w:p>
        </w:tc>
        <w:tc>
          <w:tcPr/>
          <w:p>
            <w:pPr>
              <w:pStyle w:val="Compact"/>
            </w:pPr>
            <w:r>
              <w:t xml:space="preserve">BG-TMS-001, BG-TMS-004, BG-TMS-005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Submit carrier invoice 10% above planned lane cost with 5% tolerance; verify settlement placed in audit hold and payment posting blocked until approval.</w:t>
            </w:r>
          </w:p>
        </w:tc>
      </w:tr>
    </w:tbl>
    <w:bookmarkEnd w:id="46"/>
    <w:bookmarkEnd w:id="4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Transportation and Fleet Operations</dc:title>
  <dc:creator/>
  <cp:keywords/>
  <dcterms:created xsi:type="dcterms:W3CDTF">2026-04-22T20:55:53Z</dcterms:created>
  <dcterms:modified xsi:type="dcterms:W3CDTF">2026-04-22T20:55:53Z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