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definition-of-done--academia-pro"/>
    <w:p>
      <w:pPr>
        <w:pStyle w:val="Heading1"/>
      </w:pPr>
      <w:r>
        <w:t xml:space="preserve">Definition of Done — Academia Pro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Hybrid (Water-Scrum-Fall)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Scrum Guide (2020) adapted for solo-developer context</w:t>
      </w:r>
    </w:p>
    <w:p>
      <w:pPr>
        <w:pStyle w:val="BodyText"/>
      </w:pPr>
      <w:r>
        <w:t xml:space="preserve">This document defines the quality criteria that every Product Backlog Item (PBI), Increment, and Release SHALL satisfy before it is considered Done. A PBI that fails any criterion below is not Done and SHALL NOT be included in the Increment.</w:t>
      </w:r>
    </w:p>
    <w:bookmarkStart w:id="19" w:name="X27d9efd9e1814e28518b61c814f0427bea6b2fa"/>
    <w:p>
      <w:pPr>
        <w:pStyle w:val="Heading2"/>
      </w:pPr>
      <w:r>
        <w:t xml:space="preserve">1 Code Quality Criteria</w:t>
      </w:r>
    </w:p>
    <w:p>
      <w:pPr>
        <w:pStyle w:val="Compact"/>
        <w:numPr>
          <w:ilvl w:val="0"/>
          <w:numId w:val="1001"/>
        </w:numPr>
      </w:pPr>
      <w:r>
        <w:t xml:space="preserve">CQ-01: The CI build SHALL pass with zero errors on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before merge.</w:t>
      </w:r>
    </w:p>
    <w:p>
      <w:pPr>
        <w:pStyle w:val="Compact"/>
        <w:numPr>
          <w:ilvl w:val="0"/>
          <w:numId w:val="1001"/>
        </w:numPr>
      </w:pPr>
      <w:r>
        <w:t xml:space="preserve">CQ-02:</w:t>
      </w:r>
      <w:r>
        <w:t xml:space="preserve"> </w:t>
      </w:r>
      <w:r>
        <w:rPr>
          <w:rStyle w:val="VerbatimChar"/>
        </w:rPr>
        <w:t xml:space="preserve">PHPStan</w:t>
      </w:r>
      <w:r>
        <w:t xml:space="preserve"> </w:t>
      </w:r>
      <w:r>
        <w:t xml:space="preserve">level 8 analysis SHALL report zero errors.</w:t>
      </w:r>
    </w:p>
    <w:p>
      <w:pPr>
        <w:pStyle w:val="Compact"/>
        <w:numPr>
          <w:ilvl w:val="0"/>
          <w:numId w:val="1001"/>
        </w:numPr>
      </w:pPr>
      <w:r>
        <w:t xml:space="preserve">CQ-03:</w:t>
      </w:r>
      <w:r>
        <w:t xml:space="preserve"> </w:t>
      </w:r>
      <w:r>
        <w:rPr>
          <w:rStyle w:val="VerbatimChar"/>
        </w:rPr>
        <w:t xml:space="preserve">PHP CS Fixer</w:t>
      </w:r>
      <w:r>
        <w:t xml:space="preserve"> </w:t>
      </w:r>
      <w:r>
        <w:t xml:space="preserve">(PSR-12 ruleset) SHALL report zero violations.</w:t>
      </w:r>
    </w:p>
    <w:p>
      <w:pPr>
        <w:pStyle w:val="Compact"/>
        <w:numPr>
          <w:ilvl w:val="0"/>
          <w:numId w:val="1001"/>
        </w:numPr>
      </w:pPr>
      <w:r>
        <w:t xml:space="preserve">CQ-04: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SHALL report zero violations on all TypeScript files.</w:t>
      </w:r>
    </w:p>
    <w:p>
      <w:pPr>
        <w:pStyle w:val="Compact"/>
        <w:numPr>
          <w:ilvl w:val="0"/>
          <w:numId w:val="1001"/>
        </w:numPr>
      </w:pPr>
      <w:r>
        <w:t xml:space="preserve">CQ-05:</w:t>
      </w:r>
      <w:r>
        <w:t xml:space="preserve"> </w:t>
      </w:r>
      <w:r>
        <w:rPr>
          <w:rStyle w:val="VerbatimChar"/>
        </w:rPr>
        <w:t xml:space="preserve">composer audit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SHALL report zero critical or high vulnerabilities in production dependencies.</w:t>
      </w:r>
    </w:p>
    <w:p>
      <w:pPr>
        <w:pStyle w:val="Compact"/>
        <w:numPr>
          <w:ilvl w:val="0"/>
          <w:numId w:val="1001"/>
        </w:numPr>
      </w:pPr>
      <w:r>
        <w:t xml:space="preserve">CQ-06: 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HACK</w:t>
      </w:r>
      <w:r>
        <w:t xml:space="preserve"> </w:t>
      </w:r>
      <w:r>
        <w:t xml:space="preserve">comments SHALL remain in committed code unless tracked by a backlog item with a unique identifier.</w:t>
      </w:r>
    </w:p>
    <w:p>
      <w:pPr>
        <w:pStyle w:val="Compact"/>
        <w:numPr>
          <w:ilvl w:val="0"/>
          <w:numId w:val="1001"/>
        </w:numPr>
      </w:pPr>
      <w:r>
        <w:t xml:space="preserve">CQ-07: All new PHP classes and methods SHALL declare strict types (</w:t>
      </w:r>
      <w:r>
        <w:rPr>
          <w:rStyle w:val="VerbatimChar"/>
        </w:rPr>
        <w:t xml:space="preserve">declare(strict_types=1)</w:t>
      </w:r>
      <w:r>
        <w:t xml:space="preserve">).</w:t>
      </w:r>
    </w:p>
    <w:bookmarkEnd w:id="19"/>
    <w:bookmarkStart w:id="20" w:name="Xd5fe4cd10c35802c916fcf0dc252281dfcd5097"/>
    <w:p>
      <w:pPr>
        <w:pStyle w:val="Heading2"/>
      </w:pPr>
      <w:r>
        <w:t xml:space="preserve">2 Testing Criteria</w:t>
      </w:r>
    </w:p>
    <w:p>
      <w:pPr>
        <w:pStyle w:val="Compact"/>
        <w:numPr>
          <w:ilvl w:val="0"/>
          <w:numId w:val="1002"/>
        </w:numPr>
      </w:pPr>
      <w:r>
        <w:t xml:space="preserve">TS-01: All new and modified code SHALL have accompanying unit tests that pass.</w:t>
      </w:r>
    </w:p>
    <w:p>
      <w:pPr>
        <w:pStyle w:val="Compact"/>
        <w:numPr>
          <w:ilvl w:val="0"/>
          <w:numId w:val="1002"/>
        </w:numPr>
      </w:pPr>
      <w:r>
        <w:t xml:space="preserve">TS-02: Backend test coverage SHALL be ≥80% line coverage as measured by PHPUnit with Xdebug/PCOV.</w:t>
      </w:r>
    </w:p>
    <w:p>
      <w:pPr>
        <w:pStyle w:val="Compact"/>
        <w:numPr>
          <w:ilvl w:val="0"/>
          <w:numId w:val="1002"/>
        </w:numPr>
      </w:pPr>
      <w:r>
        <w:t xml:space="preserve">TS-03: UNEB grading engine and fee calculation logic SHALL maintain 100% line coverage.</w:t>
      </w:r>
    </w:p>
    <w:p>
      <w:pPr>
        <w:pStyle w:val="Compact"/>
        <w:numPr>
          <w:ilvl w:val="0"/>
          <w:numId w:val="1002"/>
        </w:numPr>
      </w:pPr>
      <w:r>
        <w:t xml:space="preserve">TS-04: Frontend component coverage SHALL be ≥70% as measured by Vitest.</w:t>
      </w:r>
    </w:p>
    <w:p>
      <w:pPr>
        <w:pStyle w:val="Compact"/>
        <w:numPr>
          <w:ilvl w:val="0"/>
          <w:numId w:val="1002"/>
        </w:numPr>
      </w:pPr>
      <w:r>
        <w:t xml:space="preserve">TS-05: All critical user flows (admission, fee payment, mark entry, report card generation) SHALL pass their Playwright end-to-end tests.</w:t>
      </w:r>
    </w:p>
    <w:p>
      <w:pPr>
        <w:pStyle w:val="Compact"/>
        <w:numPr>
          <w:ilvl w:val="0"/>
          <w:numId w:val="1002"/>
        </w:numPr>
      </w:pPr>
      <w:r>
        <w:t xml:space="preserve">TS-06: No existing test SHALL regress. A regression is defined as a previously passing test that now fails.</w:t>
      </w:r>
    </w:p>
    <w:p>
      <w:pPr>
        <w:pStyle w:val="Compact"/>
        <w:numPr>
          <w:ilvl w:val="0"/>
          <w:numId w:val="1002"/>
        </w:numPr>
      </w:pPr>
      <w:r>
        <w:t xml:space="preserve">TS-07: Edge cases identified in</w:t>
      </w:r>
      <w:r>
        <w:t xml:space="preserve"> </w:t>
      </w:r>
      <w:r>
        <w:rPr>
          <w:rStyle w:val="VerbatimChar"/>
        </w:rPr>
        <w:t xml:space="preserve">_context/</w:t>
      </w:r>
      <w:r>
        <w:t xml:space="preserve"> </w:t>
      </w:r>
      <w:r>
        <w:t xml:space="preserve">files and acceptance criteria SHALL have corresponding test cases.</w:t>
      </w:r>
    </w:p>
    <w:p>
      <w:pPr>
        <w:pStyle w:val="Compact"/>
        <w:numPr>
          <w:ilvl w:val="0"/>
          <w:numId w:val="1002"/>
        </w:numPr>
      </w:pPr>
      <w:r>
        <w:t xml:space="preserve">TS-08: Fee payment idempotency tests SHALL confirm zero duplicate receipts per 10,000 simulated payment events.</w:t>
      </w:r>
    </w:p>
    <w:bookmarkEnd w:id="20"/>
    <w:bookmarkStart w:id="21" w:name="Xcb9593a26dc3f3d564dc38aed1f0e7ca5dcf007"/>
    <w:p>
      <w:pPr>
        <w:pStyle w:val="Heading2"/>
      </w:pPr>
      <w:r>
        <w:t xml:space="preserve">3 Documentation Criteria</w:t>
      </w:r>
    </w:p>
    <w:p>
      <w:pPr>
        <w:pStyle w:val="Compact"/>
        <w:numPr>
          <w:ilvl w:val="0"/>
          <w:numId w:val="1003"/>
        </w:numPr>
      </w:pPr>
      <w:r>
        <w:t xml:space="preserve">DC-01: Non-obvious logic (algorithms, business rules, workarounds) SHALL have inline comments explaining the rationale.</w:t>
      </w:r>
    </w:p>
    <w:p>
      <w:pPr>
        <w:pStyle w:val="Compact"/>
        <w:numPr>
          <w:ilvl w:val="0"/>
          <w:numId w:val="1003"/>
        </w:numPr>
      </w:pPr>
      <w:r>
        <w:t xml:space="preserve">DC-02: New or modified API endpoints SHALL have updated OpenAPI documentation before merge.</w:t>
      </w:r>
    </w:p>
    <w:p>
      <w:pPr>
        <w:pStyle w:val="Compact"/>
        <w:numPr>
          <w:ilvl w:val="0"/>
          <w:numId w:val="1003"/>
        </w:numPr>
      </w:pPr>
      <w:r>
        <w:t xml:space="preserve">DC-03: A changelog entry SHALL be added to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describing the change, its category (added, changed, fixed, removed), and the related backlog item identifier.</w:t>
      </w:r>
    </w:p>
    <w:p>
      <w:pPr>
        <w:pStyle w:val="Compact"/>
        <w:numPr>
          <w:ilvl w:val="0"/>
          <w:numId w:val="1003"/>
        </w:numPr>
      </w:pPr>
      <w:r>
        <w:t xml:space="preserve">DC-04: Database migration files SHALL include a comment block describing the schema change and its rollback procedure.</w:t>
      </w:r>
    </w:p>
    <w:bookmarkEnd w:id="21"/>
    <w:bookmarkStart w:id="22" w:name="X575a09ad78685cf04678cc2297c6d713ef5e9fe"/>
    <w:p>
      <w:pPr>
        <w:pStyle w:val="Heading2"/>
      </w:pPr>
      <w:r>
        <w:t xml:space="preserve">4 Review Criteria</w:t>
      </w:r>
    </w:p>
    <w:p>
      <w:pPr>
        <w:pStyle w:val="Compact"/>
        <w:numPr>
          <w:ilvl w:val="0"/>
          <w:numId w:val="1004"/>
        </w:numPr>
      </w:pPr>
      <w:r>
        <w:t xml:space="preserve">RV-01: The developer SHALL complete the self-review checklist (Appendix A) before marking a PBI as Done.</w:t>
      </w:r>
    </w:p>
    <w:p>
      <w:pPr>
        <w:pStyle w:val="Compact"/>
        <w:numPr>
          <w:ilvl w:val="0"/>
          <w:numId w:val="1004"/>
        </w:numPr>
      </w:pPr>
      <w:r>
        <w:t xml:space="preserve">RV-02: For architectural changes (new module, schema redesign, new external integration), the developer SHALL document the decision in an Architecture Decision Record (ADR) and review it against the Design Covenant in</w:t>
      </w:r>
      <w:r>
        <w:t xml:space="preserve"> </w:t>
      </w:r>
      <w:r>
        <w:rPr>
          <w:rStyle w:val="VerbatimChar"/>
        </w:rPr>
        <w:t xml:space="preserve">_context/vision.md</w:t>
      </w:r>
      <w:r>
        <w:t xml:space="preserve"> </w:t>
      </w:r>
      <w:r>
        <w:t xml:space="preserve">before merge.</w:t>
      </w:r>
    </w:p>
    <w:p>
      <w:pPr>
        <w:pStyle w:val="Compact"/>
        <w:numPr>
          <w:ilvl w:val="0"/>
          <w:numId w:val="1004"/>
        </w:numPr>
      </w:pPr>
      <w:r>
        <w:t xml:space="preserve">RV-03: The developer SHALL verify that all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,</w:t>
      </w:r>
      <w:r>
        <w:t xml:space="preserve"> </w:t>
      </w:r>
      <w:r>
        <w:rPr>
          <w:rStyle w:val="VerbatimChar"/>
        </w:rPr>
        <w:t xml:space="preserve">[GLOSSARY-GAP]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[V&amp;V-FAIL]</w:t>
      </w:r>
      <w:r>
        <w:t xml:space="preserve"> </w:t>
      </w:r>
      <w:r>
        <w:t xml:space="preserve">tags are resolved before marking as Done.</w:t>
      </w:r>
    </w:p>
    <w:bookmarkEnd w:id="22"/>
    <w:bookmarkStart w:id="23" w:name="X64d25c4fa1c0ab5738f307c80e09ad69f088438"/>
    <w:p>
      <w:pPr>
        <w:pStyle w:val="Heading2"/>
      </w:pPr>
      <w:r>
        <w:t xml:space="preserve">5 Deployment Criteria</w:t>
      </w:r>
    </w:p>
    <w:p>
      <w:pPr>
        <w:pStyle w:val="Compact"/>
        <w:numPr>
          <w:ilvl w:val="0"/>
          <w:numId w:val="1005"/>
        </w:numPr>
      </w:pPr>
      <w:r>
        <w:t xml:space="preserve">DP-01: The full CI/CD pipeline SHALL complete with a green status on the staging environment.</w:t>
      </w:r>
    </w:p>
    <w:p>
      <w:pPr>
        <w:pStyle w:val="Compact"/>
        <w:numPr>
          <w:ilvl w:val="0"/>
          <w:numId w:val="1005"/>
        </w:numPr>
      </w:pPr>
      <w:r>
        <w:t xml:space="preserve">DP-02: The PBI SHALL be verified on the staging environment against its acceptance criteria before promotion to production.</w:t>
      </w:r>
    </w:p>
    <w:p>
      <w:pPr>
        <w:pStyle w:val="Compact"/>
        <w:numPr>
          <w:ilvl w:val="0"/>
          <w:numId w:val="1005"/>
        </w:numPr>
      </w:pPr>
      <w:r>
        <w:t xml:space="preserve">DP-03: The rollback procedure for the deployment SHALL be documented and tested on staging.</w:t>
      </w:r>
    </w:p>
    <w:p>
      <w:pPr>
        <w:pStyle w:val="Compact"/>
        <w:numPr>
          <w:ilvl w:val="0"/>
          <w:numId w:val="1005"/>
        </w:numPr>
      </w:pPr>
      <w:r>
        <w:t xml:space="preserve">DP-04: Database migrations SHALL be verified as reversible on staging before production deployment.</w:t>
      </w:r>
    </w:p>
    <w:bookmarkEnd w:id="23"/>
    <w:bookmarkStart w:id="24" w:name="X36a52477a1a64330e74375eac3f61b7ed9c6701"/>
    <w:p>
      <w:pPr>
        <w:pStyle w:val="Heading2"/>
      </w:pPr>
      <w:r>
        <w:t xml:space="preserve">6 Increment-Level Definition of Done</w:t>
      </w:r>
    </w:p>
    <w:p>
      <w:pPr>
        <w:pStyle w:val="FirstParagraph"/>
      </w:pPr>
      <w:r>
        <w:t xml:space="preserve">An Increment (the sum of all PBIs completed in a Sprint) SHALL satisfy:</w:t>
      </w:r>
    </w:p>
    <w:p>
      <w:pPr>
        <w:pStyle w:val="Compact"/>
        <w:numPr>
          <w:ilvl w:val="0"/>
          <w:numId w:val="1006"/>
        </w:numPr>
      </w:pPr>
      <w:r>
        <w:t xml:space="preserve">IN-01: Every PBI in the Increment SHALL meet all item-level criteria (Sections 1 through 5).</w:t>
      </w:r>
    </w:p>
    <w:p>
      <w:pPr>
        <w:pStyle w:val="Compact"/>
        <w:numPr>
          <w:ilvl w:val="0"/>
          <w:numId w:val="1006"/>
        </w:numPr>
      </w:pPr>
      <w:r>
        <w:t xml:space="preserve">IN-02: The Sprint Goal SHALL be validated by verifying that the Increment delivers the intended capability.</w:t>
      </w:r>
    </w:p>
    <w:p>
      <w:pPr>
        <w:pStyle w:val="Compact"/>
        <w:numPr>
          <w:ilvl w:val="0"/>
          <w:numId w:val="1006"/>
        </w:numPr>
      </w:pPr>
      <w:r>
        <w:t xml:space="preserve">IN-03: Zero critical or high-severity defects SHALL remain open against the Increment.</w:t>
      </w:r>
    </w:p>
    <w:p>
      <w:pPr>
        <w:pStyle w:val="Compact"/>
        <w:numPr>
          <w:ilvl w:val="0"/>
          <w:numId w:val="1006"/>
        </w:numPr>
      </w:pPr>
      <w:r>
        <w:t xml:space="preserve">IN-04: Cross-module integration tests SHALL pass when the Increment includes changes spanning multiple modules.</w:t>
      </w:r>
    </w:p>
    <w:p>
      <w:pPr>
        <w:pStyle w:val="Compact"/>
        <w:numPr>
          <w:ilvl w:val="0"/>
          <w:numId w:val="1006"/>
        </w:numPr>
      </w:pPr>
      <w:r>
        <w:t xml:space="preserve">IN-05: API response time (P95) SHALL remain ≤500 ms under 200 concurrent requests as measured by</w:t>
      </w:r>
      <w:r>
        <w:t xml:space="preserve"> </w:t>
      </w:r>
      <w:r>
        <w:rPr>
          <w:rStyle w:val="VerbatimChar"/>
        </w:rPr>
        <w:t xml:space="preserve">k6</w:t>
      </w:r>
      <w:r>
        <w:t xml:space="preserve"> </w:t>
      </w:r>
      <w:r>
        <w:t xml:space="preserve">load test on staging.</w:t>
      </w:r>
    </w:p>
    <w:bookmarkEnd w:id="24"/>
    <w:bookmarkStart w:id="25" w:name="Xa447436822b0825c0c6bb4e2ff73c49207cad9e"/>
    <w:p>
      <w:pPr>
        <w:pStyle w:val="Heading2"/>
      </w:pPr>
      <w:r>
        <w:t xml:space="preserve">7 Release-Level Definition of Done</w:t>
      </w:r>
    </w:p>
    <w:p>
      <w:pPr>
        <w:pStyle w:val="FirstParagraph"/>
      </w:pPr>
      <w:r>
        <w:t xml:space="preserve">A Release (promoted to production) SHALL satisfy:</w:t>
      </w:r>
    </w:p>
    <w:p>
      <w:pPr>
        <w:pStyle w:val="Compact"/>
        <w:numPr>
          <w:ilvl w:val="0"/>
          <w:numId w:val="1007"/>
        </w:numPr>
      </w:pPr>
      <w:r>
        <w:t xml:space="preserve">RL-01: All Increments included in the Release SHALL meet the Increment-level DoD (Section 6).</w:t>
      </w:r>
    </w:p>
    <w:p>
      <w:pPr>
        <w:pStyle w:val="Compact"/>
        <w:numPr>
          <w:ilvl w:val="0"/>
          <w:numId w:val="1007"/>
        </w:numPr>
      </w:pPr>
      <w:r>
        <w:t xml:space="preserve">RL-02: Release notes SHALL be complete, listing all changes by category with backlog item identifiers.</w:t>
      </w:r>
    </w:p>
    <w:p>
      <w:pPr>
        <w:pStyle w:val="Compact"/>
        <w:numPr>
          <w:ilvl w:val="0"/>
          <w:numId w:val="1007"/>
        </w:numPr>
      </w:pPr>
      <w:r>
        <w:t xml:space="preserve">RL-03: Performance benchmarks SHALL meet or exceed the targets in</w:t>
      </w:r>
      <w:r>
        <w:t xml:space="preserve"> </w:t>
      </w:r>
      <w:r>
        <w:rPr>
          <w:rStyle w:val="VerbatimChar"/>
        </w:rPr>
        <w:t xml:space="preserve">_context/quality_standards.md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Page load (P95) ≤2,000 ms on 3G simulation</w:t>
      </w:r>
    </w:p>
    <w:p>
      <w:pPr>
        <w:pStyle w:val="Compact"/>
        <w:numPr>
          <w:ilvl w:val="1"/>
          <w:numId w:val="1008"/>
        </w:numPr>
      </w:pPr>
      <w:r>
        <w:t xml:space="preserve">API response time (P95) ≤500 ms</w:t>
      </w:r>
    </w:p>
    <w:p>
      <w:pPr>
        <w:pStyle w:val="Compact"/>
        <w:numPr>
          <w:ilvl w:val="1"/>
          <w:numId w:val="1008"/>
        </w:numPr>
      </w:pPr>
      <w:r>
        <w:t xml:space="preserve">UNEB grade computation (500 students) ≤5 seconds</w:t>
      </w:r>
    </w:p>
    <w:p>
      <w:pPr>
        <w:pStyle w:val="Compact"/>
        <w:numPr>
          <w:ilvl w:val="1"/>
          <w:numId w:val="1008"/>
        </w:numPr>
      </w:pPr>
      <w:r>
        <w:t xml:space="preserve">Bulk report card generation (200 students) ≤120 seconds</w:t>
      </w:r>
    </w:p>
    <w:p>
      <w:pPr>
        <w:pStyle w:val="Compact"/>
        <w:numPr>
          <w:ilvl w:val="0"/>
          <w:numId w:val="1007"/>
        </w:numPr>
      </w:pPr>
      <w:r>
        <w:t xml:space="preserve">RL-04: Zero OWASP Top 10 critical or high findings SHALL be present as verified by the security scan.</w:t>
      </w:r>
    </w:p>
    <w:p>
      <w:pPr>
        <w:pStyle w:val="Compact"/>
        <w:numPr>
          <w:ilvl w:val="0"/>
          <w:numId w:val="1007"/>
        </w:numPr>
      </w:pPr>
      <w:r>
        <w:t xml:space="preserve">RL-05: WCAG 2.1 AA compliance SHALL show zero Axe violations on all web portal pages.</w:t>
      </w:r>
    </w:p>
    <w:p>
      <w:pPr>
        <w:pStyle w:val="Compact"/>
        <w:numPr>
          <w:ilvl w:val="0"/>
          <w:numId w:val="1007"/>
        </w:numPr>
      </w:pPr>
      <w:r>
        <w:t xml:space="preserve">RL-06: Phase gate sign-off SHALL be obtained before the Release enters production, per the Water-Scrum-Fall methodology.</w:t>
      </w:r>
    </w:p>
    <w:p>
      <w:pPr>
        <w:pStyle w:val="Compact"/>
        <w:numPr>
          <w:ilvl w:val="0"/>
          <w:numId w:val="1007"/>
        </w:numPr>
      </w:pPr>
      <w:r>
        <w:t xml:space="preserve">RL-07: Backup and recovery procedures SHALL be verified (RTO ≤4 hours, RPO ≤1 hour).</w:t>
      </w:r>
    </w:p>
    <w:bookmarkEnd w:id="25"/>
    <w:bookmarkStart w:id="26" w:name="X9a06662b31cdd6da05597b977f802f9416a47a2"/>
    <w:p>
      <w:pPr>
        <w:pStyle w:val="Heading2"/>
      </w:pPr>
      <w:r>
        <w:t xml:space="preserve">Appendix A: Solo Developer Self-Review Checklist</w:t>
      </w:r>
    </w:p>
    <w:p>
      <w:pPr>
        <w:pStyle w:val="FirstParagraph"/>
      </w:pPr>
      <w:r>
        <w:t xml:space="preserve">Before marking any PBI as Done, verify each item:</w:t>
      </w:r>
    </w:p>
    <w:p>
      <w:pPr>
        <w:pStyle w:val="Compact"/>
        <w:numPr>
          <w:ilvl w:val="0"/>
          <w:numId w:val="1009"/>
        </w:numPr>
      </w:pPr>
      <w:r>
        <w:t xml:space="preserve">I have re-read the acceptance criteria and confirmed the implementation satisfies every condition.</w:t>
      </w:r>
    </w:p>
    <w:p>
      <w:pPr>
        <w:pStyle w:val="Compact"/>
        <w:numPr>
          <w:ilvl w:val="0"/>
          <w:numId w:val="1010"/>
        </w:numPr>
      </w:pPr>
      <w:r>
        <w:t xml:space="preserve">I have run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 </w:t>
      </w:r>
      <w:r>
        <w:t xml:space="preserve">locally with zero failures.</w:t>
      </w:r>
    </w:p>
    <w:p>
      <w:pPr>
        <w:pStyle w:val="Compact"/>
        <w:numPr>
          <w:ilvl w:val="0"/>
          <w:numId w:val="1011"/>
        </w:numPr>
      </w:pPr>
      <w:r>
        <w:t xml:space="preserve">I have run</w:t>
      </w:r>
      <w:r>
        <w:t xml:space="preserve"> </w:t>
      </w:r>
      <w:r>
        <w:rPr>
          <w:rStyle w:val="VerbatimChar"/>
        </w:rPr>
        <w:t xml:space="preserve">PHPStan</w:t>
      </w:r>
      <w:r>
        <w:t xml:space="preserve"> </w:t>
      </w:r>
      <w:r>
        <w:t xml:space="preserve">level 8 with zero errors.</w:t>
      </w:r>
    </w:p>
    <w:p>
      <w:pPr>
        <w:pStyle w:val="Compact"/>
        <w:numPr>
          <w:ilvl w:val="0"/>
          <w:numId w:val="1012"/>
        </w:numPr>
      </w:pPr>
      <w:r>
        <w:t xml:space="preserve">I have run</w:t>
      </w:r>
      <w:r>
        <w:t xml:space="preserve"> </w:t>
      </w:r>
      <w:r>
        <w:rPr>
          <w:rStyle w:val="VerbatimChar"/>
        </w:rPr>
        <w:t xml:space="preserve">PHP CS Fixer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/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with zero violations.</w:t>
      </w:r>
    </w:p>
    <w:p>
      <w:pPr>
        <w:pStyle w:val="Compact"/>
        <w:numPr>
          <w:ilvl w:val="0"/>
          <w:numId w:val="1013"/>
        </w:numPr>
      </w:pPr>
      <w:r>
        <w:t xml:space="preserve">I have checked for hardcoded secrets, credentials, or tenant-specific data.</w:t>
      </w:r>
    </w:p>
    <w:p>
      <w:pPr>
        <w:pStyle w:val="Compact"/>
        <w:numPr>
          <w:ilvl w:val="0"/>
          <w:numId w:val="1014"/>
        </w:numPr>
      </w:pPr>
      <w:r>
        <w:t xml:space="preserve">I have verified tenant isolation — no query leaks data across tenants.</w:t>
      </w:r>
    </w:p>
    <w:p>
      <w:pPr>
        <w:pStyle w:val="Compact"/>
        <w:numPr>
          <w:ilvl w:val="0"/>
          <w:numId w:val="1015"/>
        </w:numPr>
      </w:pPr>
      <w:r>
        <w:t xml:space="preserve">I have tested the feature on a 360 x 800 px viewport (budget Android phone).</w:t>
      </w:r>
    </w:p>
    <w:p>
      <w:pPr>
        <w:pStyle w:val="Compact"/>
        <w:numPr>
          <w:ilvl w:val="0"/>
          <w:numId w:val="1016"/>
        </w:numPr>
      </w:pPr>
      <w:r>
        <w:t xml:space="preserve">I have reviewed the diff for unnecessary changes, debug statements, and commented-out code.</w:t>
      </w:r>
    </w:p>
    <w:p>
      <w:pPr>
        <w:pStyle w:val="Compact"/>
        <w:numPr>
          <w:ilvl w:val="0"/>
          <w:numId w:val="1017"/>
        </w:numPr>
      </w:pPr>
      <w:r>
        <w:t xml:space="preserve">I have updated the changelog and API documentation where applicable.</w:t>
      </w:r>
    </w:p>
    <w:bookmarkEnd w:id="26"/>
    <w:bookmarkEnd w:id="27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2026-04-05T07:41:45Z</dcterms:created>
  <dcterms:modified xsi:type="dcterms:W3CDTF">2026-04-05T07:41:45Z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