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definition-of-ready--academia-pro"/>
    <w:p>
      <w:pPr>
        <w:pStyle w:val="Heading1"/>
      </w:pPr>
      <w:r>
        <w:t xml:space="preserve">Definition of Ready — Academia Pro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Scrum Guide (2020) adapted for solo-developer context</w:t>
      </w:r>
    </w:p>
    <w:p>
      <w:pPr>
        <w:pStyle w:val="BodyText"/>
      </w:pPr>
      <w:r>
        <w:t xml:space="preserve">This document defines the criteria that every Product Backlog Item (PBI) SHALL satisfy before it is selected into a Sprint. A PBI that fails any criterion below is not Ready and SHALL NOT enter Sprint Planning.</w:t>
      </w:r>
    </w:p>
    <w:bookmarkStart w:id="19" w:name="Xc57f9242fc61b30df3ab868c91ee939a465e8b4"/>
    <w:p>
      <w:pPr>
        <w:pStyle w:val="Heading2"/>
      </w:pPr>
      <w:r>
        <w:t xml:space="preserve">1 Story Completeness Criteria</w:t>
      </w:r>
    </w:p>
    <w:p>
      <w:pPr>
        <w:pStyle w:val="Compact"/>
        <w:numPr>
          <w:ilvl w:val="0"/>
          <w:numId w:val="1001"/>
        </w:numPr>
      </w:pPr>
      <w:r>
        <w:t xml:space="preserve">SC-01: The PBI SHALL have a unique identifier (e.g.,</w:t>
      </w:r>
      <w:r>
        <w:t xml:space="preserve"> </w:t>
      </w:r>
      <w:r>
        <w:rPr>
          <w:rStyle w:val="VerbatimChar"/>
        </w:rPr>
        <w:t xml:space="preserve">PBI-0042</w:t>
      </w:r>
      <w:r>
        <w:t xml:space="preserve">) assigned in the backlog tracker.</w:t>
      </w:r>
    </w:p>
    <w:p>
      <w:pPr>
        <w:pStyle w:val="Compact"/>
        <w:numPr>
          <w:ilvl w:val="0"/>
          <w:numId w:val="1001"/>
        </w:numPr>
      </w:pPr>
      <w:r>
        <w:t xml:space="preserve">SC-02: The PBI SHALL be expressed in user story format: "As a [role], I want [capability] so that [business value]."</w:t>
      </w:r>
    </w:p>
    <w:p>
      <w:pPr>
        <w:pStyle w:val="Compact"/>
        <w:numPr>
          <w:ilvl w:val="0"/>
          <w:numId w:val="1001"/>
        </w:numPr>
      </w:pPr>
      <w:r>
        <w:t xml:space="preserve">SC-03: The PBI SHALL state its business value in terms traceable to a project goal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SC-04: The PBI SHALL identify the primary user role from the stakeholder register in</w:t>
      </w:r>
      <w:r>
        <w:t xml:space="preserve"> </w:t>
      </w:r>
      <w:r>
        <w:rPr>
          <w:rStyle w:val="VerbatimChar"/>
        </w:rPr>
        <w:t xml:space="preserve">_context/stakeholders.md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SC-05: The PBI SHALL specify the module(s) it affects (e.g., Gradebook, Fees, Attendance).</w:t>
      </w:r>
    </w:p>
    <w:bookmarkEnd w:id="19"/>
    <w:bookmarkStart w:id="20" w:name="X8e6681dc1ad552811fd39bd097394fbfa4bffb0"/>
    <w:p>
      <w:pPr>
        <w:pStyle w:val="Heading2"/>
      </w:pPr>
      <w:r>
        <w:t xml:space="preserve">2 Acceptance Criteria Requirements</w:t>
      </w:r>
    </w:p>
    <w:p>
      <w:pPr>
        <w:pStyle w:val="Compact"/>
        <w:numPr>
          <w:ilvl w:val="0"/>
          <w:numId w:val="1002"/>
        </w:numPr>
      </w:pPr>
      <w:r>
        <w:t xml:space="preserve">AC-01: The PBI SHALL have at least one acceptance criterion written in Given-When-Then format.</w:t>
      </w:r>
    </w:p>
    <w:p>
      <w:pPr>
        <w:pStyle w:val="Compact"/>
        <w:numPr>
          <w:ilvl w:val="0"/>
          <w:numId w:val="1002"/>
        </w:numPr>
      </w:pPr>
      <w:r>
        <w:t xml:space="preserve">AC-02: The acceptance criteria SHALL cover the success path (happy path) for the primary use case.</w:t>
      </w:r>
    </w:p>
    <w:p>
      <w:pPr>
        <w:pStyle w:val="Compact"/>
        <w:numPr>
          <w:ilvl w:val="0"/>
          <w:numId w:val="1002"/>
        </w:numPr>
      </w:pPr>
      <w:r>
        <w:t xml:space="preserve">AC-03: The acceptance criteria SHALL cover at least one error path (invalid input, unauthorised access, network failure) relevant to the story.</w:t>
      </w:r>
    </w:p>
    <w:p>
      <w:pPr>
        <w:pStyle w:val="Compact"/>
        <w:numPr>
          <w:ilvl w:val="0"/>
          <w:numId w:val="1002"/>
        </w:numPr>
      </w:pPr>
      <w:r>
        <w:t xml:space="preserve">AC-04: The acceptance criteria SHALL cover edge cases identified during refinement (e.g., boundary values, empty states, concurrent access).</w:t>
      </w:r>
    </w:p>
    <w:p>
      <w:pPr>
        <w:pStyle w:val="Compact"/>
        <w:numPr>
          <w:ilvl w:val="0"/>
          <w:numId w:val="1002"/>
        </w:numPr>
      </w:pPr>
      <w:r>
        <w:t xml:space="preserve">AC-05: Each acceptance criterion SHALL be independently verifiable with a deterministic pass/fail outcome.</w:t>
      </w:r>
    </w:p>
    <w:p>
      <w:pPr>
        <w:pStyle w:val="Compact"/>
        <w:numPr>
          <w:ilvl w:val="0"/>
          <w:numId w:val="1002"/>
        </w:numPr>
      </w:pPr>
      <w:r>
        <w:t xml:space="preserve">AC-06: The developer SHALL confirm agreement with the acceptance criteria during self-refinement (see Section 6) before the PBI enters Sprint Planning.</w:t>
      </w:r>
    </w:p>
    <w:bookmarkEnd w:id="20"/>
    <w:bookmarkStart w:id="21" w:name="X914c2f06a9bdbd542e8d9a35d1a06fc12fb1c5a"/>
    <w:p>
      <w:pPr>
        <w:pStyle w:val="Heading2"/>
      </w:pPr>
      <w:r>
        <w:t xml:space="preserve">3 Sizing and Estimation Criteria</w:t>
      </w:r>
    </w:p>
    <w:p>
      <w:pPr>
        <w:pStyle w:val="Compact"/>
        <w:numPr>
          <w:ilvl w:val="0"/>
          <w:numId w:val="1003"/>
        </w:numPr>
      </w:pPr>
      <w:r>
        <w:t xml:space="preserve">SZ-01: The PBI SHALL have a story point estimate assigned during refinement.</w:t>
      </w:r>
    </w:p>
    <w:p>
      <w:pPr>
        <w:pStyle w:val="Compact"/>
        <w:numPr>
          <w:ilvl w:val="0"/>
          <w:numId w:val="1003"/>
        </w:numPr>
      </w:pPr>
      <w:r>
        <w:t xml:space="preserve">SZ-02: The PBI SHALL fit within a single Sprint. If the estimate exceeds 8 story points, the PBI SHALL be split into smaller items before it is considered Ready.</w:t>
      </w:r>
    </w:p>
    <w:p>
      <w:pPr>
        <w:pStyle w:val="Compact"/>
        <w:numPr>
          <w:ilvl w:val="0"/>
          <w:numId w:val="1003"/>
        </w:numPr>
      </w:pPr>
      <w:r>
        <w:t xml:space="preserve">SZ-03: Each split item SHALL be independently deliverable and testable.</w:t>
      </w:r>
    </w:p>
    <w:p>
      <w:pPr>
        <w:pStyle w:val="Compact"/>
        <w:numPr>
          <w:ilvl w:val="0"/>
          <w:numId w:val="1003"/>
        </w:numPr>
      </w:pPr>
      <w:r>
        <w:t xml:space="preserve">SZ-04: The estimation SHALL account for testing, documentation, and deployment effort — not just implementation.</w:t>
      </w:r>
    </w:p>
    <w:bookmarkEnd w:id="21"/>
    <w:bookmarkStart w:id="22" w:name="Xff8f95a9cf8ed1053e9fa299b57837f682d58f2"/>
    <w:p>
      <w:pPr>
        <w:pStyle w:val="Heading2"/>
      </w:pPr>
      <w:r>
        <w:t xml:space="preserve">4 Dependency Resolution Criteria</w:t>
      </w:r>
    </w:p>
    <w:p>
      <w:pPr>
        <w:pStyle w:val="Compact"/>
        <w:numPr>
          <w:ilvl w:val="0"/>
          <w:numId w:val="1004"/>
        </w:numPr>
      </w:pPr>
      <w:r>
        <w:t xml:space="preserve">DR-01: All external dependencies (third-party APIs, partner integrations, infrastructure provisioning) SHALL be identified and listed on the PBI.</w:t>
      </w:r>
    </w:p>
    <w:p>
      <w:pPr>
        <w:pStyle w:val="Compact"/>
        <w:numPr>
          <w:ilvl w:val="0"/>
          <w:numId w:val="1004"/>
        </w:numPr>
      </w:pPr>
      <w:r>
        <w:t xml:space="preserve">DR-02: Each external dependency SHALL have a confirmed resolution date that falls before or within the target Sprint.</w:t>
      </w:r>
    </w:p>
    <w:p>
      <w:pPr>
        <w:pStyle w:val="Compact"/>
        <w:numPr>
          <w:ilvl w:val="0"/>
          <w:numId w:val="1004"/>
        </w:numPr>
      </w:pPr>
      <w:r>
        <w:t xml:space="preserve">DR-03: API contracts for external integrations (e.g., SchoolPay, MTN MoMo, EMIS) SHALL be finalised and documented before the PBI enters Sprint Planning.</w:t>
      </w:r>
    </w:p>
    <w:p>
      <w:pPr>
        <w:pStyle w:val="Compact"/>
        <w:numPr>
          <w:ilvl w:val="0"/>
          <w:numId w:val="1004"/>
        </w:numPr>
      </w:pPr>
      <w:r>
        <w:t xml:space="preserve">DR-04: Internal dependencies on other PBIs SHALL be resolved or scheduled in a prior Sprint.</w:t>
      </w:r>
    </w:p>
    <w:p>
      <w:pPr>
        <w:pStyle w:val="Compact"/>
        <w:numPr>
          <w:ilvl w:val="0"/>
          <w:numId w:val="1004"/>
        </w:numPr>
      </w:pPr>
      <w:r>
        <w:t xml:space="preserve">DR-05: Required test data, sample files, or access credentials SHALL be available before Sprint start.</w:t>
      </w:r>
    </w:p>
    <w:bookmarkEnd w:id="22"/>
    <w:bookmarkStart w:id="23" w:name="X9172408975dd5806319a52de58903a7d479a1ed"/>
    <w:p>
      <w:pPr>
        <w:pStyle w:val="Heading2"/>
      </w:pPr>
      <w:r>
        <w:t xml:space="preserve">5 Design Clarity Criteria</w:t>
      </w:r>
    </w:p>
    <w:p>
      <w:pPr>
        <w:pStyle w:val="Compact"/>
        <w:numPr>
          <w:ilvl w:val="0"/>
          <w:numId w:val="1005"/>
        </w:numPr>
      </w:pPr>
      <w:r>
        <w:t xml:space="preserve">DS-01: User-facing PBIs SHALL have UI mockups or wireframes attached, specifying layout, field labels, and interaction states.</w:t>
      </w:r>
    </w:p>
    <w:p>
      <w:pPr>
        <w:pStyle w:val="Compact"/>
        <w:numPr>
          <w:ilvl w:val="0"/>
          <w:numId w:val="1005"/>
        </w:numPr>
      </w:pPr>
      <w:r>
        <w:t xml:space="preserve">DS-02: Data model changes (new tables, column additions, relationship changes) SHALL be identified and documented with a migration sketch.</w:t>
      </w:r>
    </w:p>
    <w:p>
      <w:pPr>
        <w:pStyle w:val="Compact"/>
        <w:numPr>
          <w:ilvl w:val="0"/>
          <w:numId w:val="1005"/>
        </w:numPr>
      </w:pPr>
      <w:r>
        <w:t xml:space="preserve">DS-03: The technical approach SHALL be agreed upon during refinement, including:</w:t>
      </w:r>
    </w:p>
    <w:p>
      <w:pPr>
        <w:pStyle w:val="Compact"/>
        <w:numPr>
          <w:ilvl w:val="1"/>
          <w:numId w:val="1006"/>
        </w:numPr>
      </w:pPr>
      <w:r>
        <w:t xml:space="preserve">Framework components to use or extend</w:t>
      </w:r>
    </w:p>
    <w:p>
      <w:pPr>
        <w:pStyle w:val="Compact"/>
        <w:numPr>
          <w:ilvl w:val="1"/>
          <w:numId w:val="1006"/>
        </w:numPr>
      </w:pPr>
      <w:r>
        <w:t xml:space="preserve">Affected API endpoints (new or modified)</w:t>
      </w:r>
    </w:p>
    <w:p>
      <w:pPr>
        <w:pStyle w:val="Compact"/>
        <w:numPr>
          <w:ilvl w:val="1"/>
          <w:numId w:val="1006"/>
        </w:numPr>
      </w:pPr>
      <w:r>
        <w:t xml:space="preserve">Tenant isolation strategy for the feature</w:t>
      </w:r>
    </w:p>
    <w:p>
      <w:pPr>
        <w:pStyle w:val="Compact"/>
        <w:numPr>
          <w:ilvl w:val="0"/>
          <w:numId w:val="1005"/>
        </w:numPr>
      </w:pPr>
      <w:r>
        <w:t xml:space="preserve">DS-04: Non-functional requirements applicable to the PBI SHALL be specified with measurable thresholds drawn from</w:t>
      </w:r>
      <w:r>
        <w:t xml:space="preserve"> </w:t>
      </w:r>
      <w:r>
        <w:rPr>
          <w:rStyle w:val="VerbatimChar"/>
        </w:rPr>
        <w:t xml:space="preserve">_context/quality_standards.md</w:t>
      </w:r>
      <w:r>
        <w:t xml:space="preserve">. Examples:</w:t>
      </w:r>
    </w:p>
    <w:p>
      <w:pPr>
        <w:pStyle w:val="Compact"/>
        <w:numPr>
          <w:ilvl w:val="1"/>
          <w:numId w:val="1007"/>
        </w:numPr>
      </w:pPr>
      <w:r>
        <w:t xml:space="preserve">API response time: P95 ≤500 ms</w:t>
      </w:r>
    </w:p>
    <w:p>
      <w:pPr>
        <w:pStyle w:val="Compact"/>
        <w:numPr>
          <w:ilvl w:val="1"/>
          <w:numId w:val="1007"/>
        </w:numPr>
      </w:pPr>
      <w:r>
        <w:t xml:space="preserve">Accessibility: zero Axe violations</w:t>
      </w:r>
    </w:p>
    <w:p>
      <w:pPr>
        <w:pStyle w:val="Compact"/>
        <w:numPr>
          <w:ilvl w:val="1"/>
          <w:numId w:val="1007"/>
        </w:numPr>
      </w:pPr>
      <w:r>
        <w:t xml:space="preserve">Security: zero OWASP Top 10 critical/high findings</w:t>
      </w:r>
    </w:p>
    <w:p>
      <w:pPr>
        <w:pStyle w:val="Compact"/>
        <w:numPr>
          <w:ilvl w:val="0"/>
          <w:numId w:val="1005"/>
        </w:numPr>
      </w:pPr>
      <w:r>
        <w:t xml:space="preserve">DS-05: If the PBI introduces a new algorithm or business rule (e.g., UNEB grading formula, fee penalty calculation), the rule SHALL be documented with input/output examples before Sprint entry.</w:t>
      </w:r>
    </w:p>
    <w:bookmarkEnd w:id="23"/>
    <w:bookmarkStart w:id="24" w:name="X6f72fe8b4ac9be8d33a966c3d8940ac9d75ef2d"/>
    <w:p>
      <w:pPr>
        <w:pStyle w:val="Heading2"/>
      </w:pPr>
      <w:r>
        <w:t xml:space="preserve">6 Refinement Process</w:t>
      </w:r>
    </w:p>
    <w:p>
      <w:pPr>
        <w:pStyle w:val="FirstParagraph"/>
      </w:pPr>
      <w:r>
        <w:t xml:space="preserve">Context: Academia Pro is developed by a solo developer. Traditional team-based refinement ceremonies are replaced by a structured self-refinement discipline.</w:t>
      </w:r>
    </w:p>
    <w:p>
      <w:pPr>
        <w:pStyle w:val="Compact"/>
        <w:numPr>
          <w:ilvl w:val="0"/>
          <w:numId w:val="1008"/>
        </w:numPr>
      </w:pPr>
      <w:r>
        <w:t xml:space="preserve">RF-01: The developer SHALL conduct a weekly self-refinement session (minimum 30 minutes) to review and refine the top 10 backlog items by priority.</w:t>
      </w:r>
    </w:p>
    <w:p>
      <w:pPr>
        <w:pStyle w:val="Compact"/>
        <w:numPr>
          <w:ilvl w:val="0"/>
          <w:numId w:val="1008"/>
        </w:numPr>
      </w:pPr>
      <w:r>
        <w:t xml:space="preserve">RF-02: Each refinement session SHALL verify every candidate PBI against Sections 1 through 5 of this document.</w:t>
      </w:r>
    </w:p>
    <w:p>
      <w:pPr>
        <w:pStyle w:val="Compact"/>
        <w:numPr>
          <w:ilvl w:val="0"/>
          <w:numId w:val="1008"/>
        </w:numPr>
      </w:pPr>
      <w:r>
        <w:t xml:space="preserve">RF-03: PBIs that fail any criterion SHALL be tagged</w:t>
      </w:r>
      <w:r>
        <w:t xml:space="preserve"> </w:t>
      </w:r>
      <w:r>
        <w:rPr>
          <w:rStyle w:val="VerbatimChar"/>
        </w:rPr>
        <w:t xml:space="preserve">[NOT-READY: &lt;reason&gt;]</w:t>
      </w:r>
      <w:r>
        <w:t xml:space="preserve"> </w:t>
      </w:r>
      <w:r>
        <w:t xml:space="preserve">and returned to the backlog with a note describing the missing element.</w:t>
      </w:r>
    </w:p>
    <w:p>
      <w:pPr>
        <w:pStyle w:val="Compact"/>
        <w:numPr>
          <w:ilvl w:val="0"/>
          <w:numId w:val="1008"/>
        </w:numPr>
      </w:pPr>
      <w:r>
        <w:t xml:space="preserve">RF-04: Blocked PBIs (awaiting external input, partner API access, or stakeholder decision) SHALL be escalated by:</w:t>
      </w:r>
    </w:p>
    <w:p>
      <w:pPr>
        <w:pStyle w:val="Compact"/>
        <w:numPr>
          <w:ilvl w:val="1"/>
          <w:numId w:val="1009"/>
        </w:numPr>
      </w:pPr>
      <w:r>
        <w:t xml:space="preserve">Logging the blocker in the backlog tracker with a due date.</w:t>
      </w:r>
    </w:p>
    <w:p>
      <w:pPr>
        <w:pStyle w:val="Compact"/>
        <w:numPr>
          <w:ilvl w:val="1"/>
          <w:numId w:val="1009"/>
        </w:numPr>
      </w:pPr>
      <w:r>
        <w:t xml:space="preserve">Sending a follow-up communication to the blocking party.</w:t>
      </w:r>
    </w:p>
    <w:p>
      <w:pPr>
        <w:pStyle w:val="Compact"/>
        <w:numPr>
          <w:ilvl w:val="1"/>
          <w:numId w:val="1009"/>
        </w:numPr>
      </w:pPr>
      <w:r>
        <w:t xml:space="preserve">Reviewing the blocker status at each subsequent refinement session.</w:t>
      </w:r>
    </w:p>
    <w:p>
      <w:pPr>
        <w:pStyle w:val="Compact"/>
        <w:numPr>
          <w:ilvl w:val="0"/>
          <w:numId w:val="1008"/>
        </w:numPr>
      </w:pPr>
      <w:r>
        <w:t xml:space="preserve">RF-05: The developer SHALL not select a PBI into Sprint Planning until all criteria in this document are satisfied and the</w:t>
      </w:r>
      <w:r>
        <w:t xml:space="preserve"> </w:t>
      </w:r>
      <w:r>
        <w:rPr>
          <w:rStyle w:val="VerbatimChar"/>
        </w:rPr>
        <w:t xml:space="preserve">[NOT-READY]</w:t>
      </w:r>
      <w:r>
        <w:t xml:space="preserve"> </w:t>
      </w:r>
      <w:r>
        <w:t xml:space="preserve">tag is removed.</w:t>
      </w:r>
    </w:p>
    <w:p>
      <w:pPr>
        <w:pStyle w:val="Compact"/>
        <w:numPr>
          <w:ilvl w:val="0"/>
          <w:numId w:val="1008"/>
        </w:numPr>
      </w:pPr>
      <w:r>
        <w:t xml:space="preserve">RF-06: Refinement notes (decisions, assumptions, open questions resolved) SHALL be recorded on the PBI as comments for audit traceability.</w:t>
      </w:r>
    </w:p>
    <w:bookmarkEnd w:id="24"/>
    <w:bookmarkEnd w:id="2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2026-04-07T03:43:50Z</dcterms:created>
  <dcterms:modified xsi:type="dcterms:W3CDTF">2026-04-07T03:43:50Z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