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Software Requirements Specification — Phase 6: Research, Administration &amp; IT</w:t>
      </w:r>
    </w:p>
    <w:p>
      <w:pPr>
        <w:pStyle w:val="Subtitle"/>
      </w:pPr>
      <w:r>
        <w:t xml:space="preserve">BIRDC Enterprise Resource Planning System</w:t>
      </w:r>
    </w:p>
    <w:p>
      <w:pPr>
        <w:pStyle w:val="Author"/>
      </w:pPr>
      <w:r>
        <w:t xml:space="preserve">Peter Bamuhigire, ICT Consultant (techguypeter.com) for PIBID/BIRDC</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2" w:name="software-requirements-specification"/>
    <w:p>
      <w:pPr>
        <w:pStyle w:val="Heading1"/>
      </w:pPr>
      <w:r>
        <w:t xml:space="preserve">Software Requirements Specification</w:t>
      </w:r>
    </w:p>
    <w:bookmarkStart w:id="19" w:name="phase-6-research-administration--it"/>
    <w:p>
      <w:pPr>
        <w:pStyle w:val="Heading2"/>
      </w:pPr>
      <w:r>
        <w:t xml:space="preserve">Phase 6: Research, Administration &amp; IT</w:t>
      </w:r>
    </w:p>
    <w:p>
      <w:pPr>
        <w:pStyle w:val="FirstParagraph"/>
      </w:pPr>
      <w:r>
        <w:rPr>
          <w:b/>
          <w:bCs/>
        </w:rPr>
        <w:t xml:space="preserve">Project:</w:t>
      </w:r>
      <w:r>
        <w:t xml:space="preserve"> </w:t>
      </w:r>
      <w:r>
        <w:t xml:space="preserve">BIRDC Enterprise Resource Planning System</w:t>
      </w:r>
    </w:p>
    <w:p>
      <w:pPr>
        <w:pStyle w:val="BodyText"/>
      </w:pPr>
      <w:r>
        <w:rPr>
          <w:b/>
          <w:bCs/>
        </w:rPr>
        <w:t xml:space="preserve">Client:</w:t>
      </w:r>
      <w:r>
        <w:t xml:space="preserve"> </w:t>
      </w:r>
      <w:r>
        <w:t xml:space="preserve">PIBID / BIRDC, Nyaruzinga Hill, Bushenyi District, Western Uganda</w:t>
      </w:r>
    </w:p>
    <w:p>
      <w:pPr>
        <w:pStyle w:val="BodyText"/>
      </w:pPr>
      <w:r>
        <w:rPr>
          <w:b/>
          <w:bCs/>
        </w:rPr>
        <w:t xml:space="preserve">Prepared by:</w:t>
      </w:r>
      <w:r>
        <w:t xml:space="preserve"> </w:t>
      </w:r>
      <w:r>
        <w:t xml:space="preserve">Peter Bamuhigire, ICT Consultant (techguypeter.com) for PIBID/BIRDC</w:t>
      </w:r>
    </w:p>
    <w:p>
      <w:pPr>
        <w:pStyle w:val="BodyText"/>
      </w:pPr>
      <w:r>
        <w:rPr>
          <w:b/>
          <w:bCs/>
        </w:rPr>
        <w:t xml:space="preserve">Document version:</w:t>
      </w:r>
      <w:r>
        <w:t xml:space="preserve"> </w:t>
      </w:r>
      <w:r>
        <w:t xml:space="preserve">1.0 — Draft for Review</w:t>
      </w:r>
    </w:p>
    <w:p>
      <w:pPr>
        <w:pStyle w:val="BodyText"/>
      </w:pPr>
      <w:r>
        <w:rPr>
          <w:b/>
          <w:bCs/>
        </w:rPr>
        <w:t xml:space="preserve">Date:</w:t>
      </w:r>
      <w:r>
        <w:t xml:space="preserve"> </w:t>
      </w:r>
      <w:r>
        <w:t xml:space="preserve">2026-04-05</w:t>
      </w:r>
    </w:p>
    <w:p>
      <w:pPr>
        <w:pStyle w:val="BodyText"/>
      </w:pPr>
      <w:r>
        <w:rPr>
          <w:b/>
          <w:bCs/>
        </w:rPr>
        <w:t xml:space="preserve">Standards:</w:t>
      </w:r>
      <w:r>
        <w:t xml:space="preserve"> </w:t>
      </w:r>
      <w:r>
        <w:t xml:space="preserve">IEEE Std 830-1998, IEEE Std 1233-1998, IEEE Std 610.12-1990, ASTM E1340</w:t>
      </w:r>
    </w:p>
    <w:p>
      <w:r>
        <w:pict>
          <v:rect style="width:0;height:1.5pt" o:hralign="center" o:hrstd="t" o:hr="t"/>
        </w:pict>
      </w:r>
    </w:p>
    <w:bookmarkEnd w:id="19"/>
    <w:bookmarkStart w:id="20" w:name="revision-history"/>
    <w:p>
      <w:pPr>
        <w:pStyle w:val="Heading2"/>
      </w:pPr>
      <w:r>
        <w:t xml:space="preserve">Revision History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Description</w:t>
            </w:r>
          </w:p>
        </w:tc>
      </w:tr>
      <w:tr>
        <w:tc>
          <w:tcPr/>
          <w:p>
            <w:pPr>
              <w:pStyle w:val="Compact"/>
            </w:pPr>
            <w:r>
              <w:t xml:space="preserve">1.0</w:t>
            </w:r>
          </w:p>
        </w:tc>
        <w:tc>
          <w:tcPr/>
          <w:p>
            <w:pPr>
              <w:pStyle w:val="Compact"/>
            </w:pPr>
            <w:r>
              <w:t xml:space="preserve">2026-04-05</w:t>
            </w:r>
          </w:p>
        </w:tc>
        <w:tc>
          <w:tcPr/>
          <w:p>
            <w:pPr>
              <w:pStyle w:val="Compact"/>
            </w:pPr>
            <w:r>
              <w:t xml:space="preserve">Peter Bamuhigire</w:t>
            </w:r>
          </w:p>
        </w:tc>
        <w:tc>
          <w:tcPr/>
          <w:p>
            <w:pPr>
              <w:pStyle w:val="Compact"/>
            </w:pPr>
            <w:r>
              <w:t xml:space="preserve">Initial draft — Phase 6 modules (F-015, F-016, F-017)</w:t>
            </w:r>
          </w:p>
        </w:tc>
      </w:tr>
    </w:tbl>
    <w:p>
      <w:r>
        <w:pict>
          <v:rect style="width:0;height:1.5pt" o:hralign="center" o:hrstd="t" o:hr="t"/>
        </w:pict>
      </w:r>
    </w:p>
    <w:bookmarkEnd w:id="20"/>
    <w:bookmarkStart w:id="21" w:name="document-conventions"/>
    <w:p>
      <w:pPr>
        <w:pStyle w:val="Heading2"/>
      </w:pPr>
      <w:r>
        <w:t xml:space="preserve">Document Conventions</w:t>
      </w:r>
    </w:p>
    <w:p>
      <w:pPr>
        <w:pStyle w:val="Compact"/>
        <w:numPr>
          <w:ilvl w:val="0"/>
          <w:numId w:val="1001"/>
        </w:numPr>
      </w:pPr>
      <w:r>
        <w:rPr>
          <w:b/>
          <w:bCs/>
        </w:rPr>
        <w:t xml:space="preserve">Bold</w:t>
      </w:r>
      <w:r>
        <w:t xml:space="preserve"> </w:t>
      </w:r>
      <w:r>
        <w:t xml:space="preserve">identifiers denote requirement identifiers (e.g.,</w:t>
      </w:r>
      <w:r>
        <w:t xml:space="preserve"> </w:t>
      </w:r>
      <w:r>
        <w:rPr>
          <w:b/>
          <w:bCs/>
        </w:rPr>
        <w:t xml:space="preserve">FR-RES-001</w:t>
      </w:r>
      <w:r>
        <w:t xml:space="preserve">) and UI element names.</w:t>
      </w:r>
    </w:p>
    <w:p>
      <w:pPr>
        <w:pStyle w:val="Compact"/>
        <w:numPr>
          <w:ilvl w:val="0"/>
          <w:numId w:val="1001"/>
        </w:numPr>
      </w:pPr>
      <w:r>
        <w:rPr>
          <w:i/>
          <w:iCs/>
        </w:rPr>
        <w:t xml:space="preserve">Italic</w:t>
      </w:r>
      <w:r>
        <w:t xml:space="preserve"> </w:t>
      </w:r>
      <w:r>
        <w:t xml:space="preserve">marks critical warnings and first introduction of defined terms.</w:t>
      </w:r>
    </w:p>
    <w:p>
      <w:pPr>
        <w:pStyle w:val="Compact"/>
        <w:numPr>
          <w:ilvl w:val="0"/>
          <w:numId w:val="1001"/>
        </w:numPr>
      </w:pPr>
      <w:r>
        <w:rPr>
          <w:rStyle w:val="VerbatimChar"/>
        </w:rPr>
        <w:t xml:space="preserve">Monospace</w:t>
      </w:r>
      <w:r>
        <w:t xml:space="preserve"> </w:t>
      </w:r>
      <w:r>
        <w:t xml:space="preserve">denotes file paths, terminal commands, API endpoints, database objects, and system identifiers.</w:t>
      </w:r>
    </w:p>
    <w:p>
      <w:pPr>
        <w:pStyle w:val="Compact"/>
        <w:numPr>
          <w:ilvl w:val="0"/>
          <w:numId w:val="1001"/>
        </w:numPr>
      </w:pPr>
      <w:r>
        <w:t xml:space="preserve">Every functional requirement follows the stimulus-response pattern: when [stimulus], the system shall [response], measured by [test oracle].</w:t>
      </w:r>
    </w:p>
    <w:p>
      <w:pPr>
        <w:pStyle w:val="Compact"/>
        <w:numPr>
          <w:ilvl w:val="0"/>
          <w:numId w:val="1001"/>
        </w:numPr>
      </w:pPr>
      <w:r>
        <w:rPr>
          <w:rStyle w:val="VerbatimChar"/>
        </w:rPr>
        <w:t xml:space="preserve">[CONTEXT-GAP: GAP-xxx]</w:t>
      </w:r>
      <w:r>
        <w:t xml:space="preserve"> </w:t>
      </w:r>
      <w:r>
        <w:t xml:space="preserve">flags an unresolved dependency that must be resolved before development of the tagged requirement begins.</w:t>
      </w:r>
    </w:p>
    <w:bookmarkEnd w:id="21"/>
    <w:bookmarkEnd w:id="22"/>
    <w:bookmarkStart w:id="29" w:name="Xe3d0fc0bea9a42ce7605565d0964033d7f6ee47"/>
    <w:p>
      <w:pPr>
        <w:pStyle w:val="Heading1"/>
      </w:pPr>
      <w:r>
        <w:t xml:space="preserve">1. Introduction</w:t>
      </w:r>
    </w:p>
    <w:bookmarkStart w:id="23" w:name="Xe94c4103db6bb764aa3b798144b782dac27f424"/>
    <w:p>
      <w:pPr>
        <w:pStyle w:val="Heading2"/>
      </w:pPr>
      <w:r>
        <w:t xml:space="preserve">1.1 Purpose</w:t>
      </w:r>
    </w:p>
    <w:p>
      <w:pPr>
        <w:pStyle w:val="FirstParagraph"/>
      </w:pPr>
      <w:r>
        <w:t xml:space="preserve">This Software Requirements Specification (SRS) defines all functional and non-functional requirements for Phase 6 of the BIRDC Enterprise Resource Planning (ERP) system. Phase 6 covers three modules:</w:t>
      </w:r>
    </w:p>
    <w:p>
      <w:pPr>
        <w:pStyle w:val="Compact"/>
        <w:numPr>
          <w:ilvl w:val="0"/>
          <w:numId w:val="1002"/>
        </w:numPr>
      </w:pPr>
      <w:r>
        <w:rPr>
          <w:b/>
          <w:bCs/>
        </w:rPr>
        <w:t xml:space="preserve">F-015:</w:t>
      </w:r>
      <w:r>
        <w:t xml:space="preserve"> </w:t>
      </w:r>
      <w:r>
        <w:t xml:space="preserve">Research &amp; Development — banana variety database, field trial management, product development, and R&amp;D expenditure tracking</w:t>
      </w:r>
    </w:p>
    <w:p>
      <w:pPr>
        <w:pStyle w:val="Compact"/>
        <w:numPr>
          <w:ilvl w:val="0"/>
          <w:numId w:val="1002"/>
        </w:numPr>
      </w:pPr>
      <w:r>
        <w:rPr>
          <w:b/>
          <w:bCs/>
        </w:rPr>
        <w:t xml:space="preserve">F-016:</w:t>
      </w:r>
      <w:r>
        <w:t xml:space="preserve"> </w:t>
      </w:r>
      <w:r>
        <w:t xml:space="preserve">Administration &amp; PPDA Compliance — procurement register, document management, asset register, vehicle logbook, and contract register</w:t>
      </w:r>
    </w:p>
    <w:p>
      <w:pPr>
        <w:pStyle w:val="Compact"/>
        <w:numPr>
          <w:ilvl w:val="0"/>
          <w:numId w:val="1002"/>
        </w:numPr>
      </w:pPr>
      <w:r>
        <w:rPr>
          <w:b/>
          <w:bCs/>
        </w:rPr>
        <w:t xml:space="preserve">F-017:</w:t>
      </w:r>
      <w:r>
        <w:t xml:space="preserve"> </w:t>
      </w:r>
      <w:r>
        <w:t xml:space="preserve">System Administration / IT — user management, role and permission matrix, audit log, backup management, integration configuration, report scheduling, and system health</w:t>
      </w:r>
    </w:p>
    <w:p>
      <w:pPr>
        <w:pStyle w:val="FirstParagraph"/>
      </w:pPr>
      <w:r>
        <w:t xml:space="preserve">This document is the authoritative input for detailed design, development, and acceptance testing of these modules.</w:t>
      </w:r>
    </w:p>
    <w:bookmarkEnd w:id="23"/>
    <w:bookmarkStart w:id="24" w:name="X3378fde8998068a01e48267892e5cd923e9bc15"/>
    <w:p>
      <w:pPr>
        <w:pStyle w:val="Heading2"/>
      </w:pPr>
      <w:r>
        <w:t xml:space="preserve">1.2 Scope</w:t>
      </w:r>
    </w:p>
    <w:p>
      <w:pPr>
        <w:pStyle w:val="FirstParagraph"/>
      </w:pPr>
      <w:r>
        <w:t xml:space="preserve">Phase 6 requirements govern:</w:t>
      </w:r>
    </w:p>
    <w:p>
      <w:pPr>
        <w:pStyle w:val="Compact"/>
        <w:numPr>
          <w:ilvl w:val="0"/>
          <w:numId w:val="1003"/>
        </w:numPr>
      </w:pPr>
      <w:r>
        <w:t xml:space="preserve">The Research Coordinator (STK-013) and their team managing banana variety trials, product development, and external research partnerships</w:t>
      </w:r>
    </w:p>
    <w:p>
      <w:pPr>
        <w:pStyle w:val="Compact"/>
        <w:numPr>
          <w:ilvl w:val="0"/>
          <w:numId w:val="1003"/>
        </w:numPr>
      </w:pPr>
      <w:r>
        <w:t xml:space="preserve">The Administration Officer (STK-014) managing PPDA compliance documentation, asset register, and contract management</w:t>
      </w:r>
    </w:p>
    <w:p>
      <w:pPr>
        <w:pStyle w:val="Compact"/>
        <w:numPr>
          <w:ilvl w:val="0"/>
          <w:numId w:val="1003"/>
        </w:numPr>
      </w:pPr>
      <w:r>
        <w:t xml:space="preserve">The IT Administrator (STK-003) managing all system users, roles, permissions, integrations, backups, and system health</w:t>
      </w:r>
    </w:p>
    <w:p>
      <w:pPr>
        <w:pStyle w:val="Compact"/>
        <w:numPr>
          <w:ilvl w:val="0"/>
          <w:numId w:val="1003"/>
        </w:numPr>
      </w:pPr>
      <w:r>
        <w:t xml:space="preserve">The Finance Director (STK-002) in the context of R&amp;D expenditure tracking and PPDA procurement compliance</w:t>
      </w:r>
    </w:p>
    <w:p>
      <w:pPr>
        <w:pStyle w:val="Compact"/>
        <w:numPr>
          <w:ilvl w:val="0"/>
          <w:numId w:val="1003"/>
        </w:numPr>
      </w:pPr>
      <w:r>
        <w:t xml:space="preserve">The PPDA regulator (STK-027), Auditor General (STK-026), and Parliament Budget Committee (STK-004) as external stakeholders who receive compliance artifacts from these modules</w:t>
      </w:r>
    </w:p>
    <w:bookmarkEnd w:id="24"/>
    <w:bookmarkStart w:id="25" w:name="X7a822a323f402caf2725abc7f6a0031c1d22084"/>
    <w:p>
      <w:pPr>
        <w:pStyle w:val="Heading2"/>
      </w:pPr>
      <w:r>
        <w:t xml:space="preserve">1.3 Business Context and Goals</w:t>
      </w:r>
    </w:p>
    <w:p>
      <w:pPr>
        <w:pStyle w:val="FirstParagraph"/>
      </w:pPr>
      <w:r>
        <w:t xml:space="preserve">BIRDC's dual mandate — government accountability and commercial innovation — creates specific requirements for Phase 6:</w:t>
      </w:r>
    </w:p>
    <w:p>
      <w:pPr>
        <w:pStyle w:val="BodyText"/>
      </w:pPr>
      <w:r>
        <w:rPr>
          <w:b/>
          <w:bCs/>
        </w:rPr>
        <w:t xml:space="preserve">Research &amp; Development:</w:t>
      </w:r>
      <w:r>
        <w:t xml:space="preserve"> </w:t>
      </w:r>
      <w:r>
        <w:t xml:space="preserve">BIRDC is Uganda's only industrial-scale banana processor. The banana variety performance database and field trial records justify future investment decisions to Parliament and underpin export product quality claims. Every R&amp;D expenditure must be traceable to a GL cost centre.</w:t>
      </w:r>
    </w:p>
    <w:p>
      <w:pPr>
        <w:pStyle w:val="BodyText"/>
      </w:pPr>
      <w:r>
        <w:rPr>
          <w:b/>
          <w:bCs/>
        </w:rPr>
        <w:t xml:space="preserve">Administration &amp; PPDA Compliance:</w:t>
      </w:r>
      <w:r>
        <w:t xml:space="preserve"> </w:t>
      </w:r>
      <w:r>
        <w:t xml:space="preserve">As a PIBID-funded entity, BIRDC is subject to Uganda PPDA Act procurement requirements. Every procurement transaction must carry a complete PPDA document checklist. PPDA audit failure is a critical business risk; the Administration module eliminates manual document tracking.</w:t>
      </w:r>
    </w:p>
    <w:p>
      <w:pPr>
        <w:pStyle w:val="BodyText"/>
      </w:pPr>
      <w:r>
        <w:rPr>
          <w:b/>
          <w:bCs/>
        </w:rPr>
        <w:t xml:space="preserve">System Administration:</w:t>
      </w:r>
      <w:r>
        <w:t xml:space="preserve"> </w:t>
      </w:r>
      <w:r>
        <w:t xml:space="preserve">BIRDC's 17-module ERP manages sensitive financial, employee, and farmer data for 150+ staff and 6,440+ farmer records. The IT module provides the IT Administrator with complete control over access, audit logs, backups, and third-party integrations from a single administration panel, satisfying DC-003 (audit readiness) and DC-006 (data sovereignty).</w:t>
      </w:r>
    </w:p>
    <w:bookmarkEnd w:id="25"/>
    <w:bookmarkStart w:id="26" w:name="X5a136c26b284a704590b6f8e6f4c8fdb9a74637"/>
    <w:p>
      <w:pPr>
        <w:pStyle w:val="Heading2"/>
      </w:pPr>
      <w:r>
        <w:t xml:space="preserve">1.4 Definitions and Acronyms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BIRDC</w:t>
            </w:r>
          </w:p>
        </w:tc>
        <w:tc>
          <w:tcPr/>
          <w:p>
            <w:pPr>
              <w:pStyle w:val="Compact"/>
            </w:pPr>
            <w:r>
              <w:t xml:space="preserve">Banana Industrial Research and Development Centre</w:t>
            </w:r>
          </w:p>
        </w:tc>
      </w:tr>
      <w:tr>
        <w:tc>
          <w:tcPr/>
          <w:p>
            <w:pPr>
              <w:pStyle w:val="Compact"/>
            </w:pPr>
            <w:r>
              <w:t xml:space="preserve">PIBID</w:t>
            </w:r>
          </w:p>
        </w:tc>
        <w:tc>
          <w:tcPr/>
          <w:p>
            <w:pPr>
              <w:pStyle w:val="Compact"/>
            </w:pPr>
            <w:r>
              <w:t xml:space="preserve">Presidential Initiative on Banana Industrial Development</w:t>
            </w:r>
          </w:p>
        </w:tc>
      </w:tr>
      <w:tr>
        <w:tc>
          <w:tcPr/>
          <w:p>
            <w:pPr>
              <w:pStyle w:val="Compact"/>
            </w:pPr>
            <w:r>
              <w:t xml:space="preserve">PPDA</w:t>
            </w:r>
          </w:p>
        </w:tc>
        <w:tc>
          <w:tcPr/>
          <w:p>
            <w:pPr>
              <w:pStyle w:val="Compact"/>
            </w:pPr>
            <w:r>
              <w:t xml:space="preserve">Public Procurement and Disposal of Public Assets Authority</w:t>
            </w:r>
          </w:p>
        </w:tc>
      </w:tr>
      <w:tr>
        <w:tc>
          <w:tcPr/>
          <w:p>
            <w:pPr>
              <w:pStyle w:val="Compact"/>
            </w:pPr>
            <w:r>
              <w:t xml:space="preserve">LPO</w:t>
            </w:r>
          </w:p>
        </w:tc>
        <w:tc>
          <w:tcPr/>
          <w:p>
            <w:pPr>
              <w:pStyle w:val="Compact"/>
            </w:pPr>
            <w:r>
              <w:t xml:space="preserve">Local Purchase Order</w:t>
            </w:r>
          </w:p>
        </w:tc>
      </w:tr>
      <w:tr>
        <w:tc>
          <w:tcPr/>
          <w:p>
            <w:pPr>
              <w:pStyle w:val="Compact"/>
            </w:pPr>
            <w:r>
              <w:t xml:space="preserve">GRN</w:t>
            </w:r>
          </w:p>
        </w:tc>
        <w:tc>
          <w:tcPr/>
          <w:p>
            <w:pPr>
              <w:pStyle w:val="Compact"/>
            </w:pPr>
            <w:r>
              <w:t xml:space="preserve">Goods Receipt Note</w:t>
            </w:r>
          </w:p>
        </w:tc>
      </w:tr>
      <w:tr>
        <w:tc>
          <w:tcPr/>
          <w:p>
            <w:pPr>
              <w:pStyle w:val="Compact"/>
            </w:pPr>
            <w:r>
              <w:t xml:space="preserve">RFQ</w:t>
            </w:r>
          </w:p>
        </w:tc>
        <w:tc>
          <w:tcPr/>
          <w:p>
            <w:pPr>
              <w:pStyle w:val="Compact"/>
            </w:pPr>
            <w:r>
              <w:t xml:space="preserve">Request for Quotation</w:t>
            </w:r>
          </w:p>
        </w:tc>
      </w:tr>
      <w:tr>
        <w:tc>
          <w:tcPr/>
          <w:p>
            <w:pPr>
              <w:pStyle w:val="Compact"/>
            </w:pPr>
            <w:r>
              <w:t xml:space="preserve">GL</w:t>
            </w:r>
          </w:p>
        </w:tc>
        <w:tc>
          <w:tcPr/>
          <w:p>
            <w:pPr>
              <w:pStyle w:val="Compact"/>
            </w:pPr>
            <w:r>
              <w:t xml:space="preserve">General Ledger</w:t>
            </w:r>
          </w:p>
        </w:tc>
      </w:tr>
      <w:tr>
        <w:tc>
          <w:tcPr/>
          <w:p>
            <w:pPr>
              <w:pStyle w:val="Compact"/>
            </w:pPr>
            <w:r>
              <w:t xml:space="preserve">OAG</w:t>
            </w:r>
          </w:p>
        </w:tc>
        <w:tc>
          <w:tcPr/>
          <w:p>
            <w:pPr>
              <w:pStyle w:val="Compact"/>
            </w:pPr>
            <w:r>
              <w:t xml:space="preserve">Office of the Auditor General — Uganda</w:t>
            </w:r>
          </w:p>
        </w:tc>
      </w:tr>
      <w:tr>
        <w:tc>
          <w:tcPr/>
          <w:p>
            <w:pPr>
              <w:pStyle w:val="Compact"/>
            </w:pPr>
            <w:r>
              <w:t xml:space="preserve">RBAC</w:t>
            </w:r>
          </w:p>
        </w:tc>
        <w:tc>
          <w:tcPr/>
          <w:p>
            <w:pPr>
              <w:pStyle w:val="Compact"/>
            </w:pPr>
            <w:r>
              <w:t xml:space="preserve">Role-Based Access Control</w:t>
            </w:r>
          </w:p>
        </w:tc>
      </w:tr>
      <w:tr>
        <w:tc>
          <w:tcPr/>
          <w:p>
            <w:pPr>
              <w:pStyle w:val="Compact"/>
            </w:pPr>
            <w:r>
              <w:t xml:space="preserve">TOTP</w:t>
            </w:r>
          </w:p>
        </w:tc>
        <w:tc>
          <w:tcPr/>
          <w:p>
            <w:pPr>
              <w:pStyle w:val="Compact"/>
            </w:pPr>
            <w:r>
              <w:t xml:space="preserve">Time-based One-Time Password</w:t>
            </w:r>
          </w:p>
        </w:tc>
      </w:tr>
      <w:tr>
        <w:tc>
          <w:tcPr/>
          <w:p>
            <w:pPr>
              <w:pStyle w:val="Compact"/>
            </w:pPr>
            <w:r>
              <w:t xml:space="preserve">JWT</w:t>
            </w:r>
          </w:p>
        </w:tc>
        <w:tc>
          <w:tcPr/>
          <w:p>
            <w:pPr>
              <w:pStyle w:val="Compact"/>
            </w:pPr>
            <w:r>
              <w:t xml:space="preserve">JSON Web Token</w:t>
            </w:r>
          </w:p>
        </w:tc>
      </w:tr>
      <w:tr>
        <w:tc>
          <w:tcPr/>
          <w:p>
            <w:pPr>
              <w:pStyle w:val="Compact"/>
            </w:pPr>
            <w:r>
              <w:t xml:space="preserve">EFRIS</w:t>
            </w:r>
          </w:p>
        </w:tc>
        <w:tc>
          <w:tcPr/>
          <w:p>
            <w:pPr>
              <w:pStyle w:val="Compact"/>
            </w:pPr>
            <w:r>
              <w:t xml:space="preserve">Electronic Fiscal Receipting and Invoicing Solution (URA)</w:t>
            </w:r>
          </w:p>
        </w:tc>
      </w:tr>
      <w:tr>
        <w:tc>
          <w:tcPr/>
          <w:p>
            <w:pPr>
              <w:pStyle w:val="Compact"/>
            </w:pPr>
            <w:r>
              <w:t xml:space="preserve">NIN</w:t>
            </w:r>
          </w:p>
        </w:tc>
        <w:tc>
          <w:tcPr/>
          <w:p>
            <w:pPr>
              <w:pStyle w:val="Compact"/>
            </w:pPr>
            <w:r>
              <w:t xml:space="preserve">National Identification Number</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SRS</w:t>
            </w:r>
          </w:p>
        </w:tc>
        <w:tc>
          <w:tcPr/>
          <w:p>
            <w:pPr>
              <w:pStyle w:val="Compact"/>
            </w:pPr>
            <w:r>
              <w:t xml:space="preserve">Software Requirements Specification</w:t>
            </w:r>
          </w:p>
        </w:tc>
      </w:tr>
      <w:tr>
        <w:tc>
          <w:tcPr/>
          <w:p>
            <w:pPr>
              <w:pStyle w:val="Compact"/>
            </w:pPr>
            <w:r>
              <w:t xml:space="preserve">DC</w:t>
            </w:r>
          </w:p>
        </w:tc>
        <w:tc>
          <w:tcPr/>
          <w:p>
            <w:pPr>
              <w:pStyle w:val="Compact"/>
            </w:pPr>
            <w:r>
              <w:t xml:space="preserve">Design Covenant</w:t>
            </w:r>
          </w:p>
        </w:tc>
      </w:tr>
      <w:tr>
        <w:tc>
          <w:tcPr/>
          <w:p>
            <w:pPr>
              <w:pStyle w:val="Compact"/>
            </w:pPr>
            <w:r>
              <w:t xml:space="preserve">BR</w:t>
            </w:r>
          </w:p>
        </w:tc>
        <w:tc>
          <w:tcPr/>
          <w:p>
            <w:pPr>
              <w:pStyle w:val="Compact"/>
            </w:pPr>
            <w:r>
              <w:t xml:space="preserve">Business Rule</w:t>
            </w:r>
          </w:p>
        </w:tc>
      </w:tr>
      <w:tr>
        <w:tc>
          <w:tcPr/>
          <w:p>
            <w:pPr>
              <w:pStyle w:val="Compact"/>
            </w:pPr>
            <w:r>
              <w:t xml:space="preserve">FR</w:t>
            </w:r>
          </w:p>
        </w:tc>
        <w:tc>
          <w:tcPr/>
          <w:p>
            <w:pPr>
              <w:pStyle w:val="Compact"/>
            </w:pPr>
            <w:r>
              <w:t xml:space="preserve">Functional Requirement</w:t>
            </w:r>
          </w:p>
        </w:tc>
      </w:tr>
      <w:tr>
        <w:tc>
          <w:tcPr/>
          <w:p>
            <w:pPr>
              <w:pStyle w:val="Compact"/>
            </w:pPr>
            <w:r>
              <w:t xml:space="preserve">NFR</w:t>
            </w:r>
          </w:p>
        </w:tc>
        <w:tc>
          <w:tcPr/>
          <w:p>
            <w:pPr>
              <w:pStyle w:val="Compact"/>
            </w:pPr>
            <w:r>
              <w:t xml:space="preserve">Non-Functional Requirement</w:t>
            </w:r>
          </w:p>
        </w:tc>
      </w:tr>
    </w:tbl>
    <w:bookmarkEnd w:id="26"/>
    <w:bookmarkStart w:id="27" w:name="Xcb8f34702d1980450cb726f50d1fbc110147fb8"/>
    <w:p>
      <w:pPr>
        <w:pStyle w:val="Heading2"/>
      </w:pPr>
      <w:r>
        <w:t xml:space="preserve">1.5 References</w:t>
      </w:r>
    </w:p>
    <w:p>
      <w:pPr>
        <w:pStyle w:val="Compact"/>
        <w:numPr>
          <w:ilvl w:val="0"/>
          <w:numId w:val="1004"/>
        </w:numPr>
      </w:pPr>
      <w:r>
        <w:t xml:space="preserve">IEEE Std 830-1998 — Recommended Practice for Software Requirements Specifications</w:t>
      </w:r>
    </w:p>
    <w:p>
      <w:pPr>
        <w:pStyle w:val="Compact"/>
        <w:numPr>
          <w:ilvl w:val="0"/>
          <w:numId w:val="1004"/>
        </w:numPr>
      </w:pPr>
      <w:r>
        <w:t xml:space="preserve">IEEE Std 1233-1998 — Guide for Developing System Requirements Specifications</w:t>
      </w:r>
    </w:p>
    <w:p>
      <w:pPr>
        <w:pStyle w:val="Compact"/>
        <w:numPr>
          <w:ilvl w:val="0"/>
          <w:numId w:val="1004"/>
        </w:numPr>
      </w:pPr>
      <w:r>
        <w:t xml:space="preserve">IEEE Std 610.12-1990 — Standard Glossary of Software Engineering Terminology</w:t>
      </w:r>
    </w:p>
    <w:p>
      <w:pPr>
        <w:pStyle w:val="Compact"/>
        <w:numPr>
          <w:ilvl w:val="0"/>
          <w:numId w:val="1004"/>
        </w:numPr>
      </w:pPr>
      <w:r>
        <w:t xml:space="preserve">ASTM E1340 — Standard Guide for Rapid Prototyping of Computerized Systems</w:t>
      </w:r>
    </w:p>
    <w:p>
      <w:pPr>
        <w:pStyle w:val="Compact"/>
        <w:numPr>
          <w:ilvl w:val="0"/>
          <w:numId w:val="1004"/>
        </w:numPr>
      </w:pPr>
      <w:r>
        <w:t xml:space="preserve">Uganda PPDA Act, Cap. 305 — Public Procurement and Disposal of Public Assets</w:t>
      </w:r>
    </w:p>
    <w:p>
      <w:pPr>
        <w:pStyle w:val="Compact"/>
        <w:numPr>
          <w:ilvl w:val="0"/>
          <w:numId w:val="1004"/>
        </w:numPr>
      </w:pPr>
      <w:r>
        <w:t xml:space="preserve">Uganda Data Protection and Privacy Act 2019 — data handling obligations</w:t>
      </w:r>
    </w:p>
    <w:p>
      <w:pPr>
        <w:pStyle w:val="Compact"/>
        <w:numPr>
          <w:ilvl w:val="0"/>
          <w:numId w:val="1004"/>
        </w:numPr>
      </w:pPr>
      <w:r>
        <w:t xml:space="preserve">Uganda Companies Act 2012 — 7-year financial record retention</w:t>
      </w:r>
    </w:p>
    <w:p>
      <w:pPr>
        <w:pStyle w:val="Compact"/>
        <w:numPr>
          <w:ilvl w:val="0"/>
          <w:numId w:val="1004"/>
        </w:numPr>
      </w:pPr>
      <w:r>
        <w:rPr>
          <w:rStyle w:val="VerbatimChar"/>
        </w:rPr>
        <w:t xml:space="preserve">_context/vision.md</w:t>
      </w:r>
      <w:r>
        <w:t xml:space="preserve"> </w:t>
      </w:r>
      <w:r>
        <w:t xml:space="preserve">— BIRDC ERP vision and design covenants</w:t>
      </w:r>
    </w:p>
    <w:p>
      <w:pPr>
        <w:pStyle w:val="Compact"/>
        <w:numPr>
          <w:ilvl w:val="0"/>
          <w:numId w:val="1004"/>
        </w:numPr>
      </w:pPr>
      <w:r>
        <w:rPr>
          <w:rStyle w:val="VerbatimChar"/>
        </w:rPr>
        <w:t xml:space="preserve">_context/business_rules.md</w:t>
      </w:r>
      <w:r>
        <w:t xml:space="preserve"> </w:t>
      </w:r>
      <w:r>
        <w:t xml:space="preserve">— BR-001 through BR-018</w:t>
      </w:r>
    </w:p>
    <w:p>
      <w:pPr>
        <w:pStyle w:val="Compact"/>
        <w:numPr>
          <w:ilvl w:val="0"/>
          <w:numId w:val="1004"/>
        </w:numPr>
      </w:pPr>
      <w:r>
        <w:rPr>
          <w:rStyle w:val="VerbatimChar"/>
        </w:rPr>
        <w:t xml:space="preserve">_context/tech_stack.md</w:t>
      </w:r>
      <w:r>
        <w:t xml:space="preserve"> </w:t>
      </w:r>
      <w:r>
        <w:t xml:space="preserve">— implementation platform specifications</w:t>
      </w:r>
    </w:p>
    <w:p>
      <w:pPr>
        <w:pStyle w:val="Compact"/>
        <w:numPr>
          <w:ilvl w:val="0"/>
          <w:numId w:val="1004"/>
        </w:numPr>
      </w:pPr>
      <w:r>
        <w:rPr>
          <w:rStyle w:val="VerbatimChar"/>
        </w:rPr>
        <w:t xml:space="preserve">_context/gap-analysis.md</w:t>
      </w:r>
      <w:r>
        <w:t xml:space="preserve"> </w:t>
      </w:r>
      <w:r>
        <w:t xml:space="preserve">— open items and unresolved dependencies</w:t>
      </w:r>
    </w:p>
    <w:p>
      <w:pPr>
        <w:pStyle w:val="Compact"/>
        <w:numPr>
          <w:ilvl w:val="0"/>
          <w:numId w:val="1004"/>
        </w:numPr>
      </w:pPr>
      <w:r>
        <w:rPr>
          <w:rStyle w:val="VerbatimChar"/>
        </w:rPr>
        <w:t xml:space="preserve">_context/features.md</w:t>
      </w:r>
      <w:r>
        <w:t xml:space="preserve"> </w:t>
      </w:r>
      <w:r>
        <w:t xml:space="preserve">— feature register for all 17 modules</w:t>
      </w:r>
    </w:p>
    <w:bookmarkEnd w:id="27"/>
    <w:bookmarkStart w:id="28" w:name="Xbb728e8a588812aaf60342a4bf36d1ec080324c"/>
    <w:p>
      <w:pPr>
        <w:pStyle w:val="Heading2"/>
      </w:pPr>
      <w:r>
        <w:t xml:space="preserve">1.6 Document Overview</w:t>
      </w:r>
    </w:p>
    <w:p>
      <w:pPr>
        <w:pStyle w:val="Compact"/>
        <w:numPr>
          <w:ilvl w:val="0"/>
          <w:numId w:val="1005"/>
        </w:numPr>
      </w:pPr>
      <w:r>
        <w:t xml:space="preserve">Section 2 presents the overall system description for Phase 6 modules</w:t>
      </w:r>
    </w:p>
    <w:p>
      <w:pPr>
        <w:pStyle w:val="Compact"/>
        <w:numPr>
          <w:ilvl w:val="0"/>
          <w:numId w:val="1005"/>
        </w:numPr>
      </w:pPr>
      <w:r>
        <w:t xml:space="preserve">Section 3 defines all functional requirements for F-015, F-016, and F-017</w:t>
      </w:r>
    </w:p>
    <w:p>
      <w:pPr>
        <w:pStyle w:val="Compact"/>
        <w:numPr>
          <w:ilvl w:val="0"/>
          <w:numId w:val="1005"/>
        </w:numPr>
      </w:pPr>
      <w:r>
        <w:t xml:space="preserve">Section 4 defines non-functional requirements applicable to Phase 6</w:t>
      </w:r>
    </w:p>
    <w:p>
      <w:pPr>
        <w:pStyle w:val="Compact"/>
        <w:numPr>
          <w:ilvl w:val="0"/>
          <w:numId w:val="1005"/>
        </w:numPr>
      </w:pPr>
      <w:r>
        <w:t xml:space="preserve">Section 5 lists external interface requirements and open context gaps</w:t>
      </w:r>
    </w:p>
    <w:bookmarkEnd w:id="28"/>
    <w:bookmarkEnd w:id="29"/>
    <w:bookmarkStart w:id="35" w:name="X9193add25e2ce1e86c38972eca5adfa00384b97"/>
    <w:p>
      <w:pPr>
        <w:pStyle w:val="Heading1"/>
      </w:pPr>
      <w:r>
        <w:t xml:space="preserve">2. Overall Description</w:t>
      </w:r>
    </w:p>
    <w:bookmarkStart w:id="30" w:name="X2e5438ea1745e3ec810de2d598f4645372e0644"/>
    <w:p>
      <w:pPr>
        <w:pStyle w:val="Heading2"/>
      </w:pPr>
      <w:r>
        <w:t xml:space="preserve">2.1 System Context</w:t>
      </w:r>
    </w:p>
    <w:p>
      <w:pPr>
        <w:pStyle w:val="FirstParagraph"/>
      </w:pPr>
      <w:r>
        <w:t xml:space="preserve">The Phase 6 modules operate within three application panels of the BIRDC ERP:</w:t>
      </w:r>
    </w:p>
    <w:p>
      <w:pPr>
        <w:pStyle w:val="Compact"/>
        <w:numPr>
          <w:ilvl w:val="0"/>
          <w:numId w:val="1006"/>
        </w:numPr>
      </w:pPr>
      <w:r>
        <w:rPr>
          <w:b/>
          <w:bCs/>
        </w:rPr>
        <w:t xml:space="preserve">Main ERP Workspace</w:t>
      </w:r>
      <w:r>
        <w:t xml:space="preserve"> </w:t>
      </w:r>
      <w:r>
        <w:t xml:space="preserve">(</w:t>
      </w:r>
      <w:r>
        <w:rPr>
          <w:rStyle w:val="VerbatimChar"/>
        </w:rPr>
        <w:t xml:space="preserve">/public/</w:t>
      </w:r>
      <w:r>
        <w:t xml:space="preserve">): Research Coordinator (F-015), Administration Officer (F-016), and all staff functions</w:t>
      </w:r>
    </w:p>
    <w:p>
      <w:pPr>
        <w:pStyle w:val="Compact"/>
        <w:numPr>
          <w:ilvl w:val="0"/>
          <w:numId w:val="1006"/>
        </w:numPr>
      </w:pPr>
      <w:r>
        <w:rPr>
          <w:b/>
          <w:bCs/>
        </w:rPr>
        <w:t xml:space="preserve">System Administration Panel</w:t>
      </w:r>
      <w:r>
        <w:t xml:space="preserve"> </w:t>
      </w:r>
      <w:r>
        <w:t xml:space="preserve">(</w:t>
      </w:r>
      <w:r>
        <w:rPr>
          <w:rStyle w:val="VerbatimChar"/>
        </w:rPr>
        <w:t xml:space="preserve">/public/admin/</w:t>
      </w:r>
      <w:r>
        <w:t xml:space="preserve">): IT Administrator functions — user management, role matrix, audit logs, backup, integration configuration, and system health (F-017)</w:t>
      </w:r>
    </w:p>
    <w:p>
      <w:pPr>
        <w:pStyle w:val="FirstParagraph"/>
      </w:pPr>
      <w:r>
        <w:t xml:space="preserve">Phase 6 modules interact with:</w:t>
      </w:r>
    </w:p>
    <w:p>
      <w:pPr>
        <w:pStyle w:val="Compact"/>
        <w:numPr>
          <w:ilvl w:val="0"/>
          <w:numId w:val="1007"/>
        </w:numPr>
      </w:pPr>
      <w:r>
        <w:rPr>
          <w:b/>
          <w:bCs/>
        </w:rPr>
        <w:t xml:space="preserve">Phase 2 (F-005 General Ledger):</w:t>
      </w:r>
      <w:r>
        <w:t xml:space="preserve"> </w:t>
      </w:r>
      <w:r>
        <w:t xml:space="preserve">R&amp;D expenditures post to the GL Research cost centre. Asset depreciation posts as monthly journal entries. PPDA procurement payments are blocked until all PPDA document checklist items are complete (BR-005).</w:t>
      </w:r>
    </w:p>
    <w:p>
      <w:pPr>
        <w:pStyle w:val="Compact"/>
        <w:numPr>
          <w:ilvl w:val="0"/>
          <w:numId w:val="1007"/>
        </w:numPr>
      </w:pPr>
      <w:r>
        <w:rPr>
          <w:b/>
          <w:bCs/>
        </w:rPr>
        <w:t xml:space="preserve">Phase 3 (F-009 Procurement &amp; F-010 Farmer Management):</w:t>
      </w:r>
      <w:r>
        <w:t xml:space="preserve"> </w:t>
      </w:r>
      <w:r>
        <w:t xml:space="preserve">Procurement register (F-016) draws from F-009 procurement transactions. R&amp;D variety data (F-015) cross-references farmer farm profiles and banana varieties from F-010.</w:t>
      </w:r>
    </w:p>
    <w:p>
      <w:pPr>
        <w:pStyle w:val="Compact"/>
        <w:numPr>
          <w:ilvl w:val="0"/>
          <w:numId w:val="1007"/>
        </w:numPr>
      </w:pPr>
      <w:r>
        <w:rPr>
          <w:b/>
          <w:bCs/>
        </w:rPr>
        <w:t xml:space="preserve">All 17 modules:</w:t>
      </w:r>
      <w:r>
        <w:t xml:space="preserve"> </w:t>
      </w:r>
      <w:r>
        <w:t xml:space="preserve">F-017 System Administration governs user accounts, permissions, audit logs, backups, and integration credentials for the entire ERP system.</w:t>
      </w:r>
    </w:p>
    <w:p>
      <w:pPr>
        <w:pStyle w:val="Compact"/>
        <w:numPr>
          <w:ilvl w:val="0"/>
          <w:numId w:val="1007"/>
        </w:numPr>
      </w:pPr>
      <w:r>
        <w:rPr>
          <w:b/>
          <w:bCs/>
        </w:rPr>
        <w:t xml:space="preserve">External integrations managed in F-017:</w:t>
      </w:r>
      <w:r>
        <w:t xml:space="preserve"> </w:t>
      </w:r>
      <w:r>
        <w:t xml:space="preserve">EFRIS API, MTN MoMo API, Airtel Money API, ZKTeco biometric devices, PHPMailer SMTP, Africa's Talking SMS gateway.</w:t>
      </w:r>
    </w:p>
    <w:bookmarkEnd w:id="30"/>
    <w:bookmarkStart w:id="31" w:name="X5924da7bb8a66992f8ca07c7c5378138cd311b4"/>
    <w:p>
      <w:pPr>
        <w:pStyle w:val="Heading2"/>
      </w:pPr>
      <w:r>
        <w:t xml:space="preserve">2.2 User Classes and Characteristics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User Class</w:t>
            </w:r>
          </w:p>
        </w:tc>
        <w:tc>
          <w:tcPr/>
          <w:p>
            <w:pPr>
              <w:pStyle w:val="Compact"/>
            </w:pPr>
            <w:r>
              <w:t xml:space="preserve">Module Access</w:t>
            </w:r>
          </w:p>
        </w:tc>
        <w:tc>
          <w:tcPr/>
          <w:p>
            <w:pPr>
              <w:pStyle w:val="Compact"/>
            </w:pPr>
            <w:r>
              <w:t xml:space="preserve">Key Actions</w:t>
            </w:r>
          </w:p>
        </w:tc>
      </w:tr>
      <w:tr>
        <w:tc>
          <w:tcPr/>
          <w:p>
            <w:pPr>
              <w:pStyle w:val="Compact"/>
            </w:pPr>
            <w:r>
              <w:t xml:space="preserve">Research Coordinator (STK-013)</w:t>
            </w:r>
          </w:p>
        </w:tc>
        <w:tc>
          <w:tcPr/>
          <w:p>
            <w:pPr>
              <w:pStyle w:val="Compact"/>
            </w:pPr>
            <w:r>
              <w:t xml:space="preserve">F-015 full access</w:t>
            </w:r>
          </w:p>
        </w:tc>
        <w:tc>
          <w:tcPr/>
          <w:p>
            <w:pPr>
              <w:pStyle w:val="Compact"/>
            </w:pPr>
            <w:r>
              <w:t xml:space="preserve">Variety database, field trials, product development register, R&amp;D expenditure</w:t>
            </w:r>
          </w:p>
        </w:tc>
      </w:tr>
      <w:tr>
        <w:tc>
          <w:tcPr/>
          <w:p>
            <w:pPr>
              <w:pStyle w:val="Compact"/>
            </w:pPr>
            <w:r>
              <w:t xml:space="preserve">Administration Officer (STK-014)</w:t>
            </w:r>
          </w:p>
        </w:tc>
        <w:tc>
          <w:tcPr/>
          <w:p>
            <w:pPr>
              <w:pStyle w:val="Compact"/>
            </w:pPr>
            <w:r>
              <w:t xml:space="preserve">F-016 full access</w:t>
            </w:r>
          </w:p>
        </w:tc>
        <w:tc>
          <w:tcPr/>
          <w:p>
            <w:pPr>
              <w:pStyle w:val="Compact"/>
            </w:pPr>
            <w:r>
              <w:t xml:space="preserve">PPDA register, document store, asset register, vehicle logbook, contract register</w:t>
            </w:r>
          </w:p>
        </w:tc>
      </w:tr>
      <w:tr>
        <w:tc>
          <w:tcPr/>
          <w:p>
            <w:pPr>
              <w:pStyle w:val="Compact"/>
            </w:pPr>
            <w:r>
              <w:t xml:space="preserve">IT Administrator (STK-003)</w:t>
            </w:r>
          </w:p>
        </w:tc>
        <w:tc>
          <w:tcPr/>
          <w:p>
            <w:pPr>
              <w:pStyle w:val="Compact"/>
            </w:pPr>
            <w:r>
              <w:t xml:space="preserve">F-017 full access (admin panel)</w:t>
            </w:r>
          </w:p>
        </w:tc>
        <w:tc>
          <w:tcPr/>
          <w:p>
            <w:pPr>
              <w:pStyle w:val="Compact"/>
            </w:pPr>
            <w:r>
              <w:t xml:space="preserve">User management, role matrix, audit log, backup, integration config, system health</w:t>
            </w:r>
          </w:p>
        </w:tc>
      </w:tr>
      <w:tr>
        <w:tc>
          <w:tcPr/>
          <w:p>
            <w:pPr>
              <w:pStyle w:val="Compact"/>
            </w:pPr>
            <w:r>
              <w:t xml:space="preserve">Finance Director (STK-002)</w:t>
            </w:r>
          </w:p>
        </w:tc>
        <w:tc>
          <w:tcPr/>
          <w:p>
            <w:pPr>
              <w:pStyle w:val="Compact"/>
            </w:pPr>
            <w:r>
              <w:t xml:space="preserve">F-016 read; F-015 R&amp;D GL; F-017 audit log read</w:t>
            </w:r>
          </w:p>
        </w:tc>
        <w:tc>
          <w:tcPr/>
          <w:p>
            <w:pPr>
              <w:pStyle w:val="Compact"/>
            </w:pPr>
            <w:r>
              <w:t xml:space="preserve">R&amp;D cost review, PPDA compliance oversight, audit log review</w:t>
            </w:r>
          </w:p>
        </w:tc>
      </w:tr>
      <w:tr>
        <w:tc>
          <w:tcPr/>
          <w:p>
            <w:pPr>
              <w:pStyle w:val="Compact"/>
            </w:pPr>
            <w:r>
              <w:t xml:space="preserve">BIRDC Director (STK-001)</w:t>
            </w:r>
          </w:p>
        </w:tc>
        <w:tc>
          <w:tcPr/>
          <w:p>
            <w:pPr>
              <w:pStyle w:val="Compact"/>
            </w:pPr>
            <w:r>
              <w:t xml:space="preserve">F-015 read; F-016 read</w:t>
            </w:r>
          </w:p>
        </w:tc>
        <w:tc>
          <w:tcPr/>
          <w:p>
            <w:pPr>
              <w:pStyle w:val="Compact"/>
            </w:pPr>
            <w:r>
              <w:t xml:space="preserve">R&amp;D performance reporting, asset register review</w:t>
            </w:r>
          </w:p>
        </w:tc>
      </w:tr>
      <w:tr>
        <w:tc>
          <w:tcPr/>
          <w:p>
            <w:pPr>
              <w:pStyle w:val="Compact"/>
            </w:pPr>
            <w:r>
              <w:t xml:space="preserve">Finance Manager</w:t>
            </w:r>
          </w:p>
        </w:tc>
        <w:tc>
          <w:tcPr/>
          <w:p>
            <w:pPr>
              <w:pStyle w:val="Compact"/>
            </w:pPr>
            <w:r>
              <w:t xml:space="preserve">F-016 — asset depreciation approval, contract approval</w:t>
            </w:r>
          </w:p>
        </w:tc>
        <w:tc>
          <w:tcPr/>
          <w:p>
            <w:pPr>
              <w:pStyle w:val="Compact"/>
            </w:pPr>
            <w:r>
              <w:t xml:space="preserve">Asset register approval, PPDA payment clearance</w:t>
            </w:r>
          </w:p>
        </w:tc>
      </w:tr>
      <w:tr>
        <w:tc>
          <w:tcPr/>
          <w:p>
            <w:pPr>
              <w:pStyle w:val="Compact"/>
            </w:pPr>
            <w:r>
              <w:t xml:space="preserve">Procurement Manager (STK-007)</w:t>
            </w:r>
          </w:p>
        </w:tc>
        <w:tc>
          <w:tcPr/>
          <w:p>
            <w:pPr>
              <w:pStyle w:val="Compact"/>
            </w:pPr>
            <w:r>
              <w:t xml:space="preserve">F-016 PPDA register</w:t>
            </w:r>
          </w:p>
        </w:tc>
        <w:tc>
          <w:tcPr/>
          <w:p>
            <w:pPr>
              <w:pStyle w:val="Compact"/>
            </w:pPr>
            <w:r>
              <w:t xml:space="preserve">Document status management per procurement transaction</w:t>
            </w:r>
          </w:p>
        </w:tc>
      </w:tr>
    </w:tbl>
    <w:bookmarkEnd w:id="31"/>
    <w:bookmarkStart w:id="32" w:name="X1a7ba6d86371a08c50f30491947e9efc18e02cd"/>
    <w:p>
      <w:pPr>
        <w:pStyle w:val="Heading2"/>
      </w:pPr>
      <w:r>
        <w:t xml:space="preserve">2.3 Operating Environment</w:t>
      </w:r>
    </w:p>
    <w:p>
      <w:pPr>
        <w:pStyle w:val="FirstParagraph"/>
      </w:pPr>
      <w:r>
        <w:t xml:space="preserve">All Phase 6 modules run on the on-premise BIRDC server at Nyaruzinga, Bushenyi. There are no offline requirements for Phase 6 modules (unlike Phase 1 POS and Phase 3 Farmer Delivery App). The administration panel (</w:t>
      </w:r>
      <w:r>
        <w:rPr>
          <w:rStyle w:val="VerbatimChar"/>
        </w:rPr>
        <w:t xml:space="preserve">/public/admin/</w:t>
      </w:r>
      <w:r>
        <w:t xml:space="preserve">) is restricted to LAN or VPN access; it shall not be accessible from the public internet.</w:t>
      </w:r>
    </w:p>
    <w:bookmarkEnd w:id="32"/>
    <w:bookmarkStart w:id="33" w:name="X84d6e43f75f46d7df6de807cfa5189c9c430772"/>
    <w:p>
      <w:pPr>
        <w:pStyle w:val="Heading2"/>
      </w:pPr>
      <w:r>
        <w:t xml:space="preserve">2.4 Design and Implementation Constraints</w:t>
      </w:r>
    </w:p>
    <w:p>
      <w:pPr>
        <w:pStyle w:val="Compact"/>
        <w:numPr>
          <w:ilvl w:val="0"/>
          <w:numId w:val="1008"/>
        </w:numPr>
      </w:pPr>
      <w:r>
        <w:rPr>
          <w:b/>
          <w:bCs/>
        </w:rPr>
        <w:t xml:space="preserve">DC-002:</w:t>
      </w:r>
      <w:r>
        <w:t xml:space="preserve"> </w:t>
      </w:r>
      <w:r>
        <w:t xml:space="preserve">All PPDA threshold values, asset depreciation methods, document checklist items, and report schedules are configurable via the UI by the IT Administrator or Finance Director without developer involvement.</w:t>
      </w:r>
    </w:p>
    <w:p>
      <w:pPr>
        <w:pStyle w:val="Compact"/>
        <w:numPr>
          <w:ilvl w:val="0"/>
          <w:numId w:val="1008"/>
        </w:numPr>
      </w:pPr>
      <w:r>
        <w:rPr>
          <w:b/>
          <w:bCs/>
        </w:rPr>
        <w:t xml:space="preserve">DC-003:</w:t>
      </w:r>
      <w:r>
        <w:t xml:space="preserve"> </w:t>
      </w:r>
      <w:r>
        <w:t xml:space="preserve">Every document access, user account change, permission modification, and backup event creates an immutable audit trail. 7-year retention enforced.</w:t>
      </w:r>
    </w:p>
    <w:p>
      <w:pPr>
        <w:pStyle w:val="Compact"/>
        <w:numPr>
          <w:ilvl w:val="0"/>
          <w:numId w:val="1008"/>
        </w:numPr>
      </w:pPr>
      <w:r>
        <w:rPr>
          <w:b/>
          <w:bCs/>
        </w:rPr>
        <w:t xml:space="preserve">DC-006:</w:t>
      </w:r>
      <w:r>
        <w:t xml:space="preserve"> </w:t>
      </w:r>
      <w:r>
        <w:t xml:space="preserve">All BIRDC data — R&amp;D records, asset records, configuration — stored on BIRDC's own server. No third-party SaaS holds configuration data.</w:t>
      </w:r>
    </w:p>
    <w:p>
      <w:pPr>
        <w:pStyle w:val="Compact"/>
        <w:numPr>
          <w:ilvl w:val="0"/>
          <w:numId w:val="1008"/>
        </w:numPr>
      </w:pPr>
      <w:r>
        <w:rPr>
          <w:b/>
          <w:bCs/>
        </w:rPr>
        <w:t xml:space="preserve">DC-007:</w:t>
      </w:r>
      <w:r>
        <w:t xml:space="preserve"> </w:t>
      </w:r>
      <w:r>
        <w:t xml:space="preserve">Phase 6 modules are designed so that PPDA threshold values, procurement categories, and system integration credentials are isolated in configuration tables, enabling redeployment for another government entity.</w:t>
      </w:r>
    </w:p>
    <w:p>
      <w:pPr>
        <w:pStyle w:val="Compact"/>
        <w:numPr>
          <w:ilvl w:val="0"/>
          <w:numId w:val="1008"/>
        </w:numPr>
      </w:pPr>
      <w:r>
        <w:rPr>
          <w:b/>
          <w:bCs/>
        </w:rPr>
        <w:t xml:space="preserve">BR-005:</w:t>
      </w:r>
      <w:r>
        <w:t xml:space="preserve"> </w:t>
      </w:r>
      <w:r>
        <w:t xml:space="preserve">No payment for any procurement transaction is processed unless all required PPDA documents are recorded in the procurement document checklist for that transaction.</w:t>
      </w:r>
    </w:p>
    <w:bookmarkEnd w:id="33"/>
    <w:bookmarkStart w:id="34" w:name="X64d2af84293eeb3b79c868ce9364e2198597b19"/>
    <w:p>
      <w:pPr>
        <w:pStyle w:val="Heading2"/>
      </w:pPr>
      <w:r>
        <w:t xml:space="preserve">2.5 Assumptions and Dependencies</w:t>
      </w:r>
    </w:p>
    <w:p>
      <w:pPr>
        <w:pStyle w:val="Compact"/>
        <w:numPr>
          <w:ilvl w:val="0"/>
          <w:numId w:val="1009"/>
        </w:numPr>
      </w:pPr>
      <w:r>
        <w:t xml:space="preserve">PPDA exact threshold values (UGX) applicable to BIRDC/PIBID as a government entity will be confirmed by BIRDC Administration before the procurement approval matrix is configured.</w:t>
      </w:r>
      <w:r>
        <w:t xml:space="preserve"> </w:t>
      </w:r>
      <w:r>
        <w:rPr>
          <w:rStyle w:val="VerbatimChar"/>
        </w:rPr>
        <w:t xml:space="preserve">[CONTEXT-GAP: GAP-007]</w:t>
      </w:r>
    </w:p>
    <w:p>
      <w:pPr>
        <w:pStyle w:val="Compact"/>
        <w:numPr>
          <w:ilvl w:val="0"/>
          <w:numId w:val="1009"/>
        </w:numPr>
      </w:pPr>
      <w:r>
        <w:t xml:space="preserve">Server hardware specifications at BIRDC Nyaruzinga will be confirmed by BIRDC IT before the deployment guide and system health dashboard baseline thresholds are set.</w:t>
      </w:r>
      <w:r>
        <w:t xml:space="preserve"> </w:t>
      </w:r>
      <w:r>
        <w:rPr>
          <w:rStyle w:val="VerbatimChar"/>
        </w:rPr>
        <w:t xml:space="preserve">[CONTEXT-GAP: GAP-013]</w:t>
      </w:r>
    </w:p>
    <w:bookmarkEnd w:id="34"/>
    <w:bookmarkEnd w:id="35"/>
    <w:bookmarkStart w:id="56" w:name="Xe7303fedc1caa0f98a54d3d573fddb57a70f32c"/>
    <w:p>
      <w:pPr>
        <w:pStyle w:val="Heading1"/>
      </w:pPr>
      <w:r>
        <w:t xml:space="preserve">3. Functional Requirements</w:t>
      </w:r>
    </w:p>
    <w:bookmarkStart w:id="41" w:name="X4e5c9141fb698302a2ce3db137c3a83cb0cb30c"/>
    <w:p>
      <w:pPr>
        <w:pStyle w:val="Heading2"/>
      </w:pPr>
      <w:r>
        <w:t xml:space="preserve">3.1 F-015: Research &amp; Development</w:t>
      </w:r>
    </w:p>
    <w:bookmarkStart w:id="36" w:name="X9087991b62e2224d5955604581eb47c1b29119f"/>
    <w:p>
      <w:pPr>
        <w:pStyle w:val="Heading3"/>
      </w:pPr>
      <w:r>
        <w:t xml:space="preserve">3.1.1 Banana Cultivar Library</w:t>
      </w:r>
    </w:p>
    <w:p>
      <w:pPr>
        <w:pStyle w:val="FirstParagraph"/>
      </w:pPr>
      <w:r>
        <w:rPr>
          <w:b/>
          <w:bCs/>
        </w:rPr>
        <w:t xml:space="preserve">FR-RES-001</w:t>
      </w:r>
      <w:r>
        <w:t xml:space="preserve"> </w:t>
      </w:r>
      <w:r>
        <w:t xml:space="preserve">When the Research Coordinator opens the cultivar library and creates a new cultivar record, the system shall store: cultivar name, variety code (unique, system-assigned format</w:t>
      </w:r>
      <w:r>
        <w:t xml:space="preserve"> </w:t>
      </w:r>
      <w:r>
        <w:rPr>
          <w:rStyle w:val="VerbatimChar"/>
        </w:rPr>
        <w:t xml:space="preserve">VAR-NNNN</w:t>
      </w:r>
      <w:r>
        <w:t xml:space="preserve">), Musa taxonomy classification (genome group, subgroup), regional suitability (configurable region list), disease resistance notes, typical maturation period (days), and source reference (publication or institution). The variety code must be unique across the entire cultivar library; a duplicate code submission shall be rejected with a field-level validation error.</w:t>
      </w:r>
    </w:p>
    <w:p>
      <w:pPr>
        <w:pStyle w:val="BodyText"/>
      </w:pPr>
      <w:r>
        <w:rPr>
          <w:b/>
          <w:bCs/>
        </w:rPr>
        <w:t xml:space="preserve">FR-RES-002</w:t>
      </w:r>
      <w:r>
        <w:t xml:space="preserve"> </w:t>
      </w:r>
      <w:r>
        <w:t xml:space="preserve">When the Research Coordinator adds processing characteristics to a cultivar record, the system shall store: processing yield (kg flour per 100 kg fresh matooke input), dry matter content (%), starch content (%), quality score (numeric 1–10, configurable scale), moisture content (%), and any additional configurable numeric or text parameters. These values shall serve as the reference benchmark against which field trial results are compared.</w:t>
      </w:r>
    </w:p>
    <w:p>
      <w:pPr>
        <w:pStyle w:val="BodyText"/>
      </w:pPr>
      <w:r>
        <w:rPr>
          <w:b/>
          <w:bCs/>
        </w:rPr>
        <w:t xml:space="preserve">FR-RES-003</w:t>
      </w:r>
      <w:r>
        <w:t xml:space="preserve"> </w:t>
      </w:r>
      <w:r>
        <w:t xml:space="preserve">When the Research Coordinator searches the cultivar library by cultivar name, variety code, regional suitability, or quality score range, the system shall return all matching records within 2 seconds, displayed in a sortable DataTable.</w:t>
      </w:r>
    </w:p>
    <w:p>
      <w:pPr>
        <w:pStyle w:val="BodyText"/>
      </w:pPr>
      <w:r>
        <w:rPr>
          <w:b/>
          <w:bCs/>
        </w:rPr>
        <w:t xml:space="preserve">FR-RES-004</w:t>
      </w:r>
      <w:r>
        <w:t xml:space="preserve"> </w:t>
      </w:r>
      <w:r>
        <w:t xml:space="preserve">When the Research Coordinator cross-references a cultivar record with the Farmer Management module (F-010), the system shall display the list of registered BIRDC cooperative farmers who grow that cultivar, the total farm area (hectares) under that cultivar, and the total matooke deliveries of that cultivar in the last 12 months, without requiring a separate query.</w:t>
      </w:r>
    </w:p>
    <w:p>
      <w:pPr>
        <w:pStyle w:val="BodyText"/>
      </w:pPr>
      <w:r>
        <w:rPr>
          <w:b/>
          <w:bCs/>
        </w:rPr>
        <w:t xml:space="preserve">FR-RES-005</w:t>
      </w:r>
      <w:r>
        <w:t xml:space="preserve"> </w:t>
      </w:r>
      <w:r>
        <w:t xml:space="preserve">When the Research Coordinator requests a cultivar distribution report, the system shall generate a report showing all cultivars in the BIRDC farmer network, the number of farmers growing each, total hectares, and average delivery volume per season, exportable to PDF and Excel within 10 seconds.</w:t>
      </w:r>
    </w:p>
    <w:bookmarkEnd w:id="36"/>
    <w:bookmarkStart w:id="37" w:name="Xa841b611b2e4f478058ce4d809f654bec67cdba"/>
    <w:p>
      <w:pPr>
        <w:pStyle w:val="Heading3"/>
      </w:pPr>
      <w:r>
        <w:t xml:space="preserve">3.1.2 Field Trial Management</w:t>
      </w:r>
    </w:p>
    <w:p>
      <w:pPr>
        <w:pStyle w:val="FirstParagraph"/>
      </w:pPr>
      <w:r>
        <w:rPr>
          <w:b/>
          <w:bCs/>
        </w:rPr>
        <w:t xml:space="preserve">FR-RES-006</w:t>
      </w:r>
      <w:r>
        <w:t xml:space="preserve"> </w:t>
      </w:r>
      <w:r>
        <w:t xml:space="preserve">When the Research Coordinator creates a new field trial record, the system shall store: trial ID (format:</w:t>
      </w:r>
      <w:r>
        <w:t xml:space="preserve"> </w:t>
      </w:r>
      <w:r>
        <w:rPr>
          <w:rStyle w:val="VerbatimChar"/>
        </w:rPr>
        <w:t xml:space="preserve">TRL-YYYY-NNNN</w:t>
      </w:r>
      <w:r>
        <w:t xml:space="preserve">), trial name, trial objective, start date, planned end date, plot location (text description and GPS coordinates), cultivar variety code (linked to cultivar library), trial type (Fertiliser Trial / Irrigation Trial / Pruning Trial / Pest Control Trial / Other — configurable), and the name of the responsible researcher.</w:t>
      </w:r>
    </w:p>
    <w:p>
      <w:pPr>
        <w:pStyle w:val="BodyText"/>
      </w:pPr>
      <w:r>
        <w:rPr>
          <w:b/>
          <w:bCs/>
        </w:rPr>
        <w:t xml:space="preserve">FR-RES-007</w:t>
      </w:r>
      <w:r>
        <w:t xml:space="preserve"> </w:t>
      </w:r>
      <w:r>
        <w:t xml:space="preserve">When a field trial is active, the Research Coordinator shall be able to record intervention events for that trial specifying: intervention date, intervention type (from the configurable trial type list), intervention description, input materials used (type, quantity, unit), and the researcher who applied the intervention. Multiple interventions per trial shall be supported.</w:t>
      </w:r>
    </w:p>
    <w:p>
      <w:pPr>
        <w:pStyle w:val="BodyText"/>
      </w:pPr>
      <w:r>
        <w:rPr>
          <w:b/>
          <w:bCs/>
        </w:rPr>
        <w:t xml:space="preserve">FR-RES-008</w:t>
      </w:r>
      <w:r>
        <w:t xml:space="preserve"> </w:t>
      </w:r>
      <w:r>
        <w:t xml:space="preserve">When a harvest event is recorded for a field trial plot, the system shall store: harvest date, plot identifier within the trial, fresh weight harvested (kg), number of bunches, average bunch weight (kg), quality grade assigned, processing yield measured (kg flour per 100 kg input), and any field observations. Multiple harvests per trial over its duration shall be supported.</w:t>
      </w:r>
    </w:p>
    <w:p>
      <w:pPr>
        <w:pStyle w:val="BodyText"/>
      </w:pPr>
      <w:r>
        <w:rPr>
          <w:b/>
          <w:bCs/>
        </w:rPr>
        <w:t xml:space="preserve">FR-RES-009</w:t>
      </w:r>
      <w:r>
        <w:t xml:space="preserve"> </w:t>
      </w:r>
      <w:r>
        <w:t xml:space="preserve">When the Research Coordinator requests a yield comparison report across trial treatments, the system shall compute and display: average processing yield per treatment group, standard deviation, percentage variance from the cultivar library benchmark, and a ranked list of treatments by average yield, within 5 seconds.</w:t>
      </w:r>
    </w:p>
    <w:p>
      <w:pPr>
        <w:pStyle w:val="BodyText"/>
      </w:pPr>
      <w:r>
        <w:rPr>
          <w:b/>
          <w:bCs/>
        </w:rPr>
        <w:t xml:space="preserve">FR-RES-010</w:t>
      </w:r>
      <w:r>
        <w:t xml:space="preserve"> </w:t>
      </w:r>
      <w:r>
        <w:t xml:space="preserve">When a field trial is closed by the Research Coordinator, the system shall require the entry of a trial conclusion summary (free text, minimum 50 characters) and a recommendation status (Recommended for Scale-Up / Not Recommended / Requires Further Trial). The conclusion shall be stored permanently and linked to the trial record.</w:t>
      </w:r>
    </w:p>
    <w:p>
      <w:pPr>
        <w:pStyle w:val="BodyText"/>
      </w:pPr>
      <w:r>
        <w:rPr>
          <w:b/>
          <w:bCs/>
        </w:rPr>
        <w:t xml:space="preserve">FR-RES-011</w:t>
      </w:r>
      <w:r>
        <w:t xml:space="preserve"> </w:t>
      </w:r>
      <w:r>
        <w:t xml:space="preserve">When the Research Coordinator requests a field trial status dashboard, the system shall display all active and recently closed trials in a summary table showing: trial ID, cultivar, location, start date, days elapsed, number of harvest events recorded, and current status (Planning / Active / Harvest Phase / Closed), updated in real time.</w:t>
      </w:r>
    </w:p>
    <w:bookmarkEnd w:id="37"/>
    <w:bookmarkStart w:id="38" w:name="Xee355eba8106da087253318e07fa2c9b3e61b95"/>
    <w:p>
      <w:pPr>
        <w:pStyle w:val="Heading3"/>
      </w:pPr>
      <w:r>
        <w:t xml:space="preserve">3.1.3 Product Development Register</w:t>
      </w:r>
    </w:p>
    <w:p>
      <w:pPr>
        <w:pStyle w:val="FirstParagraph"/>
      </w:pPr>
      <w:r>
        <w:rPr>
          <w:b/>
          <w:bCs/>
        </w:rPr>
        <w:t xml:space="preserve">FR-RES-012</w:t>
      </w:r>
      <w:r>
        <w:t xml:space="preserve"> </w:t>
      </w:r>
      <w:r>
        <w:t xml:space="preserve">When the Research Coordinator creates a new product development entry, the system shall store: product idea ID (format:</w:t>
      </w:r>
      <w:r>
        <w:t xml:space="preserve"> </w:t>
      </w:r>
      <w:r>
        <w:rPr>
          <w:rStyle w:val="VerbatimChar"/>
        </w:rPr>
        <w:t xml:space="preserve">PD-NNNN</w:t>
      </w:r>
      <w:r>
        <w:t xml:space="preserve">), product name, product description, originator (linked to employee record), date originated, product category (from a configurable list: Flour / Snack / Beverage / Fertiliser / By-product / Other), target market, and initial status (Idea Submitted).</w:t>
      </w:r>
    </w:p>
    <w:p>
      <w:pPr>
        <w:pStyle w:val="BodyText"/>
      </w:pPr>
      <w:r>
        <w:rPr>
          <w:b/>
          <w:bCs/>
        </w:rPr>
        <w:t xml:space="preserve">FR-RES-013</w:t>
      </w:r>
      <w:r>
        <w:t xml:space="preserve"> </w:t>
      </w:r>
      <w:r>
        <w:t xml:space="preserve">When a product idea progresses to the pilot batch stage, the Research Coordinator shall be able to link one or more production order references from F-011 (Manufacturing) as pilot batch records, storing the pilot batch date, batch size, recipe version used, and actual yield achieved. The product idea status shall advance to "Pilot Batch in Progress".</w:t>
      </w:r>
    </w:p>
    <w:p>
      <w:pPr>
        <w:pStyle w:val="BodyText"/>
      </w:pPr>
      <w:r>
        <w:rPr>
          <w:b/>
          <w:bCs/>
        </w:rPr>
        <w:t xml:space="preserve">FR-RES-014</w:t>
      </w:r>
      <w:r>
        <w:t xml:space="preserve"> </w:t>
      </w:r>
      <w:r>
        <w:t xml:space="preserve">When a sensory evaluation is conducted for a pilot batch, the Research Coordinator shall record: evaluation date, evaluator names, evaluation parameters (appearance, aroma, texture, taste, overall acceptability — each scored 1–9 on a configurable hedonic scale), overall mean score, and any evaluator comments. Multiple evaluations per pilot batch shall be supported.</w:t>
      </w:r>
    </w:p>
    <w:p>
      <w:pPr>
        <w:pStyle w:val="BodyText"/>
      </w:pPr>
      <w:r>
        <w:rPr>
          <w:b/>
          <w:bCs/>
        </w:rPr>
        <w:t xml:space="preserve">FR-RES-015</w:t>
      </w:r>
      <w:r>
        <w:t xml:space="preserve"> </w:t>
      </w:r>
      <w:r>
        <w:t xml:space="preserve">When market testing results are available, the Research Coordinator shall record: market test date, test location, number of test participants, acceptance rate (%), key consumer feedback (text), and go/no-go recommendation. The product idea status shall advance to "Market Testing Complete".</w:t>
      </w:r>
    </w:p>
    <w:p>
      <w:pPr>
        <w:pStyle w:val="BodyText"/>
      </w:pPr>
      <w:r>
        <w:rPr>
          <w:b/>
          <w:bCs/>
        </w:rPr>
        <w:t xml:space="preserve">FR-RES-016</w:t>
      </w:r>
      <w:r>
        <w:t xml:space="preserve"> </w:t>
      </w:r>
      <w:r>
        <w:t xml:space="preserve">When the Research Coordinator requests a product development pipeline report, the system shall display all active product ideas grouped by status stage (Idea / Pilot / Market Testing / Approved for Launch / Discontinued), with elapsed days in current stage, responsible researcher, and next planned action, exportable to PDF within 5 seconds.</w:t>
      </w:r>
    </w:p>
    <w:bookmarkEnd w:id="38"/>
    <w:bookmarkStart w:id="39" w:name="X95620e66fac138f1dd92f792fbfd61dc6d7c644"/>
    <w:p>
      <w:pPr>
        <w:pStyle w:val="Heading3"/>
      </w:pPr>
      <w:r>
        <w:t xml:space="preserve">3.1.4 Technology Transfer and IP Records</w:t>
      </w:r>
    </w:p>
    <w:p>
      <w:pPr>
        <w:pStyle w:val="FirstParagraph"/>
      </w:pPr>
      <w:r>
        <w:rPr>
          <w:b/>
          <w:bCs/>
        </w:rPr>
        <w:t xml:space="preserve">FR-RES-017</w:t>
      </w:r>
      <w:r>
        <w:t xml:space="preserve"> </w:t>
      </w:r>
      <w:r>
        <w:t xml:space="preserve">When the Research Coordinator records an external research partnership, the system shall store: partner organisation name, partner type (University / Government Research Institute / NGO / Private Company), partnership agreement reference number, effective date, expiry date, scope of collaboration (text), and the BIRDC research staff member responsible for the partnership.</w:t>
      </w:r>
    </w:p>
    <w:p>
      <w:pPr>
        <w:pStyle w:val="BodyText"/>
      </w:pPr>
      <w:r>
        <w:rPr>
          <w:b/>
          <w:bCs/>
        </w:rPr>
        <w:t xml:space="preserve">FR-RES-018</w:t>
      </w:r>
      <w:r>
        <w:t xml:space="preserve"> </w:t>
      </w:r>
      <w:r>
        <w:t xml:space="preserve">When the Research Coordinator records a licensing agreement, the system shall store: licensee name, licensed technology or variety, agreement date, royalty terms (if applicable), exclusivity scope, territory, and expiry date. The system shall automatically send a renewal reminder to the Research Coordinator and Finance Director 90 days before the agreement expiry date.</w:t>
      </w:r>
    </w:p>
    <w:p>
      <w:pPr>
        <w:pStyle w:val="BodyText"/>
      </w:pPr>
      <w:r>
        <w:rPr>
          <w:b/>
          <w:bCs/>
        </w:rPr>
        <w:t xml:space="preserve">FR-RES-019</w:t>
      </w:r>
      <w:r>
        <w:t xml:space="preserve"> </w:t>
      </w:r>
      <w:r>
        <w:t xml:space="preserve">When the Research Coordinator records an intellectual property item, the system shall store: IP title, IP type (Patent Application / Registered Variety / Trade Secret / Copyright / Other), registration number if applicable, filing date, registration date, territory, and the names of all inventors or authors. Attached documentation (PDF or image) shall be uploadable with a file size limit of 25 MB per file.</w:t>
      </w:r>
    </w:p>
    <w:p>
      <w:pPr>
        <w:pStyle w:val="BodyText"/>
      </w:pPr>
      <w:r>
        <w:rPr>
          <w:b/>
          <w:bCs/>
        </w:rPr>
        <w:t xml:space="preserve">FR-RES-020</w:t>
      </w:r>
      <w:r>
        <w:t xml:space="preserve"> </w:t>
      </w:r>
      <w:r>
        <w:t xml:space="preserve">When the Research Coordinator records an academic publication, the system shall store: publication title, authors, journal or conference name, publication date, DOI or URL reference, and the BIRDC research project it relates to. Publications shall be searchable and filterable by author, year, and project.</w:t>
      </w:r>
    </w:p>
    <w:bookmarkEnd w:id="39"/>
    <w:bookmarkStart w:id="40" w:name="X0ac486ebe99e15f4ca561334e35401d773cc15e"/>
    <w:p>
      <w:pPr>
        <w:pStyle w:val="Heading3"/>
      </w:pPr>
      <w:r>
        <w:t xml:space="preserve">3.1.5 R&amp;D Expenditure Tracking</w:t>
      </w:r>
    </w:p>
    <w:p>
      <w:pPr>
        <w:pStyle w:val="FirstParagraph"/>
      </w:pPr>
      <w:r>
        <w:rPr>
          <w:b/>
          <w:bCs/>
        </w:rPr>
        <w:t xml:space="preserve">FR-RES-021</w:t>
      </w:r>
      <w:r>
        <w:t xml:space="preserve"> </w:t>
      </w:r>
      <w:r>
        <w:t xml:space="preserve">When the Research Coordinator or Finance Manager records an R&amp;D expenditure, the system shall store: expenditure ID, date, description, amount (UGX), supplier or payee, related field trial ID or product development ID, and the GL cost centre "Research". The system shall post the expenditure to the GL as DR Research Expense — [Sub-category] / CR Accounts Payable or CR Cash, without requiring a separate manual journal entry.</w:t>
      </w:r>
    </w:p>
    <w:p>
      <w:pPr>
        <w:pStyle w:val="BodyText"/>
      </w:pPr>
      <w:r>
        <w:rPr>
          <w:b/>
          <w:bCs/>
        </w:rPr>
        <w:t xml:space="preserve">FR-RES-022</w:t>
      </w:r>
      <w:r>
        <w:t xml:space="preserve"> </w:t>
      </w:r>
      <w:r>
        <w:t xml:space="preserve">When the Finance Director requests an R&amp;D expenditure report by trial, product, or period, the system shall aggregate all expenditure records by the requested dimension and display total spend with a comparison to any configured R&amp;D budget for that cost centre, within 5 seconds. The report shall be exportable to PDF and Excel.</w:t>
      </w:r>
    </w:p>
    <w:p>
      <w:pPr>
        <w:pStyle w:val="BodyText"/>
      </w:pPr>
      <w:r>
        <w:rPr>
          <w:b/>
          <w:bCs/>
        </w:rPr>
        <w:t xml:space="preserve">FR-RES-023</w:t>
      </w:r>
      <w:r>
        <w:t xml:space="preserve"> </w:t>
      </w:r>
      <w:r>
        <w:t xml:space="preserve">When the Research Coordinator or Finance Director requests a full R&amp;D project cost summary, the system shall display all expenditure categories (personnel, materials, external services, equipment, travel) per trial or product development initiative, with subtotals per category and a grand total, satisfying the Finance Director's need for parliamentary reporting on R&amp;D investment.</w:t>
      </w:r>
    </w:p>
    <w:bookmarkEnd w:id="40"/>
    <w:bookmarkEnd w:id="41"/>
    <w:bookmarkStart w:id="47" w:name="X93aaac91af81eab787648df5476e8c5448a0f2c"/>
    <w:p>
      <w:pPr>
        <w:pStyle w:val="Heading2"/>
      </w:pPr>
      <w:r>
        <w:t xml:space="preserve">3.2 F-016: Administration &amp; PPDA Compliance</w:t>
      </w:r>
    </w:p>
    <w:bookmarkStart w:id="42" w:name="X12cf1e7117def0160444e2e87229d0f1176301d"/>
    <w:p>
      <w:pPr>
        <w:pStyle w:val="Heading3"/>
      </w:pPr>
      <w:r>
        <w:t xml:space="preserve">3.2.1 PPDA Procurement Register</w:t>
      </w:r>
    </w:p>
    <w:p>
      <w:pPr>
        <w:pStyle w:val="FirstParagraph"/>
      </w:pPr>
      <w:r>
        <w:rPr>
          <w:b/>
          <w:bCs/>
        </w:rPr>
        <w:t xml:space="preserve">FR-ADM-001</w:t>
      </w:r>
      <w:r>
        <w:t xml:space="preserve"> </w:t>
      </w:r>
      <w:r>
        <w:t xml:space="preserve">When the Administration Officer or Procurement Manager creates a procurement register entry, the system shall store: procurement reference number (format:</w:t>
      </w:r>
      <w:r>
        <w:t xml:space="preserve"> </w:t>
      </w:r>
      <w:r>
        <w:rPr>
          <w:rStyle w:val="VerbatimChar"/>
        </w:rPr>
        <w:t xml:space="preserve">PROC-YYYY-NNNN</w:t>
      </w:r>
      <w:r>
        <w:t xml:space="preserve">), procurement description, estimated value (UGX), PPDA category (Micro / Small / Large / Restricted — based on configured UGX thresholds per BR-005), procurement method, department initiating the procurement, date initiated, and the required approval authority for that category.</w:t>
      </w:r>
      <w:r>
        <w:t xml:space="preserve"> </w:t>
      </w:r>
      <w:r>
        <w:rPr>
          <w:rStyle w:val="VerbatimChar"/>
        </w:rPr>
        <w:t xml:space="preserve">[CONTEXT-GAP: GAP-007]</w:t>
      </w:r>
    </w:p>
    <w:p>
      <w:pPr>
        <w:pStyle w:val="BodyText"/>
      </w:pPr>
      <w:r>
        <w:rPr>
          <w:b/>
          <w:bCs/>
        </w:rPr>
        <w:t xml:space="preserve">FR-ADM-002</w:t>
      </w:r>
      <w:r>
        <w:t xml:space="preserve"> </w:t>
      </w:r>
      <w:r>
        <w:t xml:space="preserve">When a procurement transaction is created, the system shall automatically generate a document checklist for that transaction based on the PPDA category, requiring all mandatory documents to be recorded: Procurement Request, Request for Quotation (3 quotes for Small and above), Evaluation Report, Local Purchase Order, Goods Receipt Note, Supplier Invoice, and Payment Voucher. Additional document types shall be configurable per category without developer involvement (DC-002).</w:t>
      </w:r>
    </w:p>
    <w:p>
      <w:pPr>
        <w:pStyle w:val="BodyText"/>
      </w:pPr>
      <w:r>
        <w:rPr>
          <w:b/>
          <w:bCs/>
        </w:rPr>
        <w:t xml:space="preserve">FR-ADM-003</w:t>
      </w:r>
      <w:r>
        <w:t xml:space="preserve"> </w:t>
      </w:r>
      <w:r>
        <w:t xml:space="preserve">When the Finance Manager or Administration Officer attempts to approve a payment for a procurement transaction via the Accounts Payable module (F-007), the system shall verify that all mandatory PPDA document checklist items for that transaction are marked "Received and Filed". If any mandatory item is missing, the system shall block the payment with an error message listing the missing documents (BR-005). This validation shall be enforced at the API layer, not only in the UI.</w:t>
      </w:r>
    </w:p>
    <w:p>
      <w:pPr>
        <w:pStyle w:val="BodyText"/>
      </w:pPr>
      <w:r>
        <w:rPr>
          <w:b/>
          <w:bCs/>
        </w:rPr>
        <w:t xml:space="preserve">FR-ADM-004</w:t>
      </w:r>
      <w:r>
        <w:t xml:space="preserve"> </w:t>
      </w:r>
      <w:r>
        <w:t xml:space="preserve">When the Administration Officer marks a PPDA document checklist item as "Received and Filed", the system shall store the document type, reference number, date received, filing location or document management reference, and the user who recorded the item, creating an immutable audit record.</w:t>
      </w:r>
    </w:p>
    <w:p>
      <w:pPr>
        <w:pStyle w:val="BodyText"/>
      </w:pPr>
      <w:r>
        <w:rPr>
          <w:b/>
          <w:bCs/>
        </w:rPr>
        <w:t xml:space="preserve">FR-ADM-005</w:t>
      </w:r>
      <w:r>
        <w:t xml:space="preserve"> </w:t>
      </w:r>
      <w:r>
        <w:t xml:space="preserve">When the Procurement Manager or Administration Officer requests the PPDA procurement register export, the system shall generate a complete register in Excel format listing all procurement transactions for the financial year with: procurement reference, description, category, value, supplier, date, document checklist completion status (complete / incomplete), and approval authority. The export shall be generated within 15 seconds for up to 500 transactions and shall be suitable for direct submission during a PPDA audit.</w:t>
      </w:r>
    </w:p>
    <w:p>
      <w:pPr>
        <w:pStyle w:val="BodyText"/>
      </w:pPr>
      <w:r>
        <w:rPr>
          <w:b/>
          <w:bCs/>
        </w:rPr>
        <w:t xml:space="preserve">FR-ADM-006</w:t>
      </w:r>
      <w:r>
        <w:t xml:space="preserve"> </w:t>
      </w:r>
      <w:r>
        <w:t xml:space="preserve">When a procurement transaction's estimated value is entered and exceeds the configured threshold for a higher PPDA category, the system shall automatically reclassify the transaction to the higher category, update the approval authority requirement, update the document checklist accordingly, and display a notification to the Administration Officer.</w:t>
      </w:r>
    </w:p>
    <w:p>
      <w:pPr>
        <w:pStyle w:val="BodyText"/>
      </w:pPr>
      <w:r>
        <w:rPr>
          <w:b/>
          <w:bCs/>
        </w:rPr>
        <w:t xml:space="preserve">FR-ADM-007</w:t>
      </w:r>
      <w:r>
        <w:t xml:space="preserve"> </w:t>
      </w:r>
      <w:r>
        <w:t xml:space="preserve">When the Finance Director requests a PPDA compliance dashboard, the system shall display: total procurement transactions for the current financial year by PPDA category, percentage with complete document checklists, transactions with incomplete checklists (drill-down to identify missing documents), and total procurement spend by category and department, rendered within 5 seconds.</w:t>
      </w:r>
    </w:p>
    <w:bookmarkEnd w:id="42"/>
    <w:bookmarkStart w:id="43" w:name="Xdd516fb419c08662f08dd0566556c7de3660848"/>
    <w:p>
      <w:pPr>
        <w:pStyle w:val="Heading3"/>
      </w:pPr>
      <w:r>
        <w:t xml:space="preserve">3.2.2 Document Management System</w:t>
      </w:r>
    </w:p>
    <w:p>
      <w:pPr>
        <w:pStyle w:val="FirstParagraph"/>
      </w:pPr>
      <w:r>
        <w:rPr>
          <w:b/>
          <w:bCs/>
        </w:rPr>
        <w:t xml:space="preserve">FR-ADM-008</w:t>
      </w:r>
      <w:r>
        <w:t xml:space="preserve"> </w:t>
      </w:r>
      <w:r>
        <w:t xml:space="preserve">When an authorised user uploads a document to the centralised document store, the system shall store: document ID (format:</w:t>
      </w:r>
      <w:r>
        <w:t xml:space="preserve"> </w:t>
      </w:r>
      <w:r>
        <w:rPr>
          <w:rStyle w:val="VerbatimChar"/>
        </w:rPr>
        <w:t xml:space="preserve">DOC-NNNN</w:t>
      </w:r>
      <w:r>
        <w:t xml:space="preserve">), document title, document type (from a configurable category list), related module reference (e.g., procurement reference, contract reference, asset ID), file name, file size, MIME type, upload date, uploader identity, and an access control tag specifying which roles may view or download the document.</w:t>
      </w:r>
    </w:p>
    <w:p>
      <w:pPr>
        <w:pStyle w:val="BodyText"/>
      </w:pPr>
      <w:r>
        <w:rPr>
          <w:b/>
          <w:bCs/>
        </w:rPr>
        <w:t xml:space="preserve">FR-ADM-009</w:t>
      </w:r>
      <w:r>
        <w:t xml:space="preserve"> </w:t>
      </w:r>
      <w:r>
        <w:t xml:space="preserve">When a new version of an existing document is uploaded, the system shall retain all previous versions with their version numbers, upload dates, and uploader identities. The previous version shall be accessible for download by authorised users. A document shall never be irrecoverably overwritten.</w:t>
      </w:r>
    </w:p>
    <w:p>
      <w:pPr>
        <w:pStyle w:val="BodyText"/>
      </w:pPr>
      <w:r>
        <w:rPr>
          <w:b/>
          <w:bCs/>
        </w:rPr>
        <w:t xml:space="preserve">FR-ADM-010</w:t>
      </w:r>
      <w:r>
        <w:t xml:space="preserve"> </w:t>
      </w:r>
      <w:r>
        <w:t xml:space="preserve">When a user attempts to view or download a document, the system shall verify that the user's role is included in the document's access control list. If the user is not authorised, the system shall deny access with a permission error and log the access attempt with the user's ID, document ID, and timestamp.</w:t>
      </w:r>
    </w:p>
    <w:p>
      <w:pPr>
        <w:pStyle w:val="BodyText"/>
      </w:pPr>
      <w:r>
        <w:rPr>
          <w:b/>
          <w:bCs/>
        </w:rPr>
        <w:t xml:space="preserve">FR-ADM-011</w:t>
      </w:r>
      <w:r>
        <w:t xml:space="preserve"> </w:t>
      </w:r>
      <w:r>
        <w:t xml:space="preserve">When a user views or downloads a document, the system shall record: user ID, document ID, version accessed, action (View / Download), timestamp, and IP address, in the immutable document audit log. The audit log for each document shall be viewable by the IT Administrator and Finance Director.</w:t>
      </w:r>
    </w:p>
    <w:p>
      <w:pPr>
        <w:pStyle w:val="BodyText"/>
      </w:pPr>
      <w:r>
        <w:rPr>
          <w:b/>
          <w:bCs/>
        </w:rPr>
        <w:t xml:space="preserve">FR-ADM-012</w:t>
      </w:r>
      <w:r>
        <w:t xml:space="preserve"> </w:t>
      </w:r>
      <w:r>
        <w:t xml:space="preserve">When the Administration Officer searches the document store by document title, type, related reference, or upload date range, the system shall return all matching documents within 2 seconds, displaying title, type, version, upload date, and uploader.</w:t>
      </w:r>
    </w:p>
    <w:p>
      <w:pPr>
        <w:pStyle w:val="BodyText"/>
      </w:pPr>
      <w:r>
        <w:rPr>
          <w:b/>
          <w:bCs/>
        </w:rPr>
        <w:t xml:space="preserve">FR-ADM-013</w:t>
      </w:r>
      <w:r>
        <w:t xml:space="preserve"> </w:t>
      </w:r>
      <w:r>
        <w:t xml:space="preserve">When a PPDA compliance document has a statutory retention period, the system shall enforce that the document cannot be deleted from the store until the retention period expires. Documents subject to the Uganda Companies Act 7-year retention shall be flagged and protected. Any attempted deletion within the retention period shall be blocked and logged (DC-003).</w:t>
      </w:r>
    </w:p>
    <w:bookmarkEnd w:id="43"/>
    <w:bookmarkStart w:id="44" w:name="X1f90abc0914ba2bdc199f3bb2dd23afd4dce039"/>
    <w:p>
      <w:pPr>
        <w:pStyle w:val="Heading3"/>
      </w:pPr>
      <w:r>
        <w:t xml:space="preserve">3.2.3 Asset Register</w:t>
      </w:r>
    </w:p>
    <w:p>
      <w:pPr>
        <w:pStyle w:val="FirstParagraph"/>
      </w:pPr>
      <w:r>
        <w:rPr>
          <w:b/>
          <w:bCs/>
        </w:rPr>
        <w:t xml:space="preserve">FR-ADM-014</w:t>
      </w:r>
      <w:r>
        <w:t xml:space="preserve"> </w:t>
      </w:r>
      <w:r>
        <w:t xml:space="preserve">When the Administration Officer or Finance Manager creates a new asset record, the system shall store: asset ID (format:</w:t>
      </w:r>
      <w:r>
        <w:t xml:space="preserve"> </w:t>
      </w:r>
      <w:r>
        <w:rPr>
          <w:rStyle w:val="VerbatimChar"/>
        </w:rPr>
        <w:t xml:space="preserve">ASSET-NNNN</w:t>
      </w:r>
      <w:r>
        <w:t xml:space="preserve">), asset name, asset category (from a configurable list: Land / Building / Plant &amp; Machinery / Vehicles / Computer Equipment / Furniture / Other), acquisition date, acquisition cost (UGX), supplier reference, department, physical location, custodian (linked to employee record), condition (New / Good / Fair / Poor / Disposed), and depreciation method (Straight Line or Reducing Balance — configurable per asset category).</w:t>
      </w:r>
    </w:p>
    <w:p>
      <w:pPr>
        <w:pStyle w:val="BodyText"/>
      </w:pPr>
      <w:r>
        <w:rPr>
          <w:b/>
          <w:bCs/>
        </w:rPr>
        <w:t xml:space="preserve">FR-ADM-015</w:t>
      </w:r>
      <w:r>
        <w:t xml:space="preserve"> </w:t>
      </w:r>
      <w:r>
        <w:t xml:space="preserve">When an asset record is created with a depreciable category, the system shall calculate and store the annual depreciation amount using the configured method:</w:t>
      </w:r>
    </w:p>
    <w:p>
      <w:pPr>
        <w:pStyle w:val="BodyText"/>
      </w:pPr>
      <w:r>
        <w:t xml:space="preserve">For Straight Line:</w:t>
      </w:r>
      <w:r>
        <w:t xml:space="preserve"> </w:t>
      </w:r>
      <m:oMath>
        <m:r>
          <m:t>A</m:t>
        </m:r>
        <m:r>
          <m:t>n</m:t>
        </m:r>
        <m:r>
          <m:t>n</m:t>
        </m:r>
        <m:r>
          <m:t>u</m:t>
        </m:r>
        <m:r>
          <m:t>a</m:t>
        </m:r>
        <m:r>
          <m:t>l</m:t>
        </m:r>
        <m:r>
          <m:rPr>
            <m:sty m:val="p"/>
          </m:rPr>
          <m:t>_</m:t>
        </m:r>
        <m:r>
          <m:t>D</m:t>
        </m:r>
        <m:r>
          <m:t>e</m:t>
        </m:r>
        <m:r>
          <m:t>p</m:t>
        </m:r>
        <m:r>
          <m:t>r</m:t>
        </m:r>
        <m:r>
          <m:t>e</m:t>
        </m:r>
        <m:r>
          <m:t>c</m:t>
        </m:r>
        <m:r>
          <m:t>i</m:t>
        </m:r>
        <m:r>
          <m:t>a</m:t>
        </m:r>
        <m:r>
          <m:t>t</m:t>
        </m:r>
        <m:r>
          <m:t>i</m:t>
        </m:r>
        <m:r>
          <m:t>o</m:t>
        </m:r>
        <m:r>
          <m:t>n</m:t>
        </m:r>
        <m:r>
          <m:rPr>
            <m:sty m:val="p"/>
          </m:rPr>
          <m:t>=</m:t>
        </m:r>
        <m:f>
          <m:fPr>
            <m:type m:val="bar"/>
          </m:fPr>
          <m:num>
            <m:r>
              <m:t>A</m:t>
            </m:r>
            <m:r>
              <m:t>c</m:t>
            </m:r>
            <m:r>
              <m:t>q</m:t>
            </m:r>
            <m:r>
              <m:t>u</m:t>
            </m:r>
            <m:r>
              <m:t>i</m:t>
            </m:r>
            <m:r>
              <m:t>s</m:t>
            </m:r>
            <m:r>
              <m:t>i</m:t>
            </m:r>
            <m:r>
              <m:t>t</m:t>
            </m:r>
            <m:r>
              <m:t>i</m:t>
            </m:r>
            <m:r>
              <m:t>o</m:t>
            </m:r>
            <m:r>
              <m:t>n</m:t>
            </m:r>
            <m:r>
              <m:rPr>
                <m:sty m:val="p"/>
              </m:rPr>
              <m:t>_</m:t>
            </m:r>
            <m:r>
              <m:t>C</m:t>
            </m:r>
            <m:r>
              <m:t>o</m:t>
            </m:r>
            <m:r>
              <m:t>s</m:t>
            </m:r>
            <m:r>
              <m:t>t</m:t>
            </m:r>
            <m:r>
              <m:rPr>
                <m:sty m:val="p"/>
              </m:rPr>
              <m:t>−</m:t>
            </m:r>
            <m:r>
              <m:t>R</m:t>
            </m:r>
            <m:r>
              <m:t>e</m:t>
            </m:r>
            <m:r>
              <m:t>s</m:t>
            </m:r>
            <m:r>
              <m:t>i</m:t>
            </m:r>
            <m:r>
              <m:t>d</m:t>
            </m:r>
            <m:r>
              <m:t>u</m:t>
            </m:r>
            <m:r>
              <m:t>a</m:t>
            </m:r>
            <m:r>
              <m:t>l</m:t>
            </m:r>
            <m:r>
              <m:rPr>
                <m:sty m:val="p"/>
              </m:rPr>
              <m:t>_</m:t>
            </m:r>
            <m:r>
              <m:t>V</m:t>
            </m:r>
            <m:r>
              <m:t>a</m:t>
            </m:r>
            <m:r>
              <m:t>l</m:t>
            </m:r>
            <m:r>
              <m:t>u</m:t>
            </m:r>
            <m:r>
              <m:t>e</m:t>
            </m:r>
          </m:num>
          <m:den>
            <m:r>
              <m:t>U</m:t>
            </m:r>
            <m:r>
              <m:t>s</m:t>
            </m:r>
            <m:r>
              <m:t>e</m:t>
            </m:r>
            <m:r>
              <m:t>f</m:t>
            </m:r>
            <m:r>
              <m:t>u</m:t>
            </m:r>
            <m:r>
              <m:t>l</m:t>
            </m:r>
            <m:r>
              <m:rPr>
                <m:sty m:val="p"/>
              </m:rPr>
              <m:t>_</m:t>
            </m:r>
            <m:r>
              <m:t>L</m:t>
            </m:r>
            <m:r>
              <m:t>i</m:t>
            </m:r>
            <m:r>
              <m:t>f</m:t>
            </m:r>
            <m:r>
              <m:t>e</m:t>
            </m:r>
            <m:r>
              <m:rPr>
                <m:sty m:val="p"/>
              </m:rPr>
              <m:t>_</m:t>
            </m:r>
            <m:r>
              <m:t>Y</m:t>
            </m:r>
            <m:r>
              <m:t>e</m:t>
            </m:r>
            <m:r>
              <m:t>a</m:t>
            </m:r>
            <m:r>
              <m:t>r</m:t>
            </m:r>
            <m:r>
              <m:t>s</m:t>
            </m:r>
          </m:den>
        </m:f>
      </m:oMath>
    </w:p>
    <w:p>
      <w:pPr>
        <w:pStyle w:val="BodyText"/>
      </w:pPr>
      <w:r>
        <w:t xml:space="preserve">For Reducing Balance:</w:t>
      </w:r>
      <w:r>
        <w:t xml:space="preserve"> </w:t>
      </w:r>
      <m:oMath>
        <m:r>
          <m:t>A</m:t>
        </m:r>
        <m:r>
          <m:t>n</m:t>
        </m:r>
        <m:r>
          <m:t>n</m:t>
        </m:r>
        <m:r>
          <m:t>u</m:t>
        </m:r>
        <m:r>
          <m:t>a</m:t>
        </m:r>
        <m:r>
          <m:t>l</m:t>
        </m:r>
        <m:r>
          <m:rPr>
            <m:sty m:val="p"/>
          </m:rPr>
          <m:t>_</m:t>
        </m:r>
        <m:r>
          <m:t>D</m:t>
        </m:r>
        <m:r>
          <m:t>e</m:t>
        </m:r>
        <m:r>
          <m:t>p</m:t>
        </m:r>
        <m:r>
          <m:t>r</m:t>
        </m:r>
        <m:r>
          <m:t>e</m:t>
        </m:r>
        <m:r>
          <m:t>c</m:t>
        </m:r>
        <m:r>
          <m:t>i</m:t>
        </m:r>
        <m:r>
          <m:t>a</m:t>
        </m:r>
        <m:r>
          <m:t>t</m:t>
        </m:r>
        <m:r>
          <m:t>i</m:t>
        </m:r>
        <m:r>
          <m:t>o</m:t>
        </m:r>
        <m:r>
          <m:t>n</m:t>
        </m:r>
        <m:r>
          <m:rPr>
            <m:sty m:val="p"/>
          </m:rPr>
          <m:t>=</m:t>
        </m:r>
        <m:r>
          <m:t>N</m:t>
        </m:r>
        <m:r>
          <m:t>e</m:t>
        </m:r>
        <m:r>
          <m:t>t</m:t>
        </m:r>
        <m:r>
          <m:rPr>
            <m:sty m:val="p"/>
          </m:rPr>
          <m:t>_</m:t>
        </m:r>
        <m:r>
          <m:t>B</m:t>
        </m:r>
        <m:r>
          <m:t>o</m:t>
        </m:r>
        <m:r>
          <m:t>o</m:t>
        </m:r>
        <m:r>
          <m:t>k</m:t>
        </m:r>
        <m:r>
          <m:rPr>
            <m:sty m:val="p"/>
          </m:rPr>
          <m:t>_</m:t>
        </m:r>
        <m:r>
          <m:t>V</m:t>
        </m:r>
        <m:r>
          <m:t>a</m:t>
        </m:r>
        <m:r>
          <m:t>l</m:t>
        </m:r>
        <m:r>
          <m:t>u</m:t>
        </m:r>
        <m:r>
          <m:t>e</m:t>
        </m:r>
        <m:r>
          <m:rPr>
            <m:sty m:val="p"/>
          </m:rPr>
          <m:t>×</m:t>
        </m:r>
        <m:r>
          <m:t>D</m:t>
        </m:r>
        <m:r>
          <m:t>e</m:t>
        </m:r>
        <m:r>
          <m:t>p</m:t>
        </m:r>
        <m:r>
          <m:t>r</m:t>
        </m:r>
        <m:r>
          <m:t>e</m:t>
        </m:r>
        <m:r>
          <m:t>c</m:t>
        </m:r>
        <m:r>
          <m:t>i</m:t>
        </m:r>
        <m:r>
          <m:t>a</m:t>
        </m:r>
        <m:r>
          <m:t>t</m:t>
        </m:r>
        <m:r>
          <m:t>i</m:t>
        </m:r>
        <m:r>
          <m:t>o</m:t>
        </m:r>
        <m:r>
          <m:t>n</m:t>
        </m:r>
        <m:r>
          <m:rPr>
            <m:sty m:val="p"/>
          </m:rPr>
          <m:t>_</m:t>
        </m:r>
        <m:r>
          <m:t>R</m:t>
        </m:r>
        <m:r>
          <m:t>a</m:t>
        </m:r>
        <m:r>
          <m:t>t</m:t>
        </m:r>
        <m:r>
          <m:t>e</m:t>
        </m:r>
      </m:oMath>
    </w:p>
    <w:p>
      <w:pPr>
        <w:pStyle w:val="BodyText"/>
      </w:pPr>
      <w:r>
        <w:t xml:space="preserve">The system shall schedule monthly GL journal entries of:</w:t>
      </w:r>
    </w:p>
    <w:p>
      <w:pPr>
        <w:pStyle w:val="BodyText"/>
      </w:pPr>
      <w:r>
        <w:t xml:space="preserve">DR Depreciation Expense — [Asset Category] / CR Accumulated Depreciation — [Asset ID]</w:t>
      </w:r>
    </w:p>
    <w:p>
      <w:pPr>
        <w:pStyle w:val="BodyText"/>
      </w:pPr>
      <w:r>
        <w:t xml:space="preserve">for each active depreciable asset, posted automatically at period end without manual entry.</w:t>
      </w:r>
    </w:p>
    <w:p>
      <w:pPr>
        <w:pStyle w:val="BodyText"/>
      </w:pPr>
      <w:r>
        <w:rPr>
          <w:b/>
          <w:bCs/>
        </w:rPr>
        <w:t xml:space="preserve">FR-ADM-016</w:t>
      </w:r>
      <w:r>
        <w:t xml:space="preserve"> </w:t>
      </w:r>
      <w:r>
        <w:t xml:space="preserve">When the Finance Manager or Finance Director requests the asset register as of a specified date, the system shall display all assets with: asset ID, name, category, acquisition date, acquisition cost, total accumulated depreciation, net book value as of the date requested, and current condition. The register shall be exportable to PDF and Excel within 10 seconds.</w:t>
      </w:r>
    </w:p>
    <w:p>
      <w:pPr>
        <w:pStyle w:val="BodyText"/>
      </w:pPr>
      <w:r>
        <w:rPr>
          <w:b/>
          <w:bCs/>
        </w:rPr>
        <w:t xml:space="preserve">FR-ADM-017</w:t>
      </w:r>
      <w:r>
        <w:t xml:space="preserve"> </w:t>
      </w:r>
      <w:r>
        <w:t xml:space="preserve">When the Finance Manager initiates the annual physical asset verification workflow, the system shall generate a physical count list of all active assets sorted by department and location. Each asset shall have a verification checkbox for the custodian to confirm "Present and in stated condition" or "Discrepancy noted". Discrepancy notes shall be logged with the verifier's identity and date.</w:t>
      </w:r>
    </w:p>
    <w:p>
      <w:pPr>
        <w:pStyle w:val="BodyText"/>
      </w:pPr>
      <w:r>
        <w:rPr>
          <w:b/>
          <w:bCs/>
        </w:rPr>
        <w:t xml:space="preserve">FR-ADM-018</w:t>
      </w:r>
      <w:r>
        <w:t xml:space="preserve"> </w:t>
      </w:r>
      <w:r>
        <w:t xml:space="preserve">When an asset is disposed of (sold, scrapped, or donated), the Administration Officer shall record the disposal date, disposal method, disposal proceeds (UGX), and reason. The system shall compute the gain or loss on disposal as:</w:t>
      </w:r>
    </w:p>
    <w:p>
      <w:pPr>
        <w:pStyle w:val="BodyText"/>
      </w:pPr>
      <m:oMath>
        <m:r>
          <m:t>D</m:t>
        </m:r>
        <m:r>
          <m:t>i</m:t>
        </m:r>
        <m:r>
          <m:t>s</m:t>
        </m:r>
        <m:r>
          <m:t>p</m:t>
        </m:r>
        <m:r>
          <m:t>o</m:t>
        </m:r>
        <m:r>
          <m:t>s</m:t>
        </m:r>
        <m:r>
          <m:t>a</m:t>
        </m:r>
        <m:r>
          <m:t>l</m:t>
        </m:r>
        <m:r>
          <m:rPr>
            <m:sty m:val="p"/>
          </m:rPr>
          <m:t>_</m:t>
        </m:r>
        <m:r>
          <m:t>G</m:t>
        </m:r>
        <m:r>
          <m:t>a</m:t>
        </m:r>
        <m:r>
          <m:t>i</m:t>
        </m:r>
        <m:r>
          <m:t>n</m:t>
        </m:r>
        <m:r>
          <m:rPr>
            <m:sty m:val="p"/>
          </m:rPr>
          <m:t>_</m:t>
        </m:r>
        <m:r>
          <m:t>L</m:t>
        </m:r>
        <m:r>
          <m:t>o</m:t>
        </m:r>
        <m:r>
          <m:t>s</m:t>
        </m:r>
        <m:r>
          <m:t>s</m:t>
        </m:r>
        <m:r>
          <m:rPr>
            <m:sty m:val="p"/>
          </m:rPr>
          <m:t>=</m:t>
        </m:r>
        <m:r>
          <m:t>D</m:t>
        </m:r>
        <m:r>
          <m:t>i</m:t>
        </m:r>
        <m:r>
          <m:t>s</m:t>
        </m:r>
        <m:r>
          <m:t>p</m:t>
        </m:r>
        <m:r>
          <m:t>o</m:t>
        </m:r>
        <m:r>
          <m:t>s</m:t>
        </m:r>
        <m:r>
          <m:t>a</m:t>
        </m:r>
        <m:r>
          <m:t>l</m:t>
        </m:r>
        <m:r>
          <m:rPr>
            <m:sty m:val="p"/>
          </m:rPr>
          <m:t>_</m:t>
        </m:r>
        <m:r>
          <m:t>P</m:t>
        </m:r>
        <m:r>
          <m:t>r</m:t>
        </m:r>
        <m:r>
          <m:t>o</m:t>
        </m:r>
        <m:r>
          <m:t>c</m:t>
        </m:r>
        <m:r>
          <m:t>e</m:t>
        </m:r>
        <m:r>
          <m:t>e</m:t>
        </m:r>
        <m:r>
          <m:t>d</m:t>
        </m:r>
        <m:r>
          <m:t>s</m:t>
        </m:r>
        <m:r>
          <m:rPr>
            <m:sty m:val="p"/>
          </m:rPr>
          <m:t>−</m:t>
        </m:r>
        <m:r>
          <m:t>N</m:t>
        </m:r>
        <m:r>
          <m:t>e</m:t>
        </m:r>
        <m:r>
          <m:t>t</m:t>
        </m:r>
        <m:r>
          <m:rPr>
            <m:sty m:val="p"/>
          </m:rPr>
          <m:t>_</m:t>
        </m:r>
        <m:r>
          <m:t>B</m:t>
        </m:r>
        <m:r>
          <m:t>o</m:t>
        </m:r>
        <m:r>
          <m:t>o</m:t>
        </m:r>
        <m:r>
          <m:t>k</m:t>
        </m:r>
        <m:r>
          <m:rPr>
            <m:sty m:val="p"/>
          </m:rPr>
          <m:t>_</m:t>
        </m:r>
        <m:r>
          <m:t>V</m:t>
        </m:r>
        <m:r>
          <m:t>a</m:t>
        </m:r>
        <m:r>
          <m:t>l</m:t>
        </m:r>
        <m:r>
          <m:t>u</m:t>
        </m:r>
        <m:r>
          <m:t>e</m:t>
        </m:r>
        <m:r>
          <m:rPr>
            <m:sty m:val="p"/>
          </m:rPr>
          <m:t>_</m:t>
        </m:r>
        <m:r>
          <m:t>A</m:t>
        </m:r>
        <m:r>
          <m:t>t</m:t>
        </m:r>
        <m:r>
          <m:rPr>
            <m:sty m:val="p"/>
          </m:rPr>
          <m:t>_</m:t>
        </m:r>
        <m:r>
          <m:t>D</m:t>
        </m:r>
        <m:r>
          <m:t>i</m:t>
        </m:r>
        <m:r>
          <m:t>s</m:t>
        </m:r>
        <m:r>
          <m:t>p</m:t>
        </m:r>
        <m:r>
          <m:t>o</m:t>
        </m:r>
        <m:r>
          <m:t>s</m:t>
        </m:r>
        <m:r>
          <m:t>a</m:t>
        </m:r>
        <m:r>
          <m:t>l</m:t>
        </m:r>
        <m:r>
          <m:rPr>
            <m:sty m:val="p"/>
          </m:rPr>
          <m:t>_</m:t>
        </m:r>
        <m:r>
          <m:t>D</m:t>
        </m:r>
        <m:r>
          <m:t>a</m:t>
        </m:r>
        <m:r>
          <m:t>t</m:t>
        </m:r>
        <m:r>
          <m:t>e</m:t>
        </m:r>
      </m:oMath>
    </w:p>
    <w:p>
      <w:pPr>
        <w:pStyle w:val="BodyText"/>
      </w:pPr>
      <w:r>
        <w:t xml:space="preserve">and post the disposal GL entry: DR Proceeds / DR Accumulated Depreciation / DR or CR Gain-Loss on Disposal / CR Asset Cost. The asset status shall be updated to "Disposed" and the asset shall cease depreciation from the disposal date.</w:t>
      </w:r>
    </w:p>
    <w:p>
      <w:pPr>
        <w:pStyle w:val="BodyText"/>
      </w:pPr>
      <w:r>
        <w:rPr>
          <w:b/>
          <w:bCs/>
        </w:rPr>
        <w:t xml:space="preserve">FR-ADM-019</w:t>
      </w:r>
      <w:r>
        <w:t xml:space="preserve"> </w:t>
      </w:r>
      <w:r>
        <w:t xml:space="preserve">When an asset is transferred between departments, the Administration Officer shall record the transfer date, originating department, receiving department, and the identity of the receiving custodian. The GL cost centre for monthly depreciation shall update to the receiving department from the transfer date.</w:t>
      </w:r>
    </w:p>
    <w:bookmarkEnd w:id="44"/>
    <w:bookmarkStart w:id="45" w:name="Xa354213901f5a9b728f9e0dcc392de0b9ff1747"/>
    <w:p>
      <w:pPr>
        <w:pStyle w:val="Heading3"/>
      </w:pPr>
      <w:r>
        <w:t xml:space="preserve">3.2.4 Vehicle and Equipment Logbook</w:t>
      </w:r>
    </w:p>
    <w:p>
      <w:pPr>
        <w:pStyle w:val="FirstParagraph"/>
      </w:pPr>
      <w:r>
        <w:rPr>
          <w:b/>
          <w:bCs/>
        </w:rPr>
        <w:t xml:space="preserve">FR-ADM-020</w:t>
      </w:r>
      <w:r>
        <w:t xml:space="preserve"> </w:t>
      </w:r>
      <w:r>
        <w:t xml:space="preserve">When the Administration Officer or a vehicle custodian creates a trip entry in the vehicle logbook, the system shall store: vehicle ID (linked to asset register), driver name (linked to employee record), trip date, departure time, destination, purpose, odometer reading at departure, odometer reading at return, fuel consumed (litres), and any maintenance issues observed during the trip. The system shall automatically compute the distance travelled (odometer return minus odometer departure) and the fuel efficiency (km per litre).</w:t>
      </w:r>
    </w:p>
    <w:p>
      <w:pPr>
        <w:pStyle w:val="BodyText"/>
      </w:pPr>
      <w:r>
        <w:rPr>
          <w:b/>
          <w:bCs/>
        </w:rPr>
        <w:t xml:space="preserve">FR-ADM-021</w:t>
      </w:r>
      <w:r>
        <w:t xml:space="preserve"> </w:t>
      </w:r>
      <w:r>
        <w:t xml:space="preserve">When a fuel purchase is recorded for a vehicle, the system shall store: vehicle ID, date, fuel station, litres purchased, cost per litre (UGX), total cost, and the authorising officer. The total cost shall post to the GL as DR Vehicle Running Expenses / CR Cash or Accounts Payable.</w:t>
      </w:r>
    </w:p>
    <w:p>
      <w:pPr>
        <w:pStyle w:val="BodyText"/>
      </w:pPr>
      <w:r>
        <w:rPr>
          <w:b/>
          <w:bCs/>
        </w:rPr>
        <w:t xml:space="preserve">FR-ADM-022</w:t>
      </w:r>
      <w:r>
        <w:t xml:space="preserve"> </w:t>
      </w:r>
      <w:r>
        <w:t xml:space="preserve">When a maintenance event is recorded for a vehicle or piece of equipment, the system shall store: asset ID, maintenance date, maintenance type (Routine Service / Repair / Inspection / Other), description, labour cost (UGX), parts cost (UGX), total cost, service provider, and next scheduled service date or odometer reading. The total maintenance cost shall post to the GL as DR Maintenance Expense / CR Accounts Payable.</w:t>
      </w:r>
    </w:p>
    <w:p>
      <w:pPr>
        <w:pStyle w:val="BodyText"/>
      </w:pPr>
      <w:r>
        <w:rPr>
          <w:b/>
          <w:bCs/>
        </w:rPr>
        <w:t xml:space="preserve">FR-ADM-023</w:t>
      </w:r>
      <w:r>
        <w:t xml:space="preserve"> </w:t>
      </w:r>
      <w:r>
        <w:t xml:space="preserve">When the Administration Officer requests a vehicle utilisation report for a specified period, the system shall generate a report per vehicle showing: total trips, total distance (km), total fuel consumed, fuel cost, average fuel efficiency (km/litre), and total maintenance cost, exportable to PDF and Excel within 5 seconds.</w:t>
      </w:r>
    </w:p>
    <w:bookmarkEnd w:id="45"/>
    <w:bookmarkStart w:id="46" w:name="Xc40a1a7d518377d95a12f968cec50ff07cc4828"/>
    <w:p>
      <w:pPr>
        <w:pStyle w:val="Heading3"/>
      </w:pPr>
      <w:r>
        <w:t xml:space="preserve">3.2.5 Contract Register</w:t>
      </w:r>
    </w:p>
    <w:p>
      <w:pPr>
        <w:pStyle w:val="FirstParagraph"/>
      </w:pPr>
      <w:r>
        <w:rPr>
          <w:b/>
          <w:bCs/>
        </w:rPr>
        <w:t xml:space="preserve">FR-ADM-024</w:t>
      </w:r>
      <w:r>
        <w:t xml:space="preserve"> </w:t>
      </w:r>
      <w:r>
        <w:t xml:space="preserve">When the Administration Officer creates a contract record, the system shall store: contract ID (format:</w:t>
      </w:r>
      <w:r>
        <w:t xml:space="preserve"> </w:t>
      </w:r>
      <w:r>
        <w:rPr>
          <w:rStyle w:val="VerbatimChar"/>
        </w:rPr>
        <w:t xml:space="preserve">CONT-NNNN</w:t>
      </w:r>
      <w:r>
        <w:t xml:space="preserve">), contract title, contract type (Supplier / Service / Lease / Employment / Research Partnership / Other), counterparty name, contract start date, contract end date, total contract value (UGX), payment terms, key obligations summary (text), and the BIRDC signatory (linked to employee record).</w:t>
      </w:r>
    </w:p>
    <w:p>
      <w:pPr>
        <w:pStyle w:val="BodyText"/>
      </w:pPr>
      <w:r>
        <w:rPr>
          <w:b/>
          <w:bCs/>
        </w:rPr>
        <w:t xml:space="preserve">FR-ADM-025</w:t>
      </w:r>
      <w:r>
        <w:t xml:space="preserve"> </w:t>
      </w:r>
      <w:r>
        <w:t xml:space="preserve">When a contract record is created or updated with a contract end date, the system shall schedule automatic email reminders to the Administration Officer and Finance Manager at 90 days, 60 days, and 30 days before the expiry date, using PHPMailer. Each reminder shall include the contract ID, title, counterparty, expiry date, and total value.</w:t>
      </w:r>
    </w:p>
    <w:p>
      <w:pPr>
        <w:pStyle w:val="BodyText"/>
      </w:pPr>
      <w:r>
        <w:rPr>
          <w:b/>
          <w:bCs/>
        </w:rPr>
        <w:t xml:space="preserve">FR-ADM-026</w:t>
      </w:r>
      <w:r>
        <w:t xml:space="preserve"> </w:t>
      </w:r>
      <w:r>
        <w:t xml:space="preserve">When the Administration Officer opens the contract register, the system shall display all contracts in a filterable list with: contract ID, title, counterparty, status (Active / Expired / Pending Renewal / Terminated), expiry date, days to expiry (negative values indicating overdue contracts), and contract value. Contracts expiring within 30 days shall be highlighted visually.</w:t>
      </w:r>
    </w:p>
    <w:p>
      <w:pPr>
        <w:pStyle w:val="BodyText"/>
      </w:pPr>
      <w:r>
        <w:rPr>
          <w:b/>
          <w:bCs/>
        </w:rPr>
        <w:t xml:space="preserve">FR-ADM-027</w:t>
      </w:r>
      <w:r>
        <w:t xml:space="preserve"> </w:t>
      </w:r>
      <w:r>
        <w:t xml:space="preserve">When the Administration Officer attaches a signed contract document to a contract record, the system shall store the document in the centralised document store (F-016 document management), link it to the contract record, and apply the statutory 7-year document retention policy automatically.</w:t>
      </w:r>
    </w:p>
    <w:bookmarkEnd w:id="46"/>
    <w:bookmarkEnd w:id="47"/>
    <w:bookmarkStart w:id="55" w:name="X7a49f9668e19d556392f4d45f25bf0332e0d1ee"/>
    <w:p>
      <w:pPr>
        <w:pStyle w:val="Heading2"/>
      </w:pPr>
      <w:r>
        <w:t xml:space="preserve">3.3 F-017: System Administration / IT</w:t>
      </w:r>
    </w:p>
    <w:bookmarkStart w:id="48" w:name="Xc1bfa6da897913880551ef1a8077d1979c6d5ff"/>
    <w:p>
      <w:pPr>
        <w:pStyle w:val="Heading3"/>
      </w:pPr>
      <w:r>
        <w:t xml:space="preserve">3.3.1 User Management</w:t>
      </w:r>
    </w:p>
    <w:p>
      <w:pPr>
        <w:pStyle w:val="FirstParagraph"/>
      </w:pPr>
      <w:r>
        <w:rPr>
          <w:b/>
          <w:bCs/>
        </w:rPr>
        <w:t xml:space="preserve">FR-IT-001</w:t>
      </w:r>
      <w:r>
        <w:t xml:space="preserve"> </w:t>
      </w:r>
      <w:r>
        <w:t xml:space="preserve">When the IT Administrator creates a new user account, the system shall store: user ID (auto-assigned, format</w:t>
      </w:r>
      <w:r>
        <w:t xml:space="preserve"> </w:t>
      </w:r>
      <w:r>
        <w:rPr>
          <w:rStyle w:val="VerbatimChar"/>
        </w:rPr>
        <w:t xml:space="preserve">USR-NNNN</w:t>
      </w:r>
      <w:r>
        <w:t xml:space="preserve">), full name, email address, username (unique), initial temporary password (system-generated, minimum 12 characters, randomly generated), linked employee record (for staff accounts), and the account creation timestamp and creator identity. The system shall force a password reset on first login; the temporary password shall expire after 72 hours.</w:t>
      </w:r>
    </w:p>
    <w:p>
      <w:pPr>
        <w:pStyle w:val="BodyText"/>
      </w:pPr>
      <w:r>
        <w:rPr>
          <w:b/>
          <w:bCs/>
        </w:rPr>
        <w:t xml:space="preserve">FR-IT-002</w:t>
      </w:r>
      <w:r>
        <w:t xml:space="preserve"> </w:t>
      </w:r>
      <w:r>
        <w:t xml:space="preserve">When a new user logs in for the first time with a temporary password, the system shall redirect the user to the password change screen before granting access to any other screen. The new password must satisfy the configured password policy (minimum 12 characters, at least 1 uppercase, 1 lowercase, 1 digit, 1 special character). If the policy is not satisfied, the system shall display specific field-level guidance and reject the submission.</w:t>
      </w:r>
    </w:p>
    <w:p>
      <w:pPr>
        <w:pStyle w:val="BodyText"/>
      </w:pPr>
      <w:r>
        <w:rPr>
          <w:b/>
          <w:bCs/>
        </w:rPr>
        <w:t xml:space="preserve">FR-IT-003</w:t>
      </w:r>
      <w:r>
        <w:t xml:space="preserve"> </w:t>
      </w:r>
      <w:r>
        <w:t xml:space="preserve">When the IT Administrator deactivates a user account, the system shall immediately invalidate all active sessions for that user (including JWT refresh tokens), prevent any new logins, and log the deactivation with the IT Administrator's identity, timestamp, and reason. The deactivation shall take effect within 5 seconds of the IT Administrator's action. Historical data created by the deactivated user shall be preserved and attributed to that user's identity.</w:t>
      </w:r>
    </w:p>
    <w:p>
      <w:pPr>
        <w:pStyle w:val="BodyText"/>
      </w:pPr>
      <w:r>
        <w:rPr>
          <w:b/>
          <w:bCs/>
        </w:rPr>
        <w:t xml:space="preserve">FR-IT-004</w:t>
      </w:r>
      <w:r>
        <w:t xml:space="preserve"> </w:t>
      </w:r>
      <w:r>
        <w:t xml:space="preserve">When the IT Administrator edits a user account (name, email, department, or role assignment), the system shall log the previous and new values in the immutable audit log with the IT Administrator's identity and timestamp. A role assignment change shall take effect within 60 seconds without requiring the affected user to log out and back in.</w:t>
      </w:r>
    </w:p>
    <w:p>
      <w:pPr>
        <w:pStyle w:val="BodyText"/>
      </w:pPr>
      <w:r>
        <w:rPr>
          <w:b/>
          <w:bCs/>
        </w:rPr>
        <w:t xml:space="preserve">FR-IT-005</w:t>
      </w:r>
      <w:r>
        <w:t xml:space="preserve"> </w:t>
      </w:r>
      <w:r>
        <w:t xml:space="preserve">When a user account has not been logged into for more than 90 consecutive days, the system shall automatically flag it as "Inactive — Review Required" and alert the IT Administrator via email. The IT Administrator shall confirm deactivation or reactivation; the account shall not be automatically deactivated without IT Administrator action.</w:t>
      </w:r>
    </w:p>
    <w:p>
      <w:pPr>
        <w:pStyle w:val="BodyText"/>
      </w:pPr>
      <w:r>
        <w:rPr>
          <w:b/>
          <w:bCs/>
        </w:rPr>
        <w:t xml:space="preserve">FR-IT-006</w:t>
      </w:r>
      <w:r>
        <w:t xml:space="preserve"> </w:t>
      </w:r>
      <w:r>
        <w:t xml:space="preserve">When the IT Administrator initiates a forced password reset for a user account, the system shall invalidate the current password, generate a new temporary password, email it to the user's registered email address, and force a password change on next login. All active sessions for that user shall be terminated immediately.</w:t>
      </w:r>
    </w:p>
    <w:bookmarkEnd w:id="48"/>
    <w:bookmarkStart w:id="49" w:name="X699e23fff20fe9c3a26babdce9323c79b1ea037"/>
    <w:p>
      <w:pPr>
        <w:pStyle w:val="Heading3"/>
      </w:pPr>
      <w:r>
        <w:t xml:space="preserve">3.3.2 Role and Permission Matrix</w:t>
      </w:r>
    </w:p>
    <w:p>
      <w:pPr>
        <w:pStyle w:val="FirstParagraph"/>
      </w:pPr>
      <w:r>
        <w:rPr>
          <w:b/>
          <w:bCs/>
        </w:rPr>
        <w:t xml:space="preserve">FR-IT-007</w:t>
      </w:r>
      <w:r>
        <w:t xml:space="preserve"> </w:t>
      </w:r>
      <w:r>
        <w:t xml:space="preserve">When the IT Administrator creates a new role, the system shall store the role name, role description, and an 8-layer permission set comprising: (1) allowed pages/modules, (2) allowed API endpoints, (3) allowed UI element visibility (buttons, form fields), (4) location-based access rules (LAN only / VPN / any), (5) time-based access rules (hours of day and days of week), (6) conditional rules (e.g., can view salary details only if own record), (7) object ownership rules (e.g., can edit only own journal entries), and (8) data access scope (own department / all departments / all data). All 8 layers shall be configurable by the IT Administrator without developer involvement (DC-002).</w:t>
      </w:r>
    </w:p>
    <w:p>
      <w:pPr>
        <w:pStyle w:val="BodyText"/>
      </w:pPr>
      <w:r>
        <w:rPr>
          <w:b/>
          <w:bCs/>
        </w:rPr>
        <w:t xml:space="preserve">FR-IT-008</w:t>
      </w:r>
      <w:r>
        <w:t xml:space="preserve"> </w:t>
      </w:r>
      <w:r>
        <w:t xml:space="preserve">When a user's request arrives at any API endpoint, the system shall evaluate all 8 permission layers for that user's assigned role and the specific endpoint and action requested. A request shall be authorised only if all applicable layers permit the action. If any layer denies the request, the system shall return HTTP 403 and log the denial with user ID, endpoint, action, layer that denied, and timestamp.</w:t>
      </w:r>
    </w:p>
    <w:p>
      <w:pPr>
        <w:pStyle w:val="BodyText"/>
      </w:pPr>
      <w:r>
        <w:rPr>
          <w:b/>
          <w:bCs/>
        </w:rPr>
        <w:t xml:space="preserve">FR-IT-009</w:t>
      </w:r>
      <w:r>
        <w:t xml:space="preserve"> </w:t>
      </w:r>
      <w:r>
        <w:t xml:space="preserve">When the IT Administrator opens the permission matrix editor, the system shall display all roles in a matrix view with modules as columns and roles as rows, showing the permission level for each intersection (None / Read / Create / Edit / Delete / Approve). The IT Administrator shall be able to update individual permissions and save the matrix; changes shall take effect within 60 seconds.</w:t>
      </w:r>
    </w:p>
    <w:p>
      <w:pPr>
        <w:pStyle w:val="BodyText"/>
      </w:pPr>
      <w:r>
        <w:rPr>
          <w:b/>
          <w:bCs/>
        </w:rPr>
        <w:t xml:space="preserve">FR-IT-010</w:t>
      </w:r>
      <w:r>
        <w:t xml:space="preserve"> </w:t>
      </w:r>
      <w:r>
        <w:t xml:space="preserve">When the IT Administrator assigns a user to the Finance Director, IT Administrator, or Director role, the system shall require that the user account has two-factor authentication (TOTP) configured before the role assignment is saved. If TOTP is not yet configured, the system shall prompt the IT Administrator to complete TOTP setup for that user before the role can be assigned.</w:t>
      </w:r>
    </w:p>
    <w:p>
      <w:pPr>
        <w:pStyle w:val="BodyText"/>
      </w:pPr>
      <w:r>
        <w:rPr>
          <w:b/>
          <w:bCs/>
        </w:rPr>
        <w:t xml:space="preserve">FR-IT-011</w:t>
      </w:r>
      <w:r>
        <w:t xml:space="preserve"> </w:t>
      </w:r>
      <w:r>
        <w:t xml:space="preserve">When a new ERP module or API endpoint is added during system development, the system shall require the developer to register the endpoint in the permission table before the endpoint is accessible. Unregistered endpoints shall return HTTP 404 regardless of the caller's role, preventing accidental access to unreleased functionality.</w:t>
      </w:r>
    </w:p>
    <w:bookmarkEnd w:id="49"/>
    <w:bookmarkStart w:id="50" w:name="X7350149714bc0b7df1aee6dd90fe07e18414b9d"/>
    <w:p>
      <w:pPr>
        <w:pStyle w:val="Heading3"/>
      </w:pPr>
      <w:r>
        <w:t xml:space="preserve">3.3.3 Audit Log Review</w:t>
      </w:r>
    </w:p>
    <w:p>
      <w:pPr>
        <w:pStyle w:val="FirstParagraph"/>
      </w:pPr>
      <w:r>
        <w:rPr>
          <w:b/>
          <w:bCs/>
        </w:rPr>
        <w:t xml:space="preserve">FR-IT-012</w:t>
      </w:r>
      <w:r>
        <w:t xml:space="preserve"> </w:t>
      </w:r>
      <w:r>
        <w:t xml:space="preserve">When the IT Administrator or Finance Director opens the audit log review screen and applies filters (user, action type, date range, module, table name, record ID), the system shall return all matching audit records within 3 seconds for a result set of up to 10,000 records, displayed in a DataTable with column-level sorting.</w:t>
      </w:r>
    </w:p>
    <w:p>
      <w:pPr>
        <w:pStyle w:val="BodyText"/>
      </w:pPr>
      <w:r>
        <w:rPr>
          <w:b/>
          <w:bCs/>
        </w:rPr>
        <w:t xml:space="preserve">FR-IT-013</w:t>
      </w:r>
      <w:r>
        <w:t xml:space="preserve"> </w:t>
      </w:r>
      <w:r>
        <w:t xml:space="preserve">When the Finance Director or Auditor General requires an audit trail export for a specific date range, the system shall export all matching audit log records to a tamper-evident PDF report — formatted as an ordered table with: record ID, timestamp, actor username, actor IP address, module, action, table name, record ID, field changed, previous value, and new value — within 30 seconds for up to 50,000 records.</w:t>
      </w:r>
    </w:p>
    <w:p>
      <w:pPr>
        <w:pStyle w:val="BodyText"/>
      </w:pPr>
      <w:r>
        <w:rPr>
          <w:b/>
          <w:bCs/>
        </w:rPr>
        <w:t xml:space="preserve">FR-IT-014</w:t>
      </w:r>
      <w:r>
        <w:t xml:space="preserve"> </w:t>
      </w:r>
      <w:r>
        <w:t xml:space="preserve">When a financial transaction audit record is written, the system shall include: the GL journal entry reference (if applicable), the module that triggered the transaction, and the hash of the previous audit record for the same actor session, enabling chain-of-custody verification for each user session's activities.</w:t>
      </w:r>
    </w:p>
    <w:p>
      <w:pPr>
        <w:pStyle w:val="BodyText"/>
      </w:pPr>
      <w:r>
        <w:rPr>
          <w:b/>
          <w:bCs/>
        </w:rPr>
        <w:t xml:space="preserve">FR-IT-015</w:t>
      </w:r>
      <w:r>
        <w:t xml:space="preserve"> </w:t>
      </w:r>
      <w:r>
        <w:t xml:space="preserve">When any audit log record older than 7 years would be due for deletion, the system shall prevent deletion. Audit log records shall have no delete mechanism accessible to any user role, including IT Administrator. The 7-year retention constraint shall be enforced at the database trigger level, satisfying DC-003 and Uganda Companies Act requirements.</w:t>
      </w:r>
    </w:p>
    <w:p>
      <w:pPr>
        <w:pStyle w:val="BodyText"/>
      </w:pPr>
      <w:r>
        <w:rPr>
          <w:b/>
          <w:bCs/>
        </w:rPr>
        <w:t xml:space="preserve">FR-IT-016</w:t>
      </w:r>
      <w:r>
        <w:t xml:space="preserve"> </w:t>
      </w:r>
      <w:r>
        <w:t xml:space="preserve">When the IT Administrator searches the audit log for all actions performed by a specific user on a specific date, the system shall return a chronological log showing every page access, every data change, and every failed action attempted by that user during that day, enabling full forensic reconstruction of user activity.</w:t>
      </w:r>
    </w:p>
    <w:bookmarkEnd w:id="50"/>
    <w:bookmarkStart w:id="51" w:name="X51c487fa7bfa74a679a58360d9bd63694c38a06"/>
    <w:p>
      <w:pPr>
        <w:pStyle w:val="Heading3"/>
      </w:pPr>
      <w:r>
        <w:t xml:space="preserve">3.3.4 Backup Management</w:t>
      </w:r>
    </w:p>
    <w:p>
      <w:pPr>
        <w:pStyle w:val="FirstParagraph"/>
      </w:pPr>
      <w:r>
        <w:rPr>
          <w:b/>
          <w:bCs/>
        </w:rPr>
        <w:t xml:space="preserve">FR-IT-017</w:t>
      </w:r>
      <w:r>
        <w:t xml:space="preserve"> </w:t>
      </w:r>
      <w:r>
        <w:t xml:space="preserve">When the IT Administrator configures the backup schedule, the system shall support the following retention policy: daily backups retained for 7 days, weekly backups retained for 4 weeks, and monthly backups retained for 12 months. The backup schedule configuration UI shall allow the IT Administrator to set the daily backup time, weekly backup day and time, and monthly backup date and time, without developer involvement (DC-002).</w:t>
      </w:r>
    </w:p>
    <w:p>
      <w:pPr>
        <w:pStyle w:val="BodyText"/>
      </w:pPr>
      <w:r>
        <w:rPr>
          <w:b/>
          <w:bCs/>
        </w:rPr>
        <w:t xml:space="preserve">FR-IT-018</w:t>
      </w:r>
      <w:r>
        <w:t xml:space="preserve"> </w:t>
      </w:r>
      <w:r>
        <w:t xml:space="preserve">When a scheduled backup runs, the system shall execute a full</w:t>
      </w:r>
      <w:r>
        <w:t xml:space="preserve"> </w:t>
      </w:r>
      <w:r>
        <w:rPr>
          <w:rStyle w:val="VerbatimChar"/>
        </w:rPr>
        <w:t xml:space="preserve">mysqldump</w:t>
      </w:r>
      <w:r>
        <w:t xml:space="preserve"> </w:t>
      </w:r>
      <w:r>
        <w:t xml:space="preserve">of the BIRDC ERP database, compress the dump file, record the backup file name, file size, checksum (SHA-256), and start and end timestamps in the backup log, and store the file in the configured backup destination directory. The backup shall complete without disrupting active user sessions.</w:t>
      </w:r>
    </w:p>
    <w:p>
      <w:pPr>
        <w:pStyle w:val="BodyText"/>
      </w:pPr>
      <w:r>
        <w:rPr>
          <w:b/>
          <w:bCs/>
        </w:rPr>
        <w:t xml:space="preserve">FR-IT-019</w:t>
      </w:r>
      <w:r>
        <w:t xml:space="preserve"> </w:t>
      </w:r>
      <w:r>
        <w:t xml:space="preserve">When a backup completes, the system shall perform an integrity check by verifying the SHA-256 checksum of the backup file against the stored checksum. If the checksum verification fails, the system shall alert the IT Administrator via email and log the failure in the backup log with status "Integrity Check Failed".</w:t>
      </w:r>
    </w:p>
    <w:p>
      <w:pPr>
        <w:pStyle w:val="BodyText"/>
      </w:pPr>
      <w:r>
        <w:rPr>
          <w:b/>
          <w:bCs/>
        </w:rPr>
        <w:t xml:space="preserve">FR-IT-020</w:t>
      </w:r>
      <w:r>
        <w:t xml:space="preserve"> </w:t>
      </w:r>
      <w:r>
        <w:t xml:space="preserve">When the IT Administrator views the backup management screen, the system shall display: all backup files with their date, type (daily/weekly/monthly), file size, checksum status (Verified / Failed / Not Checked), and the number of days until each backup expires under the retention policy. Files approaching expiry shall be highlighted.</w:t>
      </w:r>
    </w:p>
    <w:p>
      <w:pPr>
        <w:pStyle w:val="BodyText"/>
      </w:pPr>
      <w:r>
        <w:rPr>
          <w:b/>
          <w:bCs/>
        </w:rPr>
        <w:t xml:space="preserve">FR-IT-021</w:t>
      </w:r>
      <w:r>
        <w:t xml:space="preserve"> </w:t>
      </w:r>
      <w:r>
        <w:t xml:space="preserve">When a backup file's retention period expires, the system shall automatically delete the file and log the deletion with the file name, original backup date, and deletion timestamp. The IT Administrator shall receive a weekly summary of expired and deleted backup files.</w:t>
      </w:r>
    </w:p>
    <w:p>
      <w:pPr>
        <w:pStyle w:val="BodyText"/>
      </w:pPr>
      <w:r>
        <w:rPr>
          <w:b/>
          <w:bCs/>
        </w:rPr>
        <w:t xml:space="preserve">FR-IT-022</w:t>
      </w:r>
      <w:r>
        <w:t xml:space="preserve"> </w:t>
      </w:r>
      <w:r>
        <w:t xml:space="preserve">When the IT Administrator initiates a manual backup outside the schedule (e.g., before a system update), the system shall execute the backup immediately, following the same process as a scheduled backup (FR-IT-018), and log it as a "Manual Backup" in the backup log.</w:t>
      </w:r>
    </w:p>
    <w:bookmarkEnd w:id="51"/>
    <w:bookmarkStart w:id="52" w:name="X8c2fd56530aa43de964785e111b91e6bf915335"/>
    <w:p>
      <w:pPr>
        <w:pStyle w:val="Heading3"/>
      </w:pPr>
      <w:r>
        <w:t xml:space="preserve">3.3.5 Integration Configuration</w:t>
      </w:r>
    </w:p>
    <w:p>
      <w:pPr>
        <w:pStyle w:val="FirstParagraph"/>
      </w:pPr>
      <w:r>
        <w:rPr>
          <w:b/>
          <w:bCs/>
        </w:rPr>
        <w:t xml:space="preserve">FR-IT-023</w:t>
      </w:r>
      <w:r>
        <w:t xml:space="preserve"> </w:t>
      </w:r>
      <w:r>
        <w:t xml:space="preserve">When the IT Administrator opens the integration configuration screen, the system shall display a list of all configured external integrations with their current status: EFRIS API, MTN MoMo Business API, Airtel Money API, PHPMailer SMTP, ZKTeco biometric device connection, and Africa's Talking SMS gateway. Each integration shall show: connection status (Connected / Disconnected / Error), last successful connection timestamp, and a "Test Connection" button.</w:t>
      </w:r>
    </w:p>
    <w:p>
      <w:pPr>
        <w:pStyle w:val="BodyText"/>
      </w:pPr>
      <w:r>
        <w:rPr>
          <w:b/>
          <w:bCs/>
        </w:rPr>
        <w:t xml:space="preserve">FR-IT-024</w:t>
      </w:r>
      <w:r>
        <w:t xml:space="preserve"> </w:t>
      </w:r>
      <w:r>
        <w:t xml:space="preserve">When the IT Administrator saves API credentials for any external integration (EFRIS API key, MTN MoMo API key, Airtel Money API key, SMTP password, or Africa's Talking API key), the system shall encrypt the credential values using AES-256 before storing them in the database. The credentials shall never appear in plain text in any log file or API response.</w:t>
      </w:r>
    </w:p>
    <w:p>
      <w:pPr>
        <w:pStyle w:val="BodyText"/>
      </w:pPr>
      <w:r>
        <w:rPr>
          <w:b/>
          <w:bCs/>
        </w:rPr>
        <w:t xml:space="preserve">FR-IT-025</w:t>
      </w:r>
      <w:r>
        <w:t xml:space="preserve"> </w:t>
      </w:r>
      <w:r>
        <w:t xml:space="preserve">When the IT Administrator clicks "Test Connection" for an external integration, the system shall send a minimal test request to the integration endpoint (e.g., a credentials validation call for EFRIS, an account balance check for MTN MoMo), display the API response code and message, and update the integration status within 15 seconds.</w:t>
      </w:r>
    </w:p>
    <w:p>
      <w:pPr>
        <w:pStyle w:val="BodyText"/>
      </w:pPr>
      <w:r>
        <w:rPr>
          <w:b/>
          <w:bCs/>
        </w:rPr>
        <w:t xml:space="preserve">FR-IT-026</w:t>
      </w:r>
      <w:r>
        <w:t xml:space="preserve"> </w:t>
      </w:r>
      <w:r>
        <w:t xml:space="preserve">When an external integration fails during normal operation (e.g., EFRIS submission failure, mobile money disbursement failure), the system shall log the failure with: integration name, request timestamp, request payload (redacted of sensitive values), HTTP status code, error message, and retry count. The IT Administrator shall be alerted by email for failures that exceed 3 retry attempts.</w:t>
      </w:r>
    </w:p>
    <w:p>
      <w:pPr>
        <w:pStyle w:val="BodyText"/>
      </w:pPr>
      <w:r>
        <w:rPr>
          <w:b/>
          <w:bCs/>
        </w:rPr>
        <w:t xml:space="preserve">FR-IT-027</w:t>
      </w:r>
      <w:r>
        <w:t xml:space="preserve"> </w:t>
      </w:r>
      <w:r>
        <w:t xml:space="preserve">When the IT Administrator configures the Africa's Talking SMS gateway, the system shall store the sender ID, API key, and account username, and use this gateway for sending payment confirmation SMS messages to farmers and casual workers. The configuration shall be testable via the "Test Connection" mechanism (FR-IT-025).</w:t>
      </w:r>
    </w:p>
    <w:bookmarkEnd w:id="52"/>
    <w:bookmarkStart w:id="53" w:name="X28089f55421ed1061986c30edef1a0aa26d0ef0"/>
    <w:p>
      <w:pPr>
        <w:pStyle w:val="Heading3"/>
      </w:pPr>
      <w:r>
        <w:t xml:space="preserve">3.3.6 Report Scheduling</w:t>
      </w:r>
    </w:p>
    <w:p>
      <w:pPr>
        <w:pStyle w:val="FirstParagraph"/>
      </w:pPr>
      <w:r>
        <w:rPr>
          <w:b/>
          <w:bCs/>
        </w:rPr>
        <w:t xml:space="preserve">FR-IT-028</w:t>
      </w:r>
      <w:r>
        <w:t xml:space="preserve"> </w:t>
      </w:r>
      <w:r>
        <w:t xml:space="preserve">When the IT Administrator or Finance Manager creates a scheduled report configuration, the system shall store: report name, report type (from the available report list across all modules), output format (PDF / Excel), schedule (daily / weekly / monthly — with specific time and day), recipient email list, and the user who configured the schedule.</w:t>
      </w:r>
    </w:p>
    <w:p>
      <w:pPr>
        <w:pStyle w:val="BodyText"/>
      </w:pPr>
      <w:r>
        <w:rPr>
          <w:b/>
          <w:bCs/>
        </w:rPr>
        <w:t xml:space="preserve">FR-IT-029</w:t>
      </w:r>
      <w:r>
        <w:t xml:space="preserve"> </w:t>
      </w:r>
      <w:r>
        <w:t xml:space="preserve">When a scheduled report's execution time arrives, the system shall generate the report using the same report engine as the on-demand version, attach it to an email, and send it to all configured recipients via PHPMailer. If the report generation or email delivery fails, the system shall log the failure and retry once after 15 minutes. A persistent failure shall alert the IT Administrator.</w:t>
      </w:r>
    </w:p>
    <w:p>
      <w:pPr>
        <w:pStyle w:val="BodyText"/>
      </w:pPr>
      <w:r>
        <w:rPr>
          <w:b/>
          <w:bCs/>
        </w:rPr>
        <w:t xml:space="preserve">FR-IT-030</w:t>
      </w:r>
      <w:r>
        <w:t xml:space="preserve"> </w:t>
      </w:r>
      <w:r>
        <w:t xml:space="preserve">When the IT Administrator views the report schedule list, the system shall display: report name, schedule description, last run timestamp, last run status (Success / Failed), next scheduled run timestamp, and the recipient list. The IT Administrator shall be able to run any scheduled report immediately outside the schedule (on-demand override) without altering the schedule.</w:t>
      </w:r>
    </w:p>
    <w:bookmarkEnd w:id="53"/>
    <w:bookmarkStart w:id="54" w:name="X7baee1004e0bf481292167f6aad981751939bfc"/>
    <w:p>
      <w:pPr>
        <w:pStyle w:val="Heading3"/>
      </w:pPr>
      <w:r>
        <w:t xml:space="preserve">3.3.7 System Health Dashboard</w:t>
      </w:r>
    </w:p>
    <w:p>
      <w:pPr>
        <w:pStyle w:val="FirstParagraph"/>
      </w:pPr>
      <w:r>
        <w:rPr>
          <w:b/>
          <w:bCs/>
        </w:rPr>
        <w:t xml:space="preserve">FR-IT-031</w:t>
      </w:r>
      <w:r>
        <w:t xml:space="preserve"> </w:t>
      </w:r>
      <w:r>
        <w:t xml:space="preserve">When the IT Administrator opens the system health dashboard, the system shall display the following real-time indicators, refreshed at a configurable interval (default: 60 seconds): server CPU utilisation (%), server RAM utilisation (%), disk usage (GB used / GB total / % used), MySQL database size (GB), number of currently active user sessions, number of queries per second (last 60 seconds), and web server error rate (errors per 100 requests in the last hour).</w:t>
      </w:r>
    </w:p>
    <w:p>
      <w:pPr>
        <w:pStyle w:val="BodyText"/>
      </w:pPr>
      <w:r>
        <w:rPr>
          <w:b/>
          <w:bCs/>
        </w:rPr>
        <w:t xml:space="preserve">FR-IT-032</w:t>
      </w:r>
      <w:r>
        <w:t xml:space="preserve"> </w:t>
      </w:r>
      <w:r>
        <w:t xml:space="preserve">When the IT Administrator opens the system health dashboard, the system shall display the status of all external integrations (EFRIS, MTN MoMo, Airtel Money, PHPMailer SMTP, ZKTeco biometric, Africa's Talking SMS) as a colour-coded indicator: green (connected and last heartbeat &lt; 5 minutes ago), amber (last heartbeat &gt; 5 minutes), or red (last heartbeat &gt; 30 minutes or last connection attempt failed).</w:t>
      </w:r>
    </w:p>
    <w:p>
      <w:pPr>
        <w:pStyle w:val="BodyText"/>
      </w:pPr>
      <w:r>
        <w:rPr>
          <w:b/>
          <w:bCs/>
        </w:rPr>
        <w:t xml:space="preserve">FR-IT-033</w:t>
      </w:r>
      <w:r>
        <w:t xml:space="preserve"> </w:t>
      </w:r>
      <w:r>
        <w:t xml:space="preserve">When the system health dashboard shows the EFRIS submission queue status, the system shall display: number of documents pending submission, number submitted in the last 24 hours, number with submission errors, and the timestamp of the most recent successful submission. The Finance Manager shall also be able to view the EFRIS queue status from the financial accounting module.</w:t>
      </w:r>
    </w:p>
    <w:p>
      <w:pPr>
        <w:pStyle w:val="BodyText"/>
      </w:pPr>
      <w:r>
        <w:rPr>
          <w:b/>
          <w:bCs/>
        </w:rPr>
        <w:t xml:space="preserve">FR-IT-034</w:t>
      </w:r>
      <w:r>
        <w:t xml:space="preserve"> </w:t>
      </w:r>
      <w:r>
        <w:t xml:space="preserve">When any system health metric exceeds a configurable alert threshold (e.g., disk usage &gt; 80%, RAM &gt; 90%, error rate &gt; 5 errors per 100 requests), the system shall send an automated email alert to the IT Administrator and log the alert in the system health log with the metric name, threshold value, observed value, and timestamp.</w:t>
      </w:r>
    </w:p>
    <w:p>
      <w:pPr>
        <w:pStyle w:val="BodyText"/>
      </w:pPr>
      <w:r>
        <w:rPr>
          <w:b/>
          <w:bCs/>
        </w:rPr>
        <w:t xml:space="preserve">FR-IT-035</w:t>
      </w:r>
      <w:r>
        <w:t xml:space="preserve"> </w:t>
      </w:r>
      <w:r>
        <w:t xml:space="preserve">When the IT Administrator views the error log summary on the system health dashboard, the system shall display the 20 most recent critical and error-level PHP application errors with: timestamp, error code, error message (truncated to 200 characters), file name and line number, and HTTP request URI that triggered the error. A "View Full Log" link shall navigate to the complete error log.</w:t>
      </w:r>
    </w:p>
    <w:p>
      <w:pPr>
        <w:pStyle w:val="BodyText"/>
      </w:pPr>
      <w:r>
        <w:rPr>
          <w:b/>
          <w:bCs/>
        </w:rPr>
        <w:t xml:space="preserve">FR-IT-036</w:t>
      </w:r>
      <w:r>
        <w:t xml:space="preserve"> </w:t>
      </w:r>
      <w:r>
        <w:t xml:space="preserve">When the IT Administrator views the last backup status on the system health dashboard, the system shall display: the most recent backup file name, backup type (daily/weekly/monthly), backup timestamp, file size, checksum status, and the number of days since the last successful integrity-verified backup. If the last backup is more than 25 hours old, the status shall display in red.</w:t>
      </w:r>
    </w:p>
    <w:bookmarkEnd w:id="54"/>
    <w:bookmarkEnd w:id="55"/>
    <w:bookmarkEnd w:id="56"/>
    <w:bookmarkStart w:id="62" w:name="X76c9a4cd7d584294dde023d9f04c7065202dc5b"/>
    <w:p>
      <w:pPr>
        <w:pStyle w:val="Heading1"/>
      </w:pPr>
      <w:r>
        <w:t xml:space="preserve">4. Non-Functional Requirements — Phase 6</w:t>
      </w:r>
    </w:p>
    <w:bookmarkStart w:id="57" w:name="X50669fe771c6e2fd69ac5f27549ef4fb628a0c6"/>
    <w:p>
      <w:pPr>
        <w:pStyle w:val="Heading2"/>
      </w:pPr>
      <w:r>
        <w:t xml:space="preserve">4.1 Performance</w:t>
      </w:r>
    </w:p>
    <w:p>
      <w:pPr>
        <w:pStyle w:val="FirstParagraph"/>
      </w:pPr>
      <w:r>
        <w:rPr>
          <w:b/>
          <w:bCs/>
        </w:rPr>
        <w:t xml:space="preserve">NFR-P6-001</w:t>
      </w:r>
      <w:r>
        <w:t xml:space="preserve"> </w:t>
      </w:r>
      <w:r>
        <w:t xml:space="preserve">The PPDA procurement register export (Excel, up to 500 rows) shall generate within 15 seconds measured from the Export button click to the file download initiation in the browser. Measurement: timed in a browser integration test with a 500-transaction seed dataset.</w:t>
      </w:r>
    </w:p>
    <w:p>
      <w:pPr>
        <w:pStyle w:val="BodyText"/>
      </w:pPr>
      <w:r>
        <w:rPr>
          <w:b/>
          <w:bCs/>
        </w:rPr>
        <w:t xml:space="preserve">NFR-P6-002</w:t>
      </w:r>
      <w:r>
        <w:t xml:space="preserve"> </w:t>
      </w:r>
      <w:r>
        <w:t xml:space="preserve">The audit log search (any filter combination) shall return results within 3 seconds for a result set of up to 10,000 records. Measurement: MySQL EXPLAIN analysis confirming index coverage on all filterable columns (user_id, action, created_at, table_name, record_id).</w:t>
      </w:r>
    </w:p>
    <w:p>
      <w:pPr>
        <w:pStyle w:val="BodyText"/>
      </w:pPr>
      <w:r>
        <w:rPr>
          <w:b/>
          <w:bCs/>
        </w:rPr>
        <w:t xml:space="preserve">NFR-P6-003</w:t>
      </w:r>
      <w:r>
        <w:t xml:space="preserve"> </w:t>
      </w:r>
      <w:r>
        <w:t xml:space="preserve">The system health dashboard real-time metrics shall refresh within 2 seconds of the configured refresh interval trigger, with server-side metric collection completing within 1 second. Measurement: browser timing API measurement of dashboard API response time.</w:t>
      </w:r>
    </w:p>
    <w:p>
      <w:pPr>
        <w:pStyle w:val="BodyText"/>
      </w:pPr>
      <w:r>
        <w:rPr>
          <w:b/>
          <w:bCs/>
        </w:rPr>
        <w:t xml:space="preserve">NFR-P6-004</w:t>
      </w:r>
      <w:r>
        <w:t xml:space="preserve"> </w:t>
      </w:r>
      <w:r>
        <w:t xml:space="preserve">Asset depreciation GL auto-posting at period end shall process all active depreciable assets and complete GL entries for all of them within 60 seconds for an asset register of up to 500 assets. Measurement: timed in a PHPUnit integration test with a 500-asset seed dataset.</w:t>
      </w:r>
    </w:p>
    <w:bookmarkEnd w:id="57"/>
    <w:bookmarkStart w:id="58" w:name="X938c7587dad9dd10940cbb7c0b5b63295f327d3"/>
    <w:p>
      <w:pPr>
        <w:pStyle w:val="Heading2"/>
      </w:pPr>
      <w:r>
        <w:t xml:space="preserve">4.2 Security</w:t>
      </w:r>
    </w:p>
    <w:p>
      <w:pPr>
        <w:pStyle w:val="FirstParagraph"/>
      </w:pPr>
      <w:r>
        <w:rPr>
          <w:b/>
          <w:bCs/>
        </w:rPr>
        <w:t xml:space="preserve">NFR-P6-005</w:t>
      </w:r>
      <w:r>
        <w:t xml:space="preserve"> </w:t>
      </w:r>
      <w:r>
        <w:t xml:space="preserve">The system administration panel at</w:t>
      </w:r>
      <w:r>
        <w:t xml:space="preserve"> </w:t>
      </w:r>
      <w:r>
        <w:rPr>
          <w:rStyle w:val="VerbatimChar"/>
        </w:rPr>
        <w:t xml:space="preserve">/public/admin/</w:t>
      </w:r>
      <w:r>
        <w:t xml:space="preserve"> </w:t>
      </w:r>
      <w:r>
        <w:t xml:space="preserve">shall enforce IP address allowlisting configured by the IT Administrator. Access attempts from IP addresses outside the allowlist shall receive HTTP 403 at the web server level, before reaching the application layer.</w:t>
      </w:r>
      <w:r>
        <w:t xml:space="preserve"> </w:t>
      </w:r>
      <w:r>
        <w:rPr>
          <w:rStyle w:val="VerbatimChar"/>
        </w:rPr>
        <w:t xml:space="preserve">[CONTEXT-GAP: GAP-013]</w:t>
      </w:r>
    </w:p>
    <w:p>
      <w:pPr>
        <w:pStyle w:val="BodyText"/>
      </w:pPr>
      <w:r>
        <w:rPr>
          <w:b/>
          <w:bCs/>
        </w:rPr>
        <w:t xml:space="preserve">NFR-P6-006</w:t>
      </w:r>
      <w:r>
        <w:t xml:space="preserve"> </w:t>
      </w:r>
      <w:r>
        <w:t xml:space="preserve">All external integration API credentials (EFRIS, MTN MoMo, Airtel Money, Africa's Talking) stored in the database shall be encrypted with AES-256. The encryption key shall reside in the server</w:t>
      </w:r>
      <w:r>
        <w:t xml:space="preserve"> </w:t>
      </w:r>
      <w:r>
        <w:rPr>
          <w:rStyle w:val="VerbatimChar"/>
        </w:rPr>
        <w:t xml:space="preserve">.env</w:t>
      </w:r>
      <w:r>
        <w:t xml:space="preserve"> </w:t>
      </w:r>
      <w:r>
        <w:t xml:space="preserve">file and shall not be accessible to the application database user. Any credentials in</w:t>
      </w:r>
      <w:r>
        <w:t xml:space="preserve"> </w:t>
      </w:r>
      <w:r>
        <w:rPr>
          <w:rStyle w:val="VerbatimChar"/>
        </w:rPr>
        <w:t xml:space="preserve">.env</w:t>
      </w:r>
      <w:r>
        <w:t xml:space="preserve"> </w:t>
      </w:r>
      <w:r>
        <w:t xml:space="preserve">files shall be excluded from version control via</w:t>
      </w:r>
      <w:r>
        <w:t xml:space="preserve"> </w:t>
      </w:r>
      <w:r>
        <w:rPr>
          <w:rStyle w:val="VerbatimChar"/>
        </w:rPr>
        <w:t xml:space="preserve">.gitignore</w:t>
      </w:r>
      <w:r>
        <w:t xml:space="preserve">.</w:t>
      </w:r>
    </w:p>
    <w:p>
      <w:pPr>
        <w:pStyle w:val="BodyText"/>
      </w:pPr>
      <w:r>
        <w:rPr>
          <w:b/>
          <w:bCs/>
        </w:rPr>
        <w:t xml:space="preserve">NFR-P6-007</w:t>
      </w:r>
      <w:r>
        <w:t xml:space="preserve"> </w:t>
      </w:r>
      <w:r>
        <w:t xml:space="preserve">The role and permission matrix enforcement at API layer shall be validated by a PHPUnit test suite covering: access to each protected endpoint with an insufficient role (expected: HTTP 403), access with the correct role (expected: HTTP 200), and access with an expired JWT (expected: HTTP 401). Minimum 80% coverage of permission enforcement code paths.</w:t>
      </w:r>
    </w:p>
    <w:bookmarkEnd w:id="58"/>
    <w:bookmarkStart w:id="59" w:name="X6583085086b6cff11a91dcd44cd3f79bf45b1bd"/>
    <w:p>
      <w:pPr>
        <w:pStyle w:val="Heading2"/>
      </w:pPr>
      <w:r>
        <w:t xml:space="preserve">4.3 Reliability</w:t>
      </w:r>
    </w:p>
    <w:p>
      <w:pPr>
        <w:pStyle w:val="FirstParagraph"/>
      </w:pPr>
      <w:r>
        <w:rPr>
          <w:b/>
          <w:bCs/>
        </w:rPr>
        <w:t xml:space="preserve">NFR-P6-008</w:t>
      </w:r>
      <w:r>
        <w:t xml:space="preserve"> </w:t>
      </w:r>
      <w:r>
        <w:t xml:space="preserve">Backup execution shall not interfere with user activity. MySQL</w:t>
      </w:r>
      <w:r>
        <w:t xml:space="preserve"> </w:t>
      </w:r>
      <w:r>
        <w:rPr>
          <w:rStyle w:val="VerbatimChar"/>
        </w:rPr>
        <w:t xml:space="preserve">mysqldump</w:t>
      </w:r>
      <w:r>
        <w:t xml:space="preserve"> </w:t>
      </w:r>
      <w:r>
        <w:t xml:space="preserve">shall run with</w:t>
      </w:r>
      <w:r>
        <w:t xml:space="preserve"> </w:t>
      </w:r>
      <w:r>
        <w:rPr>
          <w:rStyle w:val="VerbatimChar"/>
        </w:rPr>
        <w:t xml:space="preserve">--single-transaction</w:t>
      </w:r>
      <w:r>
        <w:t xml:space="preserve"> </w:t>
      </w:r>
      <w:r>
        <w:t xml:space="preserve">flag for InnoDB tables to produce a consistent snapshot without locking tables. Verification: a PHPUnit test confirms that database writes during a backup run complete successfully without deadlock.</w:t>
      </w:r>
    </w:p>
    <w:p>
      <w:pPr>
        <w:pStyle w:val="BodyText"/>
      </w:pPr>
      <w:r>
        <w:rPr>
          <w:b/>
          <w:bCs/>
        </w:rPr>
        <w:t xml:space="preserve">NFR-P6-009</w:t>
      </w:r>
      <w:r>
        <w:t xml:space="preserve"> </w:t>
      </w:r>
      <w:r>
        <w:t xml:space="preserve">Scheduled report delivery failures shall not propagate to other scheduled reports. Each report delivery runs in an independent PHP process; a fatal error in one report generation shall not prevent other scheduled reports from executing in the same run window.</w:t>
      </w:r>
    </w:p>
    <w:bookmarkEnd w:id="59"/>
    <w:bookmarkStart w:id="60" w:name="X0635eb2c9ec40c7dd005f28c716fbffc52d9eb7"/>
    <w:p>
      <w:pPr>
        <w:pStyle w:val="Heading2"/>
      </w:pPr>
      <w:r>
        <w:t xml:space="preserve">4.4 Maintainability</w:t>
      </w:r>
    </w:p>
    <w:p>
      <w:pPr>
        <w:pStyle w:val="FirstParagraph"/>
      </w:pPr>
      <w:r>
        <w:rPr>
          <w:b/>
          <w:bCs/>
        </w:rPr>
        <w:t xml:space="preserve">NFR-P6-010</w:t>
      </w:r>
      <w:r>
        <w:t xml:space="preserve"> </w:t>
      </w:r>
      <w:r>
        <w:t xml:space="preserve">All external integration connectors (EFRIS, MTN MoMo, Airtel Money, ZKTeco, Africa's Talking) shall implement a common PHP interface</w:t>
      </w:r>
      <w:r>
        <w:t xml:space="preserve"> </w:t>
      </w:r>
      <w:r>
        <w:rPr>
          <w:rStyle w:val="VerbatimChar"/>
        </w:rPr>
        <w:t xml:space="preserve">IntegrationConnectorInterface</w:t>
      </w:r>
      <w:r>
        <w:t xml:space="preserve"> </w:t>
      </w:r>
      <w:r>
        <w:t xml:space="preserve">with methods:</w:t>
      </w:r>
      <w:r>
        <w:t xml:space="preserve"> </w:t>
      </w:r>
      <w:r>
        <w:rPr>
          <w:rStyle w:val="VerbatimChar"/>
        </w:rPr>
        <w:t xml:space="preserve">testConnection()</w:t>
      </w:r>
      <w:r>
        <w:t xml:space="preserve">,</w:t>
      </w:r>
      <w:r>
        <w:t xml:space="preserve"> </w:t>
      </w:r>
      <w:r>
        <w:rPr>
          <w:rStyle w:val="VerbatimChar"/>
        </w:rPr>
        <w:t xml:space="preserve">send()</w:t>
      </w:r>
      <w:r>
        <w:t xml:space="preserve">,</w:t>
      </w:r>
      <w:r>
        <w:t xml:space="preserve"> </w:t>
      </w:r>
      <w:r>
        <w:rPr>
          <w:rStyle w:val="VerbatimChar"/>
        </w:rPr>
        <w:t xml:space="preserve">getStatus()</w:t>
      </w:r>
      <w:r>
        <w:t xml:space="preserve">, and</w:t>
      </w:r>
      <w:r>
        <w:t xml:space="preserve"> </w:t>
      </w:r>
      <w:r>
        <w:rPr>
          <w:rStyle w:val="VerbatimChar"/>
        </w:rPr>
        <w:t xml:space="preserve">getErrorLog()</w:t>
      </w:r>
      <w:r>
        <w:t xml:space="preserve">. Adding a new integration provider shall require only a new connector class implementing this interface and a configuration record; no changes to existing connectors are required (DC-007).</w:t>
      </w:r>
    </w:p>
    <w:p>
      <w:pPr>
        <w:pStyle w:val="BodyText"/>
      </w:pPr>
      <w:r>
        <w:rPr>
          <w:b/>
          <w:bCs/>
        </w:rPr>
        <w:t xml:space="preserve">NFR-P6-011</w:t>
      </w:r>
      <w:r>
        <w:t xml:space="preserve"> </w:t>
      </w:r>
      <w:r>
        <w:t xml:space="preserve">All document management operations (upload, version, access check, audit log write) shall be encapsulated in a</w:t>
      </w:r>
      <w:r>
        <w:t xml:space="preserve"> </w:t>
      </w:r>
      <w:r>
        <w:rPr>
          <w:rStyle w:val="VerbatimChar"/>
        </w:rPr>
        <w:t xml:space="preserve">DocumentService</w:t>
      </w:r>
      <w:r>
        <w:t xml:space="preserve"> </w:t>
      </w:r>
      <w:r>
        <w:t xml:space="preserve">class. No other module shall write directly to document tables; all access shall be mediated through this service, maintaining architectural integrity and enabling testing in isolation.</w:t>
      </w:r>
    </w:p>
    <w:bookmarkEnd w:id="60"/>
    <w:bookmarkStart w:id="61" w:name="X0f76bf692b5baf6d72ed2e414d8cc31ff7d2803"/>
    <w:p>
      <w:pPr>
        <w:pStyle w:val="Heading2"/>
      </w:pPr>
      <w:r>
        <w:t xml:space="preserve">4.5 Auditability</w:t>
      </w:r>
    </w:p>
    <w:p>
      <w:pPr>
        <w:pStyle w:val="FirstParagraph"/>
      </w:pPr>
      <w:r>
        <w:rPr>
          <w:b/>
          <w:bCs/>
        </w:rPr>
        <w:t xml:space="preserve">NFR-P6-012</w:t>
      </w:r>
      <w:r>
        <w:t xml:space="preserve"> </w:t>
      </w:r>
      <w:r>
        <w:t xml:space="preserve">The complete system audit log shall satisfy the requirements of Uganda Companies Act 2012 (7-year retention), Uganda Income Tax Act (7-year retention for financial records), and Uganda Data Protection and Privacy Act 2019 (access records for personal data). The IT Administrator shall be able to generate a PPDA-audit-ready export of all procurement document activity for any financial year within 60 seconds.</w:t>
      </w:r>
    </w:p>
    <w:bookmarkEnd w:id="61"/>
    <w:bookmarkEnd w:id="62"/>
    <w:bookmarkStart w:id="67" w:name="X2aaa91ce25b12e7d356e043853657cd24068035"/>
    <w:p>
      <w:pPr>
        <w:pStyle w:val="Heading1"/>
      </w:pPr>
      <w:r>
        <w:t xml:space="preserve">5. External Interface Requirements</w:t>
      </w:r>
    </w:p>
    <w:bookmarkStart w:id="63" w:name="Xf26feec083ee8db73dbe93cdc33d715a4adb889"/>
    <w:p>
      <w:pPr>
        <w:pStyle w:val="Heading2"/>
      </w:pPr>
      <w:r>
        <w:t xml:space="preserve">5.1 PPDA Audit Interface</w:t>
      </w:r>
    </w:p>
    <w:p>
      <w:pPr>
        <w:pStyle w:val="FirstParagraph"/>
      </w:pPr>
      <w:r>
        <w:t xml:space="preserve">The PPDA procurement register export (FR-ADM-005) shall produce an Excel file formatted for direct submission to PPDA auditors. The column layout shall match the PPDA standard procurement register format.</w:t>
      </w:r>
      <w:r>
        <w:t xml:space="preserve"> </w:t>
      </w:r>
      <w:r>
        <w:rPr>
          <w:rStyle w:val="VerbatimChar"/>
        </w:rPr>
        <w:t xml:space="preserve">[CONTEXT-GAP: GAP-007]</w:t>
      </w:r>
    </w:p>
    <w:bookmarkEnd w:id="63"/>
    <w:bookmarkStart w:id="64" w:name="Xa2b63d8b5603c2aea92894d8851563cc0302255"/>
    <w:p>
      <w:pPr>
        <w:pStyle w:val="Heading2"/>
      </w:pPr>
      <w:r>
        <w:t xml:space="preserve">5.2 OAG Audit Interface</w:t>
      </w:r>
    </w:p>
    <w:p>
      <w:pPr>
        <w:pStyle w:val="FirstParagraph"/>
      </w:pPr>
      <w:r>
        <w:t xml:space="preserve">The audit log export (FR-IT-013) shall produce a PDF report usable by OAG Uganda auditors without further transformation. The report format shall include a cover page with BIRDC entity details, audit period, and the certification statement that the log is system-generated and unmodified.</w:t>
      </w:r>
    </w:p>
    <w:bookmarkEnd w:id="64"/>
    <w:bookmarkStart w:id="65" w:name="Xf4a8347c0bf0f75754439a7c2472cae1feed0f9"/>
    <w:p>
      <w:pPr>
        <w:pStyle w:val="Heading2"/>
      </w:pPr>
      <w:r>
        <w:t xml:space="preserve">5.3 Africa's Talking SMS Gateway</w:t>
      </w:r>
    </w:p>
    <w:p>
      <w:pPr>
        <w:pStyle w:val="FirstParagraph"/>
      </w:pPr>
      <w:r>
        <w:t xml:space="preserve">The system shall integrate with Africa's Talking SMS API for sending payment confirmation SMS messages to farmers and casual workers. API credentials are configured in the IT Administration panel (FR-IT-027). The integration shall use HTTPS POST to the Africa's Talking messaging endpoint and log all delivery receipts.</w:t>
      </w:r>
    </w:p>
    <w:bookmarkEnd w:id="65"/>
    <w:bookmarkStart w:id="66" w:name="X5f26769440739d5a3b89cef8dbf06b2c5d22806"/>
    <w:p>
      <w:pPr>
        <w:pStyle w:val="Heading2"/>
      </w:pPr>
      <w:r>
        <w:t xml:space="preserve">5.4 EFRIS Queue Interface</w:t>
      </w:r>
    </w:p>
    <w:p>
      <w:pPr>
        <w:pStyle w:val="FirstParagraph"/>
      </w:pPr>
      <w:r>
        <w:t xml:space="preserve">The EFRIS submission queue status visible in the system health dashboard (FR-IT-033) is read from the EFRIS integration module (F-018). F-017 provides a read-only view; the EFRIS submission logic resides in F-018. This interface is an internal service call between modules.</w:t>
      </w:r>
    </w:p>
    <w:bookmarkEnd w:id="66"/>
    <w:bookmarkEnd w:id="67"/>
    <w:bookmarkStart w:id="74" w:name="Xbddb120c3ec66ba518ae59464824f892b600e1f"/>
    <w:p>
      <w:pPr>
        <w:pStyle w:val="Heading1"/>
      </w:pPr>
      <w:r>
        <w:t xml:space="preserve">6. Open Items and Context Gaps</w:t>
      </w:r>
    </w:p>
    <w:p>
      <w:pPr>
        <w:pStyle w:val="FirstParagraph"/>
      </w:pPr>
      <w:r>
        <w:t xml:space="preserve">The following gaps must be resolved before the tagged requirements can be fully specified or tested: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Gap ID</w:t>
            </w:r>
          </w:p>
        </w:tc>
        <w:tc>
          <w:tcPr/>
          <w:p>
            <w:pPr>
              <w:pStyle w:val="Compact"/>
            </w:pPr>
            <w:r>
              <w:t xml:space="preserve">Requirement(s) Affected</w:t>
            </w:r>
          </w:p>
        </w:tc>
        <w:tc>
          <w:tcPr/>
          <w:p>
            <w:pPr>
              <w:pStyle w:val="Compact"/>
            </w:pPr>
            <w:r>
              <w:t xml:space="preserve">Description</w:t>
            </w:r>
          </w:p>
        </w:tc>
        <w:tc>
          <w:tcPr/>
          <w:p>
            <w:pPr>
              <w:pStyle w:val="Compact"/>
            </w:pPr>
            <w:r>
              <w:t xml:space="preserve">Owner</w:t>
            </w:r>
          </w:p>
        </w:tc>
      </w:tr>
      <w:tr>
        <w:tc>
          <w:tcPr/>
          <w:p>
            <w:pPr>
              <w:pStyle w:val="Compact"/>
            </w:pPr>
            <w:r>
              <w:t xml:space="preserve">GAP-007</w:t>
            </w:r>
          </w:p>
        </w:tc>
        <w:tc>
          <w:tcPr/>
          <w:p>
            <w:pPr>
              <w:pStyle w:val="Compact"/>
            </w:pPr>
            <w:r>
              <w:t xml:space="preserve">FR-ADM-001, FR-ADM-005, FR-ADM-006</w:t>
            </w:r>
          </w:p>
        </w:tc>
        <w:tc>
          <w:tcPr/>
          <w:p>
            <w:pPr>
              <w:pStyle w:val="Compact"/>
            </w:pPr>
            <w:r>
              <w:t xml:space="preserve">Exact PPDA procurement threshold values (UGX) for BIRDC/PIBID</w:t>
            </w:r>
          </w:p>
        </w:tc>
        <w:tc>
          <w:tcPr/>
          <w:p>
            <w:pPr>
              <w:pStyle w:val="Compact"/>
            </w:pPr>
            <w:r>
              <w:t xml:space="preserve">BIRDC Administration / Peter</w:t>
            </w:r>
          </w:p>
        </w:tc>
      </w:tr>
      <w:tr>
        <w:tc>
          <w:tcPr/>
          <w:p>
            <w:pPr>
              <w:pStyle w:val="Compact"/>
            </w:pPr>
            <w:r>
              <w:t xml:space="preserve">GAP-013</w:t>
            </w:r>
          </w:p>
        </w:tc>
        <w:tc>
          <w:tcPr/>
          <w:p>
            <w:pPr>
              <w:pStyle w:val="Compact"/>
            </w:pPr>
            <w:r>
              <w:t xml:space="preserve">NFR-P6-005, FR-IT-031</w:t>
            </w:r>
          </w:p>
        </w:tc>
        <w:tc>
          <w:tcPr/>
          <w:p>
            <w:pPr>
              <w:pStyle w:val="Compact"/>
            </w:pPr>
            <w:r>
              <w:t xml:space="preserve">Server hardware specifications at BIRDC Nyaruzinga</w:t>
            </w:r>
          </w:p>
        </w:tc>
        <w:tc>
          <w:tcPr/>
          <w:p>
            <w:pPr>
              <w:pStyle w:val="Compact"/>
            </w:pPr>
            <w:r>
              <w:t xml:space="preserve">BIRDC IT</w:t>
            </w:r>
          </w:p>
        </w:tc>
      </w:tr>
    </w:tbl>
    <w:bookmarkStart w:id="73" w:name="X4dd8bf1f2524d2b1a2ac5c9f8d93c25cbed77a8"/>
    <w:p>
      <w:pPr>
        <w:pStyle w:val="Heading2"/>
      </w:pPr>
      <w:r>
        <w:t xml:space="preserve">3.4 F-018: AI Intelligence Module (Phase 7)</w:t>
      </w:r>
    </w:p>
    <w:p>
      <w:pPr>
        <w:pStyle w:val="BlockText"/>
      </w:pPr>
      <w:r>
        <w:rPr>
          <w:i/>
          <w:iCs/>
        </w:rPr>
        <w:t xml:space="preserve">Phase 7 scope. These FRs shall not block Phase 6 acceptance. They are included here to establish traceability and technical specification for the contract extension.</w:t>
      </w:r>
    </w:p>
    <w:p>
      <w:r>
        <w:pict>
          <v:rect style="width:0;height:1.5pt" o:hralign="center" o:hrstd="t" o:hr="t"/>
        </w:pict>
      </w:r>
    </w:p>
    <w:bookmarkStart w:id="68" w:name="Xa75f8fa63697175c7de5a9dd33c2e41b7a4ca48"/>
    <w:p>
      <w:pPr>
        <w:pStyle w:val="Heading3"/>
      </w:pPr>
      <w:r>
        <w:t xml:space="preserve">3.4.1 FR-AI-001: Production Yield Prediction</w:t>
      </w:r>
    </w:p>
    <w:p>
      <w:pPr>
        <w:pStyle w:val="FirstParagraph"/>
      </w:pPr>
      <w:r>
        <w:rPr>
          <w:b/>
          <w:bCs/>
        </w:rPr>
        <w:t xml:space="preserve">FR-AI-001</w:t>
      </w:r>
      <w:r>
        <w:t xml:space="preserve"> </w:t>
      </w:r>
      <w:r>
        <w:t xml:space="preserve">When a production order is moved to</w:t>
      </w:r>
      <w:r>
        <w:t xml:space="preserve"> </w:t>
      </w:r>
      <w:r>
        <w:rPr>
          <w:rStyle w:val="VerbatimChar"/>
        </w:rPr>
        <w:t xml:space="preserve">in_progress</w:t>
      </w:r>
      <w:r>
        <w:t xml:space="preserve"> </w:t>
      </w:r>
      <w:r>
        <w:t xml:space="preserve">status and at least one raw material batch with a recorded quality grade (A, B, or C) has been allocated to the order, the system shall retrieve the quality grade distribution of the allocated batches by weight percentage, apply the configured yield coefficient matrix — Grade A: nominal yield × 1.0; Grade B: nominal yield × 0.93; Grade C: nominal yield × 0.85, all three coefficients configurable by the Production Director without developer involvement (DC-002) — compute the predicted output tonnage as the sum of each grade's allocated weight multiplied by the recipe's nominal yield multiplied by that grade's coefficient, write the prediction to</w:t>
      </w:r>
      <w:r>
        <w:t xml:space="preserve"> </w:t>
      </w:r>
      <w:r>
        <w:rPr>
          <w:rStyle w:val="VerbatimChar"/>
        </w:rPr>
        <w:t xml:space="preserve">ai_yield_predictions</w:t>
      </w:r>
      <w:r>
        <w:t xml:space="preserve"> </w:t>
      </w:r>
      <w:r>
        <w:t xml:space="preserve">with production order ID, allocated batch IDs, grade distribution percentages, predicted output tonnage, configured coefficients used, and prediction timestamp, and display the predicted output on the production order screen alongside the recipe's nominal output. If predicted output differs from the committed output quantity by more than 5%, the system shall display a non-blocking Yield Alert: "Predicted yield is [X]% below committed output. Review batch mix before proceeding." The system shall not prevent the production order from proceeding; the alert is informational only. Prediction computation shall complete within 2,000 ms of the status change event.</w:t>
      </w:r>
    </w:p>
    <w:p>
      <w:r>
        <w:pict>
          <v:rect style="width:0;height:1.5pt" o:hralign="center" o:hrstd="t" o:hr="t"/>
        </w:pict>
      </w:r>
    </w:p>
    <w:bookmarkEnd w:id="68"/>
    <w:bookmarkStart w:id="69" w:name="X10ada30ef246ea61c3b460ffcc7358da9e48a59"/>
    <w:p>
      <w:pPr>
        <w:pStyle w:val="Heading3"/>
      </w:pPr>
      <w:r>
        <w:t xml:space="preserve">3.4.2 FR-AI-002: Quality Defect Pattern Detection</w:t>
      </w:r>
    </w:p>
    <w:p>
      <w:pPr>
        <w:pStyle w:val="FirstParagraph"/>
      </w:pPr>
      <w:r>
        <w:rPr>
          <w:b/>
          <w:bCs/>
        </w:rPr>
        <w:t xml:space="preserve">FR-AI-002</w:t>
      </w:r>
      <w:r>
        <w:t xml:space="preserve"> </w:t>
      </w:r>
      <w:r>
        <w:t xml:space="preserve">When a quality inspection result is saved for a completed production batch and at least 3 prior inspection records exist for the same product and quality parameter within the preceding 90 days, the system shall retrieve the 5 most recent inspection results for that product-parameter combination in chronological order, compute the mean and standard deviation of those 5 values, evaluate Western Electric Rule 1 (any single point beyond 3 standard deviations from the mean) and Western Electric Rule 2 (3 consecutive points beyond 2 standard deviations from the mean in the same direction), and — if either rule is triggered — create an</w:t>
      </w:r>
      <w:r>
        <w:t xml:space="preserve"> </w:t>
      </w:r>
      <w:r>
        <w:rPr>
          <w:rStyle w:val="VerbatimChar"/>
        </w:rPr>
        <w:t xml:space="preserve">ai_process_alert</w:t>
      </w:r>
      <w:r>
        <w:t xml:space="preserve"> </w:t>
      </w:r>
      <w:r>
        <w:t xml:space="preserve">record with product ID, parameter code, rule triggered, the 5 measurement values, computed mean, computed standard deviation, alert timestamp, and review status defaulting to Unreviewed. The system shall dispatch an in-app alert to all users holding the Quality Manager or Production Director role within 5 minutes of alert creation. The alert text shall state: "Quality parameter [parameter name] on [product name] has triggered Control Chart [Rule 1 / Rule 2] across the last [N] batches. Review recommended." The Quality Manager shall be able to mark the alert Reviewed — Root Cause Identified (with mandatory root cause text entry, minimum 20 characters) or Reviewed — No Action Required (with mandatory reason text entry).</w:t>
      </w:r>
    </w:p>
    <w:p>
      <w:r>
        <w:pict>
          <v:rect style="width:0;height:1.5pt" o:hralign="center" o:hrstd="t" o:hr="t"/>
        </w:pict>
      </w:r>
    </w:p>
    <w:bookmarkEnd w:id="69"/>
    <w:bookmarkStart w:id="70" w:name="Xbf3bf6e8dc0c39d82820a352fca1f62da460070"/>
    <w:p>
      <w:pPr>
        <w:pStyle w:val="Heading3"/>
      </w:pPr>
      <w:r>
        <w:t xml:space="preserve">3.4.3 FR-AI-003: Farmer Supply Forecasting</w:t>
      </w:r>
    </w:p>
    <w:p>
      <w:pPr>
        <w:pStyle w:val="FirstParagraph"/>
      </w:pPr>
      <w:r>
        <w:rPr>
          <w:b/>
          <w:bCs/>
        </w:rPr>
        <w:t xml:space="preserve">FR-AI-003</w:t>
      </w:r>
      <w:r>
        <w:t xml:space="preserve"> </w:t>
      </w:r>
      <w:r>
        <w:t xml:space="preserve">When the quarterly supply forecast job runs on the 1st calendar day of each quarter — January, April, July, October — and the system contains at least 12 months of cooperative delivery history, the system shall — for each active cooperative — retrieve all delivery records for the corresponding calendar quarter in each prior year of available history, compute the mean and standard deviation of total quarterly delivery tonnage per cooperative across those years, apply an optional rainfall adjustment factor if the Open-Meteo historical rainfall total for the Bushenyi GPS coordinates (latitude −0.5833, longitude 30.2167) in the same quarter of the prior year deviates from the multi-year quarterly mean by more than 20% (adjustment factor configurable by the Procurement Manager: range 0.7–1.3, default 1.0 when no deviation threshold is exceeded), compute the forecast tonnage as mean × rainfall adjustment factor and the confidence interval as mean ± 1 standard deviation, and write a forecast record to</w:t>
      </w:r>
      <w:r>
        <w:t xml:space="preserve"> </w:t>
      </w:r>
      <w:r>
        <w:rPr>
          <w:rStyle w:val="VerbatimChar"/>
        </w:rPr>
        <w:t xml:space="preserve">ai_supply_forecast</w:t>
      </w:r>
      <w:r>
        <w:t xml:space="preserve"> </w:t>
      </w:r>
      <w:r>
        <w:t xml:space="preserve">with cooperative ID, quarter identifier, forecast tonnage, lower bound, upper bound, rainfall adjustment applied (boolean and factor value), and forecast timestamp. The system shall display the quarterly supply forecast table in the Procurement module accessible to the Procurement Manager role and above. The forecast job shall complete within 10 minutes of the quarterly trigger for up to 200 active cooperatives. For cooperatives with fewer than 12 months of delivery history, the system shall write a record with forecast status</w:t>
      </w:r>
      <w:r>
        <w:t xml:space="preserve"> </w:t>
      </w:r>
      <w:r>
        <w:rPr>
          <w:rStyle w:val="VerbatimChar"/>
        </w:rPr>
        <w:t xml:space="preserve">insufficient_history</w:t>
      </w:r>
      <w:r>
        <w:t xml:space="preserve"> </w:t>
      </w:r>
      <w:r>
        <w:t xml:space="preserve">and display "Insufficient history" in the forecast table rather than a tonnage figure.</w:t>
      </w:r>
    </w:p>
    <w:p>
      <w:r>
        <w:pict>
          <v:rect style="width:0;height:1.5pt" o:hralign="center" o:hrstd="t" o:hr="t"/>
        </w:pict>
      </w:r>
    </w:p>
    <w:bookmarkEnd w:id="70"/>
    <w:bookmarkStart w:id="71" w:name="Xaf8d74cb4f638abc49f287351e16ea646135052"/>
    <w:p>
      <w:pPr>
        <w:pStyle w:val="Heading3"/>
      </w:pPr>
      <w:r>
        <w:t xml:space="preserve">3.4.4 FR-AI-004: Predictive Equipment Maintenance</w:t>
      </w:r>
    </w:p>
    <w:p>
      <w:pPr>
        <w:pStyle w:val="FirstParagraph"/>
      </w:pPr>
      <w:r>
        <w:rPr>
          <w:b/>
          <w:bCs/>
        </w:rPr>
        <w:t xml:space="preserve">FR-AI-004</w:t>
      </w:r>
      <w:r>
        <w:t xml:space="preserve"> </w:t>
      </w:r>
      <w:r>
        <w:t xml:space="preserve">When the weekly maintenance prediction scan runs every Monday at 06:00 EAT and an asset registered in the Asset Management module has at least 3 completed service records, the system shall compute the average interval between consecutive services in production hours (if runtime hours are logged) or calendar days (if runtime hours are not available), compute the production hours or calendar days elapsed since the most recent completed service for that asset, compute the Maintenance Proximity Score as</w:t>
      </w:r>
      <w:r>
        <w:t xml:space="preserve"> </w:t>
      </w:r>
      <w:r>
        <w:rPr>
          <w:rStyle w:val="VerbatimChar"/>
        </w:rPr>
        <w:t xml:space="preserve">(elapsed ÷ average_interval) × 100</w:t>
      </w:r>
      <w:r>
        <w:t xml:space="preserve"> </w:t>
      </w:r>
      <w:r>
        <w:t xml:space="preserve">rounded to the nearest integer, and — if the score exceeds 80 — write a prediction record to</w:t>
      </w:r>
      <w:r>
        <w:t xml:space="preserve"> </w:t>
      </w:r>
      <w:r>
        <w:rPr>
          <w:rStyle w:val="VerbatimChar"/>
        </w:rPr>
        <w:t xml:space="preserve">ai_maintenance_predictions</w:t>
      </w:r>
      <w:r>
        <w:t xml:space="preserve"> </w:t>
      </w:r>
      <w:r>
        <w:t xml:space="preserve">with asset ID, asset name, score, last service date, average service interval, projected next service date (last service date + average interval), and prediction timestamp, and create an in-app alert for all users holding the Maintenance Manager role: "Asset [name] (ID: [asset_id]) is at [score]% of its average maintenance interval. Recommended service window: [projected date − 3 days] to [projected date + 3 days]." The system shall not automatically create a maintenance work order; the alert is informational only. The Maintenance Manager shall be able to mark the alert Acknowledged — Scheduled (with mandatory scheduled date entry) or Acknowledged — Deferred (with mandatory reason and deferred date entry). The weekly scan shall complete within 15 minutes of the Monday 06:00 EAT trigger for up to 100 tracked assets.</w:t>
      </w:r>
    </w:p>
    <w:p>
      <w:r>
        <w:pict>
          <v:rect style="width:0;height:1.5pt" o:hralign="center" o:hrstd="t" o:hr="t"/>
        </w:pict>
      </w:r>
    </w:p>
    <w:bookmarkEnd w:id="71"/>
    <w:bookmarkStart w:id="72" w:name="Xc207921ec63161bcfef8802024ce8ec1cc0a9a2"/>
    <w:p>
      <w:pPr>
        <w:pStyle w:val="Heading3"/>
      </w:pPr>
      <w:r>
        <w:t xml:space="preserve">3.4.5 FR-AI-005: Export Demand Intelligence</w:t>
      </w:r>
    </w:p>
    <w:p>
      <w:pPr>
        <w:pStyle w:val="FirstParagraph"/>
      </w:pPr>
      <w:r>
        <w:rPr>
          <w:b/>
          <w:bCs/>
        </w:rPr>
        <w:t xml:space="preserve">FR-AI-005</w:t>
      </w:r>
      <w:r>
        <w:t xml:space="preserve"> </w:t>
      </w:r>
      <w:r>
        <w:t xml:space="preserve">When a user holding the Sales Manager or Export Manager role saves a new export order record, the system shall perform a Production Feasibility Check within 5,000 ms: retrieve all confirmed production orders with completion dates in the 8-week window preceding the export order's required shipment date, sum the committed output tonnage already scheduled in that window for the same product, compute available production capacity as</w:t>
      </w:r>
      <w:r>
        <w:t xml:space="preserve"> </w:t>
      </w:r>
      <w:r>
        <w:rPr>
          <w:rStyle w:val="VerbatimChar"/>
        </w:rPr>
        <w:t xml:space="preserve">(configured_daily_production_capacity × working_days_in_window) − committed_tonnage</w:t>
      </w:r>
      <w:r>
        <w:t xml:space="preserve">, retrieve the most recent</w:t>
      </w:r>
      <w:r>
        <w:t xml:space="preserve"> </w:t>
      </w:r>
      <w:r>
        <w:rPr>
          <w:rStyle w:val="VerbatimChar"/>
        </w:rPr>
        <w:t xml:space="preserve">ai_supply_forecast</w:t>
      </w:r>
      <w:r>
        <w:t xml:space="preserve"> </w:t>
      </w:r>
      <w:r>
        <w:t xml:space="preserve">record for the primary supplying cooperative for the same quarterly period and use the lower bound tonnage as the conservative raw material availability estimate, and compare available capacity and raw material estimate to the export order's required production tonnage. If available production capacity is less than required tonnage or raw material lower bound is less than required tonnage, the system shall create an</w:t>
      </w:r>
      <w:r>
        <w:t xml:space="preserve"> </w:t>
      </w:r>
      <w:r>
        <w:rPr>
          <w:rStyle w:val="VerbatimChar"/>
        </w:rPr>
        <w:t xml:space="preserve">ai_export_conflict</w:t>
      </w:r>
      <w:r>
        <w:t xml:space="preserve"> </w:t>
      </w:r>
      <w:r>
        <w:t xml:space="preserve">record with export order ID, required tonnage, available production capacity, raw material lower bound, capacity gap value, conflict timestamp, and conflict type (</w:t>
      </w:r>
      <w:r>
        <w:rPr>
          <w:rStyle w:val="VerbatimChar"/>
        </w:rPr>
        <w:t xml:space="preserve">capacity</w:t>
      </w:r>
      <w:r>
        <w:t xml:space="preserve"> </w:t>
      </w:r>
      <w:r>
        <w:t xml:space="preserve">/</w:t>
      </w:r>
      <w:r>
        <w:t xml:space="preserve"> </w:t>
      </w:r>
      <w:r>
        <w:rPr>
          <w:rStyle w:val="VerbatimChar"/>
        </w:rPr>
        <w:t xml:space="preserve">raw_material</w:t>
      </w:r>
      <w:r>
        <w:t xml:space="preserve"> </w:t>
      </w:r>
      <w:r>
        <w:t xml:space="preserve">/</w:t>
      </w:r>
      <w:r>
        <w:t xml:space="preserve"> </w:t>
      </w:r>
      <w:r>
        <w:rPr>
          <w:rStyle w:val="VerbatimChar"/>
        </w:rPr>
        <w:t xml:space="preserve">both</w:t>
      </w:r>
      <w:r>
        <w:t xml:space="preserve">), and display a non-blocking Conflict Alert on the order save screen: "Production feasibility conflict: [gap description]. The order has been saved. Recommended actions: [list of up to 3 options based on conflict type]." The Sales Manager shall be able to save the export order regardless of the conflict; the</w:t>
      </w:r>
      <w:r>
        <w:t xml:space="preserve"> </w:t>
      </w:r>
      <w:r>
        <w:rPr>
          <w:rStyle w:val="VerbatimChar"/>
        </w:rPr>
        <w:t xml:space="preserve">ai_export_conflict</w:t>
      </w:r>
      <w:r>
        <w:t xml:space="preserve"> </w:t>
      </w:r>
      <w:r>
        <w:t xml:space="preserve">record shall remain linked to the order and visible in the Export Conflicts dashboard accessible to the Export Manager and Production Director roles.</w:t>
      </w:r>
    </w:p>
    <w:bookmarkEnd w:id="72"/>
    <w:bookmarkEnd w:id="73"/>
    <w:bookmarkEnd w:id="74"/>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 Phase 6: Research, Administration &amp; IT</dc:title>
  <dc:creator>Peter Bamuhigire, ICT Consultant (techguypeter.com) for PIBID/BIRDC</dc:creator>
  <cp:keywords/>
  <dcterms:created xsi:type="dcterms:W3CDTF">2026-04-07T07:40:21Z</dcterms:created>
  <dcterms:modified xsi:type="dcterms:W3CDTF">2026-04-07T07:40:21Z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y fmtid="{D5CDD505-2E9C-101B-9397-08002B2CF9AE}" pid="3" name="subtitle">
    <vt:lpwstr>BIRDC Enterprise Resource Planning System</vt:lpwstr>
  </property>
  <property fmtid="{D5CDD505-2E9C-101B-9397-08002B2CF9AE}" pid="4" name="version">
    <vt:lpwstr>1.0 — Draft for Review</vt:lpwstr>
  </property>
</Properties>
</file>