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Definition of Done — BIRDC ERP</w:t>
      </w:r>
    </w:p>
    <w:p>
      <w:pPr>
        <w:pStyle w:val="Subtitle"/>
      </w:pPr>
      <w:r>
        <w:t xml:space="preserve">Quality Gate for Every Task, Feature, and Milestone</w:t>
      </w:r>
    </w:p>
    <w:p>
      <w:pPr>
        <w:pStyle w:val="Author"/>
      </w:pPr>
      <w:r>
        <w:t xml:space="preserve">Peter Bamuhigire, ICT Consultant (techguypeter.com)</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definition-of-done--birdc-erp"/>
    <w:p>
      <w:pPr>
        <w:pStyle w:val="Heading1"/>
      </w:pPr>
      <w:r>
        <w:t xml:space="preserve">Definition of Done — BIRDC ERP</w:t>
      </w:r>
    </w:p>
    <w:p>
      <w:pPr>
        <w:pStyle w:val="FirstParagraph"/>
      </w:pPr>
      <w:r>
        <w:rPr>
          <w:b/>
          <w:bCs/>
        </w:rPr>
        <w:t xml:space="preserve">Prepared by:</w:t>
      </w:r>
      <w:r>
        <w:t xml:space="preserve"> </w:t>
      </w:r>
      <w:r>
        <w:t xml:space="preserve">Peter Bamuhigire, ICT Consultant (techguypeter.com) for PIBID/BIRDC</w:t>
      </w:r>
    </w:p>
    <w:p>
      <w:pPr>
        <w:pStyle w:val="BodyText"/>
      </w:pPr>
      <w:r>
        <w:rPr>
          <w:b/>
          <w:bCs/>
        </w:rPr>
        <w:t xml:space="preserve">Project:</w:t>
      </w:r>
      <w:r>
        <w:t xml:space="preserve"> </w:t>
      </w:r>
      <w:r>
        <w:t xml:space="preserve">BIRDC Enterprise Resource Planning System</w:t>
      </w:r>
    </w:p>
    <w:p>
      <w:pPr>
        <w:pStyle w:val="BodyText"/>
      </w:pPr>
      <w:r>
        <w:rPr>
          <w:b/>
          <w:bCs/>
        </w:rPr>
        <w:t xml:space="preserve">Client:</w:t>
      </w:r>
      <w:r>
        <w:t xml:space="preserve"> </w:t>
      </w:r>
      <w:r>
        <w:t xml:space="preserve">PIBID / BIRDC, Nyaruzinga, Bushenyi District, Western Uganda</w:t>
      </w:r>
    </w:p>
    <w:p>
      <w:pPr>
        <w:pStyle w:val="BodyText"/>
      </w:pPr>
      <w:r>
        <w:rPr>
          <w:b/>
          <w:bCs/>
        </w:rPr>
        <w:t xml:space="preserve">Date:</w:t>
      </w:r>
      <w:r>
        <w:t xml:space="preserve"> </w:t>
      </w:r>
      <w:r>
        <w:t xml:space="preserve">2026-04-05</w:t>
      </w:r>
    </w:p>
    <w:p>
      <w:pPr>
        <w:pStyle w:val="BodyText"/>
      </w:pPr>
      <w:r>
        <w:rPr>
          <w:b/>
          <w:bCs/>
        </w:rPr>
        <w:t xml:space="preserve">Version:</w:t>
      </w:r>
      <w:r>
        <w:t xml:space="preserve"> </w:t>
      </w:r>
      <w:r>
        <w:t xml:space="preserve">1.0</w:t>
      </w:r>
    </w:p>
    <w:p>
      <w:pPr>
        <w:pStyle w:val="BodyText"/>
      </w:pPr>
      <w:r>
        <w:rPr>
          <w:b/>
          <w:bCs/>
        </w:rPr>
        <w:t xml:space="preserve">Classification:</w:t>
      </w:r>
      <w:r>
        <w:t xml:space="preserve"> </w:t>
      </w:r>
      <w:r>
        <w:t xml:space="preserve">Confidential — Client Use Only</w:t>
      </w:r>
    </w:p>
    <w:p>
      <w:r>
        <w:pict>
          <v:rect style="width:0;height:1.5pt" o:hralign="center" o:hrstd="t" o:hr="t"/>
        </w:pict>
      </w:r>
    </w:p>
    <w:bookmarkStart w:id="19" w:name="X4666c8db187a468bd7c4d1efd69e1ca31a62544"/>
    <w:p>
      <w:pPr>
        <w:pStyle w:val="Heading2"/>
      </w:pPr>
      <w:r>
        <w:t xml:space="preserve">1. Purpose and Scope</w:t>
      </w:r>
    </w:p>
    <w:p>
      <w:pPr>
        <w:pStyle w:val="FirstParagraph"/>
      </w:pPr>
      <w:r>
        <w:t xml:space="preserve">This document defines the</w:t>
      </w:r>
      <w:r>
        <w:t xml:space="preserve"> </w:t>
      </w:r>
      <w:r>
        <w:rPr>
          <w:b/>
          <w:bCs/>
        </w:rPr>
        <w:t xml:space="preserve">Definition of Done (DoD)</w:t>
      </w:r>
      <w:r>
        <w:t xml:space="preserve"> </w:t>
      </w:r>
      <w:r>
        <w:t xml:space="preserve">for the BIRDC ERP project. The DoD is a binding quality contract: a task, feature, or fix is not complete until every applicable criterion in this document is satisfied. No item may be marked complete, demonstrated to the client, or counted toward milestone acceptance unless the DoD is fully met.</w:t>
      </w:r>
    </w:p>
    <w:p>
      <w:pPr>
        <w:pStyle w:val="BodyText"/>
      </w:pPr>
      <w:r>
        <w:t xml:space="preserve">The DoD applies to all work performed by Peter Bamuhigire and all hired developers on this engagement. It is reviewed at every milestone kickoff and may be updated by written agreement between Peter Bamuhigire and the BIRDC Director.</w:t>
      </w:r>
    </w:p>
    <w:p>
      <w:pPr>
        <w:pStyle w:val="BodyText"/>
      </w:pPr>
      <w:r>
        <w:t xml:space="preserve">The DoD is divided into two levels:</w:t>
      </w:r>
    </w:p>
    <w:p>
      <w:pPr>
        <w:pStyle w:val="Compact"/>
        <w:numPr>
          <w:ilvl w:val="0"/>
          <w:numId w:val="1001"/>
        </w:numPr>
      </w:pPr>
      <w:r>
        <w:rPr>
          <w:b/>
          <w:bCs/>
        </w:rPr>
        <w:t xml:space="preserve">Task-level DoD</w:t>
      </w:r>
      <w:r>
        <w:t xml:space="preserve"> </w:t>
      </w:r>
      <w:r>
        <w:t xml:space="preserve">— applies to every individual feature, bug fix, or change, regardless of size.</w:t>
      </w:r>
    </w:p>
    <w:p>
      <w:pPr>
        <w:pStyle w:val="Compact"/>
        <w:numPr>
          <w:ilvl w:val="0"/>
          <w:numId w:val="1001"/>
        </w:numPr>
      </w:pPr>
      <w:r>
        <w:rPr>
          <w:b/>
          <w:bCs/>
        </w:rPr>
        <w:t xml:space="preserve">Milestone-level DoD</w:t>
      </w:r>
      <w:r>
        <w:t xml:space="preserve"> </w:t>
      </w:r>
      <w:r>
        <w:t xml:space="preserve">— applies additionally when claiming that a full delivery milestone is complete and ready for formal client sign-off.</w:t>
      </w:r>
    </w:p>
    <w:bookmarkEnd w:id="19"/>
    <w:bookmarkStart w:id="35" w:name="X46e75824f85970450001d5536049c6461ee2381"/>
    <w:p>
      <w:pPr>
        <w:pStyle w:val="Heading2"/>
      </w:pPr>
      <w:r>
        <w:t xml:space="preserve">2. Task-Level Definition of Done</w:t>
      </w:r>
    </w:p>
    <w:p>
      <w:pPr>
        <w:pStyle w:val="FirstParagraph"/>
      </w:pPr>
      <w:r>
        <w:t xml:space="preserve">A task (feature, fix, or change) is DONE only when ALL of the following criteria are true. Each criterion must be verifiable — not assumed.</w:t>
      </w:r>
    </w:p>
    <w:bookmarkStart w:id="20" w:name="X5debc390c5ea3f2aa7714a6c9a37b0dd5970454"/>
    <w:p>
      <w:pPr>
        <w:pStyle w:val="Heading3"/>
      </w:pPr>
      <w:r>
        <w:t xml:space="preserve">2.1 Code Review</w:t>
      </w:r>
    </w:p>
    <w:p>
      <w:pPr>
        <w:pStyle w:val="Compact"/>
        <w:numPr>
          <w:ilvl w:val="0"/>
          <w:numId w:val="1002"/>
        </w:numPr>
      </w:pPr>
      <w:r>
        <w:t xml:space="preserve">Code has been reviewed by Peter Bamuhigire (or a designated reviewer explicitly named by Peter Bamuhigire for that task) and approved in writing (pull request approval or equivalent).</w:t>
      </w:r>
    </w:p>
    <w:p>
      <w:pPr>
        <w:pStyle w:val="Compact"/>
        <w:numPr>
          <w:ilvl w:val="0"/>
          <w:numId w:val="1002"/>
        </w:numPr>
      </w:pPr>
      <w:r>
        <w:t xml:space="preserve">No open review comments remain unresolved at the time of approval.</w:t>
      </w:r>
    </w:p>
    <w:bookmarkEnd w:id="20"/>
    <w:bookmarkStart w:id="21" w:name="Xdd7d8087640b6442302213946db2b08867cf229"/>
    <w:p>
      <w:pPr>
        <w:pStyle w:val="Heading3"/>
      </w:pPr>
      <w:r>
        <w:t xml:space="preserve">2.2 Static Analysis — PHPStan</w:t>
      </w:r>
    </w:p>
    <w:p>
      <w:pPr>
        <w:pStyle w:val="Compact"/>
        <w:numPr>
          <w:ilvl w:val="0"/>
          <w:numId w:val="1003"/>
        </w:numPr>
      </w:pPr>
      <w:r>
        <w:t xml:space="preserve">PHPStan analysis at level 8 passes with zero errors on all files modified or added by this task.</w:t>
      </w:r>
    </w:p>
    <w:p>
      <w:pPr>
        <w:pStyle w:val="Compact"/>
        <w:numPr>
          <w:ilvl w:val="0"/>
          <w:numId w:val="1003"/>
        </w:numPr>
      </w:pPr>
      <w:r>
        <w:t xml:space="preserve">The PHPStan baseline (if used) has not been extended to suppress new errors introduced by this task.</w:t>
      </w:r>
    </w:p>
    <w:bookmarkEnd w:id="21"/>
    <w:bookmarkStart w:id="22" w:name="X10e2d7f02d9f944c97caaa623731aedb9fd22d0"/>
    <w:p>
      <w:pPr>
        <w:pStyle w:val="Heading3"/>
      </w:pPr>
      <w:r>
        <w:t xml:space="preserve">2.3 Coding Standards — PHP_CodeSniffer</w:t>
      </w:r>
    </w:p>
    <w:p>
      <w:pPr>
        <w:pStyle w:val="Compact"/>
        <w:numPr>
          <w:ilvl w:val="0"/>
          <w:numId w:val="1004"/>
        </w:numPr>
      </w:pPr>
      <w:r>
        <w:t xml:space="preserve">PHP_CodeSniffer with the PSR-12 ruleset passes with zero errors and zero warnings on all files modified or added by this task.</w:t>
      </w:r>
    </w:p>
    <w:bookmarkEnd w:id="22"/>
    <w:bookmarkStart w:id="23" w:name="Xdc96a0dcbaf2ac1343f74561fa37ec9430b88bc"/>
    <w:p>
      <w:pPr>
        <w:pStyle w:val="Heading3"/>
      </w:pPr>
      <w:r>
        <w:t xml:space="preserve">2.4 Automated Tests — PHPUnit</w:t>
      </w:r>
    </w:p>
    <w:p>
      <w:pPr>
        <w:pStyle w:val="Compact"/>
        <w:numPr>
          <w:ilvl w:val="0"/>
          <w:numId w:val="1005"/>
        </w:numPr>
      </w:pPr>
      <w:r>
        <w:t xml:space="preserve">PHPUnit tests are written for every new service method introduced by this task.</w:t>
      </w:r>
    </w:p>
    <w:p>
      <w:pPr>
        <w:pStyle w:val="Compact"/>
        <w:numPr>
          <w:ilvl w:val="0"/>
          <w:numId w:val="1005"/>
        </w:numPr>
      </w:pPr>
      <w:r>
        <w:t xml:space="preserve">Overall test coverage for financial service classes (GL posting, payroll calculation, remittance allocation, invoice lifecycle) is maintained at ≥ 80%.</w:t>
      </w:r>
    </w:p>
    <w:p>
      <w:pPr>
        <w:pStyle w:val="Compact"/>
        <w:numPr>
          <w:ilvl w:val="0"/>
          <w:numId w:val="1005"/>
        </w:numPr>
      </w:pPr>
      <w:r>
        <w:t xml:space="preserve">All existing tests pass with no regressions.</w:t>
      </w:r>
    </w:p>
    <w:bookmarkEnd w:id="23"/>
    <w:bookmarkStart w:id="24" w:name="X940e718a4253707df2a4d703e8a404fae935229"/>
    <w:p>
      <w:pPr>
        <w:pStyle w:val="Heading3"/>
      </w:pPr>
      <w:r>
        <w:t xml:space="preserve">2.5 RBAC Enforcement</w:t>
      </w:r>
    </w:p>
    <w:p>
      <w:pPr>
        <w:pStyle w:val="Compact"/>
        <w:numPr>
          <w:ilvl w:val="0"/>
          <w:numId w:val="1006"/>
        </w:numPr>
      </w:pPr>
      <w:r>
        <w:t xml:space="preserve">Every new API endpoint introduced by this task has a Role-Based Access Control permission check implemented at the API layer (controller or middleware), not only in the user interface.</w:t>
      </w:r>
    </w:p>
    <w:p>
      <w:pPr>
        <w:pStyle w:val="Compact"/>
        <w:numPr>
          <w:ilvl w:val="0"/>
          <w:numId w:val="1006"/>
        </w:numPr>
      </w:pPr>
      <w:r>
        <w:t xml:space="preserve">The permission check is verified by an automated test that confirms a request without the required role receives an HTTP 403 response.</w:t>
      </w:r>
    </w:p>
    <w:bookmarkEnd w:id="24"/>
    <w:bookmarkStart w:id="25" w:name="X04ac66a9a92f149bfa621a98537e1a362b6939b"/>
    <w:p>
      <w:pPr>
        <w:pStyle w:val="Heading3"/>
      </w:pPr>
      <w:r>
        <w:t xml:space="preserve">2.6 Audit Log</w:t>
      </w:r>
    </w:p>
    <w:p>
      <w:pPr>
        <w:pStyle w:val="Compact"/>
        <w:numPr>
          <w:ilvl w:val="0"/>
          <w:numId w:val="1007"/>
        </w:numPr>
      </w:pPr>
      <w:r>
        <w:t xml:space="preserve">Every new state-changing operation introduced by this task calls</w:t>
      </w:r>
      <w:r>
        <w:t xml:space="preserve"> </w:t>
      </w:r>
      <w:r>
        <w:rPr>
          <w:rStyle w:val="VerbatimChar"/>
        </w:rPr>
        <w:t xml:space="preserve">AuditLogService</w:t>
      </w:r>
      <w:r>
        <w:t xml:space="preserve"> </w:t>
      </w:r>
      <w:r>
        <w:t xml:space="preserve">and records an audit log entry.</w:t>
      </w:r>
    </w:p>
    <w:p>
      <w:pPr>
        <w:pStyle w:val="Compact"/>
        <w:numPr>
          <w:ilvl w:val="0"/>
          <w:numId w:val="1007"/>
        </w:numPr>
      </w:pPr>
      <w:r>
        <w:t xml:space="preserve">The audit log entry includes: user ID, action type, affected table and record ID, before-state, after-state, and timestamp.</w:t>
      </w:r>
    </w:p>
    <w:p>
      <w:pPr>
        <w:pStyle w:val="Compact"/>
        <w:numPr>
          <w:ilvl w:val="0"/>
          <w:numId w:val="1007"/>
        </w:numPr>
      </w:pPr>
      <w:r>
        <w:t xml:space="preserve">The audit log entry is verified by an automated test.</w:t>
      </w:r>
    </w:p>
    <w:bookmarkEnd w:id="25"/>
    <w:bookmarkStart w:id="26" w:name="X0c41adf434f2138a0d3f521203aa91d4a12545f"/>
    <w:p>
      <w:pPr>
        <w:pStyle w:val="Heading3"/>
      </w:pPr>
      <w:r>
        <w:t xml:space="preserve">2.7 Configuration Over Code (DC-002)</w:t>
      </w:r>
    </w:p>
    <w:p>
      <w:pPr>
        <w:pStyle w:val="Compact"/>
        <w:numPr>
          <w:ilvl w:val="0"/>
          <w:numId w:val="1008"/>
        </w:numPr>
      </w:pPr>
      <w:r>
        <w:t xml:space="preserve">No business rule introduced or modified by this task is hardcoded in PHP source code.</w:t>
      </w:r>
    </w:p>
    <w:p>
      <w:pPr>
        <w:pStyle w:val="Compact"/>
        <w:numPr>
          <w:ilvl w:val="0"/>
          <w:numId w:val="1008"/>
        </w:numPr>
      </w:pPr>
      <w:r>
        <w:t xml:space="preserve">All configurable values — tax rates, commission rates, PPDA thresholds, price list values, recipe quantities, payroll element rates — are stored in configuration tables and changeable via the administration UI without developer involvement.</w:t>
      </w:r>
    </w:p>
    <w:p>
      <w:pPr>
        <w:pStyle w:val="Compact"/>
        <w:numPr>
          <w:ilvl w:val="0"/>
          <w:numId w:val="1008"/>
        </w:numPr>
      </w:pPr>
      <w:r>
        <w:t xml:space="preserve">No hardcoded currency symbols or monetary amounts appear in any PHP file, template, or migration introduced by this task.</w:t>
      </w:r>
    </w:p>
    <w:bookmarkEnd w:id="26"/>
    <w:bookmarkStart w:id="27" w:name="Xd2b7368cd21b3783e818ccab54a0c89be707192"/>
    <w:p>
      <w:pPr>
        <w:pStyle w:val="Heading3"/>
      </w:pPr>
      <w:r>
        <w:t xml:space="preserve">2.8 SQL Injection Prevention</w:t>
      </w:r>
    </w:p>
    <w:p>
      <w:pPr>
        <w:pStyle w:val="Compact"/>
        <w:numPr>
          <w:ilvl w:val="0"/>
          <w:numId w:val="1009"/>
        </w:numPr>
      </w:pPr>
      <w:r>
        <w:t xml:space="preserve">Every new database query introduced by this task uses PDO prepared statements with bound parameters.</w:t>
      </w:r>
    </w:p>
    <w:p>
      <w:pPr>
        <w:pStyle w:val="Compact"/>
        <w:numPr>
          <w:ilvl w:val="0"/>
          <w:numId w:val="1009"/>
        </w:numPr>
      </w:pPr>
      <w:r>
        <w:t xml:space="preserve">No string concatenation is used to build SQL queries in any file modified or added by this task.</w:t>
      </w:r>
    </w:p>
    <w:bookmarkEnd w:id="27"/>
    <w:bookmarkStart w:id="28" w:name="X80ef8a80a38face5d7f7bbf88ae97011888e7a4"/>
    <w:p>
      <w:pPr>
        <w:pStyle w:val="Heading3"/>
      </w:pPr>
      <w:r>
        <w:t xml:space="preserve">2.9 CSRF Protection</w:t>
      </w:r>
    </w:p>
    <w:p>
      <w:pPr>
        <w:pStyle w:val="Compact"/>
        <w:numPr>
          <w:ilvl w:val="0"/>
          <w:numId w:val="1010"/>
        </w:numPr>
      </w:pPr>
      <w:r>
        <w:t xml:space="preserve">Every new state-changing web form introduced by this task includes and validates a CSRF token.</w:t>
      </w:r>
    </w:p>
    <w:p>
      <w:pPr>
        <w:pStyle w:val="Compact"/>
        <w:numPr>
          <w:ilvl w:val="0"/>
          <w:numId w:val="1010"/>
        </w:numPr>
      </w:pPr>
      <w:r>
        <w:t xml:space="preserve">CSRF validation is verified by an automated test that confirms a request without a valid CSRF token is rejected.</w:t>
      </w:r>
    </w:p>
    <w:bookmarkEnd w:id="28"/>
    <w:bookmarkStart w:id="29" w:name="X11d71751865c32c2032d7bf26800f9e499a9404"/>
    <w:p>
      <w:pPr>
        <w:pStyle w:val="Heading3"/>
      </w:pPr>
      <w:r>
        <w:t xml:space="preserve">2.10 GL Auto-Posting Verification</w:t>
      </w:r>
    </w:p>
    <w:p>
      <w:pPr>
        <w:pStyle w:val="Compact"/>
        <w:numPr>
          <w:ilvl w:val="0"/>
          <w:numId w:val="1011"/>
        </w:numPr>
      </w:pPr>
      <w:r>
        <w:t xml:space="preserve">If the task involves any financial transaction that creates or modifies a General Ledger entry, an automated test verifies that the resulting GL entry is double-entry balanced (total debits equal total credits).</w:t>
      </w:r>
    </w:p>
    <w:p>
      <w:pPr>
        <w:pStyle w:val="Compact"/>
        <w:numPr>
          <w:ilvl w:val="0"/>
          <w:numId w:val="1011"/>
        </w:numPr>
      </w:pPr>
      <w:r>
        <w:t xml:space="preserve">The test explicitly names the debit account and credit account and asserts the correct amounts.</w:t>
      </w:r>
    </w:p>
    <w:bookmarkEnd w:id="29"/>
    <w:bookmarkStart w:id="30" w:name="X176873c4c7625bed6e250dbf36a89d32cc4d7d0"/>
    <w:p>
      <w:pPr>
        <w:pStyle w:val="Heading3"/>
      </w:pPr>
      <w:r>
        <w:t xml:space="preserve">2.11 Segregation of Duties (BR-003)</w:t>
      </w:r>
    </w:p>
    <w:p>
      <w:pPr>
        <w:pStyle w:val="Compact"/>
        <w:numPr>
          <w:ilvl w:val="0"/>
          <w:numId w:val="1012"/>
        </w:numPr>
      </w:pPr>
      <w:r>
        <w:t xml:space="preserve">If the task touches any workflow covered by Business Rule BR-003 (the creator of a transaction must not be the approver or verifier of the same transaction), an automated test confirms that the system rejects an approval or verification action performed by the same user who created the record.</w:t>
      </w:r>
    </w:p>
    <w:bookmarkEnd w:id="30"/>
    <w:bookmarkStart w:id="31" w:name="Xad2c41d66fc42a61c5d8e42d61fa96a24de9b17"/>
    <w:p>
      <w:pPr>
        <w:pStyle w:val="Heading3"/>
      </w:pPr>
      <w:r>
        <w:t xml:space="preserve">2.12 Business Rule Tests (BR-001 to BR-018)</w:t>
      </w:r>
    </w:p>
    <w:p>
      <w:pPr>
        <w:pStyle w:val="Compact"/>
        <w:numPr>
          <w:ilvl w:val="0"/>
          <w:numId w:val="1013"/>
        </w:numPr>
      </w:pPr>
      <w:r>
        <w:t xml:space="preserve">If the task introduces or modifies behaviour governed by any of Business Rules BR-001 through BR-018, at least one automated test is written that directly verifies compliance with that business rule.</w:t>
      </w:r>
    </w:p>
    <w:p>
      <w:pPr>
        <w:pStyle w:val="Compact"/>
        <w:numPr>
          <w:ilvl w:val="0"/>
          <w:numId w:val="1013"/>
        </w:numPr>
      </w:pPr>
      <w:r>
        <w:t xml:space="preserve">The test is named with the business rule identifier (e.g.,</w:t>
      </w:r>
      <w:r>
        <w:t xml:space="preserve"> </w:t>
      </w:r>
      <w:r>
        <w:rPr>
          <w:rStyle w:val="VerbatimChar"/>
        </w:rPr>
        <w:t xml:space="preserve">test_br_008_mass_balance_verification</w:t>
      </w:r>
      <w:r>
        <w:t xml:space="preserve">).</w:t>
      </w:r>
    </w:p>
    <w:bookmarkEnd w:id="31"/>
    <w:bookmarkStart w:id="32" w:name="X925cb5878c126163e26c5518cc0a0ef01528ef0"/>
    <w:p>
      <w:pPr>
        <w:pStyle w:val="Heading3"/>
      </w:pPr>
      <w:r>
        <w:t xml:space="preserve">2.13 Documentation</w:t>
      </w:r>
    </w:p>
    <w:p>
      <w:pPr>
        <w:pStyle w:val="Compact"/>
        <w:numPr>
          <w:ilvl w:val="0"/>
          <w:numId w:val="1014"/>
        </w:numPr>
      </w:pPr>
      <w:r>
        <w:t xml:space="preserve">All new public methods and classes are documented with PHPDoc block comments: description, parameter types, return type, and exceptions thrown.</w:t>
      </w:r>
    </w:p>
    <w:p>
      <w:pPr>
        <w:pStyle w:val="Compact"/>
        <w:numPr>
          <w:ilvl w:val="0"/>
          <w:numId w:val="1014"/>
        </w:numPr>
      </w:pPr>
      <w:r>
        <w:t xml:space="preserve">If the task introduces new API endpoints, the API specification document is updated with the endpoint path, HTTP method, request parameters, response schema, and required RBAC permission.</w:t>
      </w:r>
    </w:p>
    <w:bookmarkEnd w:id="32"/>
    <w:bookmarkStart w:id="33" w:name="Xf258b4ddef6842b4387effaabb3cdf850d8691a"/>
    <w:p>
      <w:pPr>
        <w:pStyle w:val="Heading3"/>
      </w:pPr>
      <w:r>
        <w:t xml:space="preserve">2.14 Staging Deployment and Smoke Test</w:t>
      </w:r>
    </w:p>
    <w:p>
      <w:pPr>
        <w:pStyle w:val="Compact"/>
        <w:numPr>
          <w:ilvl w:val="0"/>
          <w:numId w:val="1015"/>
        </w:numPr>
      </w:pPr>
      <w:r>
        <w:t xml:space="preserve">The completed feature is deployed to the staging environment on BIRDC's infrastructure.</w:t>
      </w:r>
    </w:p>
    <w:p>
      <w:pPr>
        <w:pStyle w:val="Compact"/>
        <w:numPr>
          <w:ilvl w:val="0"/>
          <w:numId w:val="1015"/>
        </w:numPr>
      </w:pPr>
      <w:r>
        <w:t xml:space="preserve">A smoke test is performed on staging: the feature is exercised through its primary happy-path workflow end-to-end.</w:t>
      </w:r>
    </w:p>
    <w:p>
      <w:pPr>
        <w:pStyle w:val="Compact"/>
        <w:numPr>
          <w:ilvl w:val="0"/>
          <w:numId w:val="1015"/>
        </w:numPr>
      </w:pPr>
      <w:r>
        <w:t xml:space="preserve">The smoke test result is documented (pass/fail with notes).</w:t>
      </w:r>
    </w:p>
    <w:bookmarkEnd w:id="33"/>
    <w:bookmarkStart w:id="34" w:name="X6924c77ee15213f49628bfd4b52234f1077a890"/>
    <w:p>
      <w:pPr>
        <w:pStyle w:val="Heading3"/>
      </w:pPr>
      <w:r>
        <w:t xml:space="preserve">2.15 Peer Confirmation</w:t>
      </w:r>
    </w:p>
    <w:p>
      <w:pPr>
        <w:pStyle w:val="Compact"/>
        <w:numPr>
          <w:ilvl w:val="0"/>
          <w:numId w:val="1016"/>
        </w:numPr>
      </w:pPr>
      <w:r>
        <w:t xml:space="preserve">At least one other developer (or Peter Bamuhigire, if working solo) confirms that the feature works as specified by exercising it on the staging environment — not merely confirming that the code compiles or tests pass.</w:t>
      </w:r>
    </w:p>
    <w:bookmarkEnd w:id="34"/>
    <w:bookmarkEnd w:id="35"/>
    <w:bookmarkStart w:id="41" w:name="X5fc873ab95987bce711cf8a77ec4e463b43f268"/>
    <w:p>
      <w:pPr>
        <w:pStyle w:val="Heading2"/>
      </w:pPr>
      <w:r>
        <w:t xml:space="preserve">3. Milestone-Level Definition of Done</w:t>
      </w:r>
    </w:p>
    <w:p>
      <w:pPr>
        <w:pStyle w:val="FirstParagraph"/>
      </w:pPr>
      <w:r>
        <w:t xml:space="preserve">In addition to all task-level criteria being satisfied for every task within the milestone, a milestone is DONE only when ALL of the following are true.</w:t>
      </w:r>
    </w:p>
    <w:bookmarkStart w:id="36" w:name="X51644d1dedf310ec4e3759c69ab9a44459fea91"/>
    <w:p>
      <w:pPr>
        <w:pStyle w:val="Heading3"/>
      </w:pPr>
      <w:r>
        <w:t xml:space="preserve">3.1 Phase Gate Criteria Satisfied</w:t>
      </w:r>
    </w:p>
    <w:p>
      <w:pPr>
        <w:pStyle w:val="FirstParagraph"/>
      </w:pPr>
      <w:r>
        <w:t xml:space="preserve">All phase gate criteria specified for that milestone in the Phase Gate Criteria &amp; Metrics document (</w:t>
      </w:r>
      <w:r>
        <w:rPr>
          <w:rStyle w:val="VerbatimChar"/>
        </w:rPr>
        <w:t xml:space="preserve">_context/metrics.md</w:t>
      </w:r>
      <w:r>
        <w:t xml:space="preserve">) are satisfied and verified. No criterion may be deferred to a later milestone without written Director approval and a documented deferral notice attached to the Milestone Acceptance Certificate.</w:t>
      </w:r>
    </w:p>
    <w:bookmarkEnd w:id="36"/>
    <w:bookmarkStart w:id="37" w:name="Xe3914b9ecf5064d5217444f130081fc72ecefd9"/>
    <w:p>
      <w:pPr>
        <w:pStyle w:val="Heading3"/>
      </w:pPr>
      <w:r>
        <w:t xml:space="preserve">3.2 Performance Thresholds Verified</w:t>
      </w:r>
    </w:p>
    <w:p>
      <w:pPr>
        <w:pStyle w:val="FirstParagraph"/>
      </w:pPr>
      <w:r>
        <w:t xml:space="preserve">All non-functional performance thresholds applicable to the delivered modules are tested and passing on the staging environment:</w:t>
      </w:r>
    </w:p>
    <w:p>
      <w:pPr>
        <w:pStyle w:val="Compact"/>
        <w:numPr>
          <w:ilvl w:val="0"/>
          <w:numId w:val="1017"/>
        </w:numPr>
      </w:pPr>
      <w:r>
        <w:t xml:space="preserve">POS transaction time (search to receipt): ≤ 90 seconds for the Prossy cashier test scenario.</w:t>
      </w:r>
    </w:p>
    <w:p>
      <w:pPr>
        <w:pStyle w:val="Compact"/>
        <w:numPr>
          <w:ilvl w:val="0"/>
          <w:numId w:val="1017"/>
        </w:numPr>
      </w:pPr>
      <w:r>
        <w:t xml:space="preserve">Product search response (barcode or text): ≤ 500 ms at P95.</w:t>
      </w:r>
    </w:p>
    <w:p>
      <w:pPr>
        <w:pStyle w:val="Compact"/>
        <w:numPr>
          <w:ilvl w:val="0"/>
          <w:numId w:val="1017"/>
        </w:numPr>
      </w:pPr>
      <w:r>
        <w:t xml:space="preserve">Report generation (standard report, up to 12 months): ≤ 10 seconds.</w:t>
      </w:r>
    </w:p>
    <w:p>
      <w:pPr>
        <w:pStyle w:val="Compact"/>
        <w:numPr>
          <w:ilvl w:val="0"/>
          <w:numId w:val="1017"/>
        </w:numPr>
      </w:pPr>
      <w:r>
        <w:t xml:space="preserve">Trial Balance generation: ≤ 5 seconds (M-002 and above).</w:t>
      </w:r>
    </w:p>
    <w:p>
      <w:pPr>
        <w:pStyle w:val="Compact"/>
        <w:numPr>
          <w:ilvl w:val="0"/>
          <w:numId w:val="1017"/>
        </w:numPr>
      </w:pPr>
      <w:r>
        <w:t xml:space="preserve">Farmer contribution breakdown (per batch, 100+ farmers): ≤ 3 seconds (M-003 and above).</w:t>
      </w:r>
    </w:p>
    <w:p>
      <w:pPr>
        <w:pStyle w:val="Compact"/>
        <w:numPr>
          <w:ilvl w:val="0"/>
          <w:numId w:val="1017"/>
        </w:numPr>
      </w:pPr>
      <w:r>
        <w:t xml:space="preserve">Agent cash balance refresh: real-time on every transaction post (M-001 and above).</w:t>
      </w:r>
    </w:p>
    <w:p>
      <w:pPr>
        <w:pStyle w:val="Compact"/>
        <w:numPr>
          <w:ilvl w:val="0"/>
          <w:numId w:val="1017"/>
        </w:numPr>
      </w:pPr>
      <w:r>
        <w:t xml:space="preserve">Offline POS data loss on connectivity loss: zero — all transactions persisted locally (M-001 and above).</w:t>
      </w:r>
    </w:p>
    <w:p>
      <w:pPr>
        <w:pStyle w:val="Compact"/>
        <w:numPr>
          <w:ilvl w:val="0"/>
          <w:numId w:val="1017"/>
        </w:numPr>
      </w:pPr>
      <w:r>
        <w:t xml:space="preserve">Offline sync time (Android apps, on reconnect): ≤ 60 seconds for a typical day's transactions (applicable milestones).</w:t>
      </w:r>
    </w:p>
    <w:p>
      <w:pPr>
        <w:pStyle w:val="Compact"/>
        <w:numPr>
          <w:ilvl w:val="0"/>
          <w:numId w:val="1017"/>
        </w:numPr>
      </w:pPr>
      <w:r>
        <w:t xml:space="preserve">Concurrent user test: 50 simultaneous web users without degradation (M-007 load test only).</w:t>
      </w:r>
    </w:p>
    <w:p>
      <w:pPr>
        <w:pStyle w:val="Compact"/>
        <w:numPr>
          <w:ilvl w:val="0"/>
          <w:numId w:val="1017"/>
        </w:numPr>
      </w:pPr>
      <w:r>
        <w:t xml:space="preserve">Audit trail query (any 30-day period, any user): ≤ 5 seconds (M-006 and above).</w:t>
      </w:r>
    </w:p>
    <w:bookmarkEnd w:id="37"/>
    <w:bookmarkStart w:id="38" w:name="X4dd154c124b7b55622cb1b09f667a9a049d0204"/>
    <w:p>
      <w:pPr>
        <w:pStyle w:val="Heading3"/>
      </w:pPr>
      <w:r>
        <w:t xml:space="preserve">3.3 Client Demonstration Completed</w:t>
      </w:r>
    </w:p>
    <w:p>
      <w:pPr>
        <w:pStyle w:val="FirstParagraph"/>
      </w:pPr>
      <w:r>
        <w:t xml:space="preserve">A formal live demonstration of all milestone deliverables has been conducted with the Finance Director (STK-002) and the BIRDC Director (STK-001) present. The demonstration is conducted on the staging environment. The demonstration covers every functional area delivered in the milestone.</w:t>
      </w:r>
    </w:p>
    <w:bookmarkEnd w:id="38"/>
    <w:bookmarkStart w:id="39" w:name="X5ea2b73b1b14408ad28da9e8e9d57ae3e6c2583"/>
    <w:p>
      <w:pPr>
        <w:pStyle w:val="Heading3"/>
      </w:pPr>
      <w:r>
        <w:t xml:space="preserve">3.4 Milestone Acceptance Certificate Signed</w:t>
      </w:r>
    </w:p>
    <w:p>
      <w:pPr>
        <w:pStyle w:val="FirstParagraph"/>
      </w:pPr>
      <w:r>
        <w:t xml:space="preserve">The Milestone Acceptance Certificate has been signed by both the Finance Director and the BIRDC Director. The certificate is filed by Peter Bamuhigire in the project records.</w:t>
      </w:r>
    </w:p>
    <w:bookmarkEnd w:id="39"/>
    <w:bookmarkStart w:id="40" w:name="X15ef55022a8ffb9856b8d35581f9e80938b9dec"/>
    <w:p>
      <w:pPr>
        <w:pStyle w:val="Heading3"/>
      </w:pPr>
      <w:r>
        <w:t xml:space="preserve">3.5 Payment Invoice Raised</w:t>
      </w:r>
    </w:p>
    <w:p>
      <w:pPr>
        <w:pStyle w:val="FirstParagraph"/>
      </w:pPr>
      <w:r>
        <w:t xml:space="preserve">A payment invoice for the milestone fixed price has been raised and submitted to BIRDC/PIBID Finance. The next milestone kickoff is not scheduled until payment is confirmed.</w:t>
      </w:r>
    </w:p>
    <w:bookmarkEnd w:id="40"/>
    <w:bookmarkEnd w:id="41"/>
    <w:bookmarkStart w:id="47" w:name="X7f862ea5e57c159df6f42d202c1fc143af7150b"/>
    <w:p>
      <w:pPr>
        <w:pStyle w:val="Heading2"/>
      </w:pPr>
      <w:r>
        <w:t xml:space="preserve">4. DoD Compliance and Enforcement</w:t>
      </w:r>
    </w:p>
    <w:bookmarkStart w:id="42" w:name="Xade2a1e8d083c249a817aa567b2be96e1024848"/>
    <w:p>
      <w:pPr>
        <w:pStyle w:val="Heading3"/>
      </w:pPr>
      <w:r>
        <w:t xml:space="preserve">4.1 Responsibility</w:t>
      </w:r>
    </w:p>
    <w:p>
      <w:pPr>
        <w:pStyle w:val="FirstParagraph"/>
      </w:pPr>
      <w:r>
        <w:t xml:space="preserve">Peter Bamuhigire is the DoD gatekeeper. A task may not be marked complete by any developer without Peter Bamuhigire's explicit confirmation that all applicable criteria are met.</w:t>
      </w:r>
    </w:p>
    <w:bookmarkEnd w:id="42"/>
    <w:bookmarkStart w:id="43" w:name="Xcaaae41443e80cb51a4a942735f2723ecdb6b93"/>
    <w:p>
      <w:pPr>
        <w:pStyle w:val="Heading3"/>
      </w:pPr>
      <w:r>
        <w:t xml:space="preserve">4.2 DoD Checklist</w:t>
      </w:r>
    </w:p>
    <w:p>
      <w:pPr>
        <w:pStyle w:val="FirstParagraph"/>
      </w:pPr>
      <w:r>
        <w:t xml:space="preserve">Every task in the project management system carries a DoD checklist. The developer completing the task ticks each applicable criterion and confirms readiness for review. Peter Bamuhigire verifies the checklist before approving the task.</w:t>
      </w:r>
    </w:p>
    <w:bookmarkEnd w:id="43"/>
    <w:bookmarkStart w:id="44" w:name="X44e3f9d0028896c0c4634e88bdecda655157ab5"/>
    <w:p>
      <w:pPr>
        <w:pStyle w:val="Heading3"/>
      </w:pPr>
      <w:r>
        <w:t xml:space="preserve">4.3 Waiver Prohibition</w:t>
      </w:r>
    </w:p>
    <w:p>
      <w:pPr>
        <w:pStyle w:val="FirstParagraph"/>
      </w:pPr>
      <w:r>
        <w:t xml:space="preserve">No DoD criterion may be waived to meet a deadline. If a criterion cannot be met, the task returns to in-progress status. Schedule pressure from the client does not constitute grounds for a DoD waiver.</w:t>
      </w:r>
    </w:p>
    <w:bookmarkEnd w:id="44"/>
    <w:bookmarkStart w:id="45" w:name="X534c763e851b45668b1ca0d38c1745e6658707a"/>
    <w:p>
      <w:pPr>
        <w:pStyle w:val="Heading3"/>
      </w:pPr>
      <w:r>
        <w:t xml:space="preserve">4.4 Criterion Inapplicability</w:t>
      </w:r>
    </w:p>
    <w:p>
      <w:pPr>
        <w:pStyle w:val="FirstParagraph"/>
      </w:pPr>
      <w:r>
        <w:t xml:space="preserve">If a criterion is genuinely not applicable to a specific task (for example, a task that introduces no API endpoints has no RBAC criterion to satisfy), the developer marks it "N/A" with a one-sentence justification. Peter Bamuhigire must agree that the N/A designation is correct before approving.</w:t>
      </w:r>
    </w:p>
    <w:bookmarkEnd w:id="45"/>
    <w:bookmarkStart w:id="46" w:name="Xbc0cce62b5298a91197d2a5975b30e6f3055f48"/>
    <w:p>
      <w:pPr>
        <w:pStyle w:val="Heading3"/>
      </w:pPr>
      <w:r>
        <w:t xml:space="preserve">4.5 DoD Updates</w:t>
      </w:r>
    </w:p>
    <w:p>
      <w:pPr>
        <w:pStyle w:val="FirstParagraph"/>
      </w:pPr>
      <w:r>
        <w:t xml:space="preserve">This document is versioned. Any change to the DoD criteria requires a written decision recorded in the project change log, with the date and the reason for the change. Both Peter Bamuhigire and the BIRDC Director must agree to any change that relaxes a criterion.</w:t>
      </w:r>
    </w:p>
    <w:bookmarkEnd w:id="46"/>
    <w:bookmarkEnd w:id="47"/>
    <w:bookmarkEnd w:id="4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Done — BIRDC ERP</dc:title>
  <dc:creator>Peter Bamuhigire, ICT Consultant (techguypeter.com)</dc:creator>
  <cp:keywords/>
  <dcterms:created xsi:type="dcterms:W3CDTF">2026-04-05T16:47:02Z</dcterms:created>
  <dcterms:modified xsi:type="dcterms:W3CDTF">2026-04-05T16:47:02Z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 — Client Use Only</vt:lpwstr>
  </property>
  <property fmtid="{D5CDD505-2E9C-101B-9397-08002B2CF9AE}" pid="3" name="client">
    <vt:lpwstr>PIBID / BIRDC, Nyaruzinga, Bushenyi District, Western Uganda</vt:lpwstr>
  </property>
  <property fmtid="{D5CDD505-2E9C-101B-9397-08002B2CF9AE}" pid="4" name="date">
    <vt:lpwstr>2026-04-05</vt:lpwstr>
  </property>
  <property fmtid="{D5CDD505-2E9C-101B-9397-08002B2CF9AE}" pid="5" name="subtitle">
    <vt:lpwstr>Quality Gate for Every Task, Feature, and Milestone</vt:lpwstr>
  </property>
  <property fmtid="{D5CDD505-2E9C-101B-9397-08002B2CF9AE}" pid="6" name="version">
    <vt:lpwstr>1.0</vt:lpwstr>
  </property>
</Properties>
</file>