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Pre-Development Software Verification and Validation Audit Report — BIRDC ERP</w:t>
      </w:r>
    </w:p>
    <w:p>
      <w:pPr>
        <w:pStyle w:val="Subtitle"/>
      </w:pPr>
      <w:r>
        <w:t xml:space="preserve">IEEE 1012-2012 Compliance Audit of the SRS Documentation Suite</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X6f5523b2cf33bc862001ca5cbd4e951344d0717"/>
    <w:p>
      <w:pPr>
        <w:pStyle w:val="Heading1"/>
      </w:pPr>
      <w:r>
        <w:t xml:space="preserve">Pre-Development V&amp;V Audit Report — BIRDC ERP</w:t>
      </w:r>
    </w:p>
    <w:p>
      <w:pPr>
        <w:pStyle w:val="FirstParagraph"/>
      </w:pPr>
      <w:r>
        <w:rPr>
          <w:b/>
          <w:bCs/>
        </w:rPr>
        <w:t xml:space="preserve">Prepared by:</w:t>
      </w:r>
      <w:r>
        <w:t xml:space="preserve"> </w:t>
      </w:r>
      <w:r>
        <w:t xml:space="preserve">Peter Bamuhigire, ICT Consultant (techguypeter.com) for PIBID/BIRDC</w:t>
      </w:r>
      <w:r>
        <w:t xml:space="preserve"> </w:t>
      </w:r>
      <w:r>
        <w:rPr>
          <w:b/>
          <w:bCs/>
        </w:rPr>
        <w:t xml:space="preserve">Date:</w:t>
      </w:r>
      <w:r>
        <w:t xml:space="preserve"> </w:t>
      </w:r>
      <w:r>
        <w:t xml:space="preserve">2026-04-05</w:t>
      </w:r>
      <w:r>
        <w:t xml:space="preserve"> </w:t>
      </w:r>
      <w:r>
        <w:rPr>
          <w:b/>
          <w:bCs/>
        </w:rPr>
        <w:t xml:space="preserve">Version:</w:t>
      </w:r>
      <w:r>
        <w:t xml:space="preserve"> </w:t>
      </w:r>
      <w:r>
        <w:t xml:space="preserve">1.0</w:t>
      </w:r>
      <w:r>
        <w:t xml:space="preserve"> </w:t>
      </w:r>
      <w:r>
        <w:rPr>
          <w:b/>
          <w:bCs/>
        </w:rPr>
        <w:t xml:space="preserve">Audit Standard:</w:t>
      </w:r>
      <w:r>
        <w:t xml:space="preserve"> </w:t>
      </w:r>
      <w:r>
        <w:t xml:space="preserve">IEEE 1012-2012 — Software Verification and Validation</w:t>
      </w:r>
      <w:r>
        <w:t xml:space="preserve"> </w:t>
      </w:r>
      <w:r>
        <w:rPr>
          <w:b/>
          <w:bCs/>
        </w:rPr>
        <w:t xml:space="preserve">Audit Phase:</w:t>
      </w:r>
      <w:r>
        <w:t xml:space="preserve"> </w:t>
      </w:r>
      <w:r>
        <w:t xml:space="preserve">Pre-Development (Requirements Phase V&amp;V)</w:t>
      </w:r>
      <w:r>
        <w:t xml:space="preserve"> </w:t>
      </w:r>
      <w:r>
        <w:rPr>
          <w:b/>
          <w:bCs/>
        </w:rPr>
        <w:t xml:space="preserve">Audit Verdict:</w:t>
      </w:r>
      <w:r>
        <w:t xml:space="preserve"> </w:t>
      </w:r>
      <w:r>
        <w:rPr>
          <w:i/>
          <w:iCs/>
        </w:rPr>
        <w:t xml:space="preserve">Conditional Pass — all anomalies are external dependency gaps, not internal consistency errors.</w:t>
      </w:r>
    </w:p>
    <w:p>
      <w:r>
        <w:pict>
          <v:rect style="width:0;height:1.5pt" o:hralign="center" o:hrstd="t" o:hr="t"/>
        </w:pict>
      </w:r>
    </w:p>
    <w:bookmarkStart w:id="21" w:name="Xc53bb3c7fe1797da4f3808944070a13b2360e4b"/>
    <w:p>
      <w:pPr>
        <w:pStyle w:val="Heading2"/>
      </w:pPr>
      <w:r>
        <w:t xml:space="preserve">1. Audit Scope</w:t>
      </w:r>
    </w:p>
    <w:p>
      <w:pPr>
        <w:pStyle w:val="FirstParagraph"/>
      </w:pPr>
      <w:r>
        <w:t xml:space="preserve">This audit covers the complete BIRDC ERP Software Requirements Specification (SRS) documentation suite: 6 SRS phase documents, the supporting context files, and the Traceability Matrix. No implementation artefacts are within scope; this is a requirements-phase audit only.</w:t>
      </w:r>
    </w:p>
    <w:bookmarkStart w:id="19" w:name="Xf5788298fa89b590e640bd00fd6110561902d59"/>
    <w:p>
      <w:pPr>
        <w:pStyle w:val="Heading3"/>
      </w:pPr>
      <w:r>
        <w:t xml:space="preserve">1.1 Documents Audited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 ID</w:t>
            </w:r>
          </w:p>
        </w:tc>
        <w:tc>
          <w:tcPr/>
          <w:p>
            <w:pPr>
              <w:pStyle w:val="Compact"/>
            </w:pPr>
            <w:r>
              <w:t xml:space="preserve">Document Title</w:t>
            </w:r>
          </w:p>
        </w:tc>
        <w:tc>
          <w:tcPr/>
          <w:p>
            <w:pPr>
              <w:pStyle w:val="Compact"/>
            </w:pPr>
            <w:r>
              <w:t xml:space="preserve">Phase</w:t>
            </w:r>
          </w:p>
        </w:tc>
      </w:tr>
      <w:tr>
        <w:tc>
          <w:tcPr/>
          <w:p>
            <w:pPr>
              <w:pStyle w:val="Compact"/>
            </w:pPr>
            <w:r>
              <w:t xml:space="preserve">SRS-P1</w:t>
            </w:r>
          </w:p>
        </w:tc>
        <w:tc>
          <w:tcPr/>
          <w:p>
            <w:pPr>
              <w:pStyle w:val="Compact"/>
            </w:pPr>
            <w:r>
              <w:t xml:space="preserve">SRS Phase 1 — Commerce Foundation (Sales, POS, Inventory, Agent Distribution)</w:t>
            </w:r>
          </w:p>
        </w:tc>
        <w:tc>
          <w:tcPr/>
          <w:p>
            <w:pPr>
              <w:pStyle w:val="Compact"/>
            </w:pPr>
            <w:r>
              <w:t xml:space="preserve">Phase 1</w:t>
            </w:r>
          </w:p>
        </w:tc>
      </w:tr>
      <w:tr>
        <w:tc>
          <w:tcPr/>
          <w:p>
            <w:pPr>
              <w:pStyle w:val="Compact"/>
            </w:pPr>
            <w:r>
              <w:t xml:space="preserve">SRS-P2</w:t>
            </w:r>
          </w:p>
        </w:tc>
        <w:tc>
          <w:tcPr/>
          <w:p>
            <w:pPr>
              <w:pStyle w:val="Compact"/>
            </w:pPr>
            <w:r>
              <w:t xml:space="preserve">SRS Phase 2 — Financial Core (GL, AR, AP, Budget)</w:t>
            </w:r>
          </w:p>
        </w:tc>
        <w:tc>
          <w:tcPr/>
          <w:p>
            <w:pPr>
              <w:pStyle w:val="Compact"/>
            </w:pPr>
            <w:r>
              <w:t xml:space="preserve">Phase 2</w:t>
            </w:r>
          </w:p>
        </w:tc>
      </w:tr>
      <w:tr>
        <w:tc>
          <w:tcPr/>
          <w:p>
            <w:pPr>
              <w:pStyle w:val="Compact"/>
            </w:pPr>
            <w:r>
              <w:t xml:space="preserve">SRS-P3</w:t>
            </w:r>
          </w:p>
        </w:tc>
        <w:tc>
          <w:tcPr/>
          <w:p>
            <w:pPr>
              <w:pStyle w:val="Compact"/>
            </w:pPr>
            <w:r>
              <w:t xml:space="preserve">SRS Phase 3 — Supply Chain and Farmers (Procurement, Cooperative Management)</w:t>
            </w:r>
          </w:p>
        </w:tc>
        <w:tc>
          <w:tcPr/>
          <w:p>
            <w:pPr>
              <w:pStyle w:val="Compact"/>
            </w:pPr>
            <w:r>
              <w:t xml:space="preserve">Phase 3</w:t>
            </w:r>
          </w:p>
        </w:tc>
      </w:tr>
      <w:tr>
        <w:tc>
          <w:tcPr/>
          <w:p>
            <w:pPr>
              <w:pStyle w:val="Compact"/>
            </w:pPr>
            <w:r>
              <w:t xml:space="preserve">SRS-P4</w:t>
            </w:r>
          </w:p>
        </w:tc>
        <w:tc>
          <w:tcPr/>
          <w:p>
            <w:pPr>
              <w:pStyle w:val="Compact"/>
            </w:pPr>
            <w:r>
              <w:t xml:space="preserve">SRS Phase 4 — Production and Quality (Manufacturing, QC)</w:t>
            </w:r>
          </w:p>
        </w:tc>
        <w:tc>
          <w:tcPr/>
          <w:p>
            <w:pPr>
              <w:pStyle w:val="Compact"/>
            </w:pPr>
            <w:r>
              <w:t xml:space="preserve">Phase 4</w:t>
            </w:r>
          </w:p>
        </w:tc>
      </w:tr>
      <w:tr>
        <w:tc>
          <w:tcPr/>
          <w:p>
            <w:pPr>
              <w:pStyle w:val="Compact"/>
            </w:pPr>
            <w:r>
              <w:t xml:space="preserve">SRS-P5</w:t>
            </w:r>
          </w:p>
        </w:tc>
        <w:tc>
          <w:tcPr/>
          <w:p>
            <w:pPr>
              <w:pStyle w:val="Compact"/>
            </w:pPr>
            <w:r>
              <w:t xml:space="preserve">SRS Phase 5 — People (HR, Payroll)</w:t>
            </w:r>
          </w:p>
        </w:tc>
        <w:tc>
          <w:tcPr/>
          <w:p>
            <w:pPr>
              <w:pStyle w:val="Compact"/>
            </w:pPr>
            <w:r>
              <w:t xml:space="preserve">Phase 5</w:t>
            </w:r>
          </w:p>
        </w:tc>
      </w:tr>
      <w:tr>
        <w:tc>
          <w:tcPr/>
          <w:p>
            <w:pPr>
              <w:pStyle w:val="Compact"/>
            </w:pPr>
            <w:r>
              <w:t xml:space="preserve">SRS-P6</w:t>
            </w:r>
          </w:p>
        </w:tc>
        <w:tc>
          <w:tcPr/>
          <w:p>
            <w:pPr>
              <w:pStyle w:val="Compact"/>
            </w:pPr>
            <w:r>
              <w:t xml:space="preserve">SRS Phase 6 — Research, Administration, and Compliance (R&amp;D, PPDA Admin, System Admin)</w:t>
            </w:r>
          </w:p>
        </w:tc>
        <w:tc>
          <w:tcPr/>
          <w:p>
            <w:pPr>
              <w:pStyle w:val="Compact"/>
            </w:pPr>
            <w:r>
              <w:t xml:space="preserve">Phase 6</w:t>
            </w:r>
          </w:p>
        </w:tc>
      </w:tr>
      <w:tr>
        <w:tc>
          <w:tcPr/>
          <w:p>
            <w:pPr>
              <w:pStyle w:val="Compact"/>
            </w:pPr>
            <w:r>
              <w:t xml:space="preserve">RTM</w:t>
            </w:r>
          </w:p>
        </w:tc>
        <w:tc>
          <w:tcPr/>
          <w:p>
            <w:pPr>
              <w:pStyle w:val="Compact"/>
            </w:pPr>
            <w:r>
              <w:t xml:space="preserve">Requirements Traceability Matrix</w:t>
            </w:r>
          </w:p>
        </w:tc>
        <w:tc>
          <w:tcPr/>
          <w:p>
            <w:pPr>
              <w:pStyle w:val="Compact"/>
            </w:pPr>
            <w:r>
              <w:t xml:space="preserve">Phase 9 (this document suite)</w:t>
            </w:r>
          </w:p>
        </w:tc>
      </w:tr>
      <w:tr>
        <w:tc>
          <w:tcPr/>
          <w:p>
            <w:pPr>
              <w:pStyle w:val="Compact"/>
            </w:pPr>
            <w:r>
              <w:t xml:space="preserve">CTX</w:t>
            </w:r>
          </w:p>
        </w:tc>
        <w:tc>
          <w:tcPr/>
          <w:p>
            <w:pPr>
              <w:pStyle w:val="Compact"/>
            </w:pPr>
            <w:r>
              <w:t xml:space="preserve">Context Files (_context/vision.md, features.md, business_rules.md, stakeholders.md, gap-analysis.md, metrics.md, domain.md, glossary.md)</w:t>
            </w:r>
          </w:p>
        </w:tc>
        <w:tc>
          <w:tcPr/>
          <w:p>
            <w:pPr>
              <w:pStyle w:val="Compact"/>
            </w:pPr>
            <w:r>
              <w:t xml:space="preserve">Foundation</w:t>
            </w:r>
          </w:p>
        </w:tc>
      </w:tr>
    </w:tbl>
    <w:bookmarkEnd w:id="19"/>
    <w:bookmarkStart w:id="20" w:name="X39480df88212fdb1048e28610e888a47d82fc6e"/>
    <w:p>
      <w:pPr>
        <w:pStyle w:val="Heading3"/>
      </w:pPr>
      <w:r>
        <w:t xml:space="preserve">1.2 Audit Methodology</w:t>
      </w:r>
    </w:p>
    <w:p>
      <w:pPr>
        <w:pStyle w:val="FirstParagraph"/>
      </w:pPr>
      <w:r>
        <w:t xml:space="preserve">The audit applies the IEEE 1012-2012 framework for software verification and validation at the Requirements phase. The six criteria evaluated are:</w:t>
      </w:r>
    </w:p>
    <w:p>
      <w:pPr>
        <w:pStyle w:val="Compact"/>
        <w:numPr>
          <w:ilvl w:val="0"/>
          <w:numId w:val="1001"/>
        </w:numPr>
      </w:pPr>
      <w:r>
        <w:rPr>
          <w:b/>
          <w:bCs/>
        </w:rPr>
        <w:t xml:space="preserve">Correctness</w:t>
      </w:r>
      <w:r>
        <w:t xml:space="preserve"> </w:t>
      </w:r>
      <w:r>
        <w:t xml:space="preserve">— requirements mirror documented stakeholder intent.</w:t>
      </w:r>
    </w:p>
    <w:p>
      <w:pPr>
        <w:pStyle w:val="Compact"/>
        <w:numPr>
          <w:ilvl w:val="0"/>
          <w:numId w:val="1001"/>
        </w:numPr>
      </w:pPr>
      <w:r>
        <w:rPr>
          <w:b/>
          <w:bCs/>
        </w:rPr>
        <w:t xml:space="preserve">Unambiguity</w:t>
      </w:r>
      <w:r>
        <w:t xml:space="preserve"> </w:t>
      </w:r>
      <w:r>
        <w:t xml:space="preserve">— every requirement has exactly one valid interpretation.</w:t>
      </w:r>
    </w:p>
    <w:p>
      <w:pPr>
        <w:pStyle w:val="Compact"/>
        <w:numPr>
          <w:ilvl w:val="0"/>
          <w:numId w:val="1001"/>
        </w:numPr>
      </w:pPr>
      <w:r>
        <w:rPr>
          <w:b/>
          <w:bCs/>
        </w:rPr>
        <w:t xml:space="preserve">Completeness</w:t>
      </w:r>
      <w:r>
        <w:t xml:space="preserve"> </w:t>
      </w:r>
      <w:r>
        <w:t xml:space="preserve">— all 19 features, 18 business rules, and 5 business goals are addressed.</w:t>
      </w:r>
    </w:p>
    <w:p>
      <w:pPr>
        <w:pStyle w:val="Compact"/>
        <w:numPr>
          <w:ilvl w:val="0"/>
          <w:numId w:val="1001"/>
        </w:numPr>
      </w:pPr>
      <w:r>
        <w:rPr>
          <w:b/>
          <w:bCs/>
        </w:rPr>
        <w:t xml:space="preserve">Verifiability</w:t>
      </w:r>
      <w:r>
        <w:t xml:space="preserve"> </w:t>
      </w:r>
      <w:r>
        <w:t xml:space="preserve">— a deterministic test oracle exists for every requirement.</w:t>
      </w:r>
    </w:p>
    <w:p>
      <w:pPr>
        <w:pStyle w:val="Compact"/>
        <w:numPr>
          <w:ilvl w:val="0"/>
          <w:numId w:val="1001"/>
        </w:numPr>
      </w:pPr>
      <w:r>
        <w:rPr>
          <w:b/>
          <w:bCs/>
        </w:rPr>
        <w:t xml:space="preserve">Consistency</w:t>
      </w:r>
      <w:r>
        <w:t xml:space="preserve"> </w:t>
      </w:r>
      <w:r>
        <w:t xml:space="preserve">— terminology and structure are uniform across all 6 SRS documents.</w:t>
      </w:r>
    </w:p>
    <w:p>
      <w:pPr>
        <w:pStyle w:val="Compact"/>
        <w:numPr>
          <w:ilvl w:val="0"/>
          <w:numId w:val="1001"/>
        </w:numPr>
      </w:pPr>
      <w:r>
        <w:rPr>
          <w:b/>
          <w:bCs/>
        </w:rPr>
        <w:t xml:space="preserve">Traceability</w:t>
      </w:r>
      <w:r>
        <w:t xml:space="preserve"> </w:t>
      </w:r>
      <w:r>
        <w:t xml:space="preserve">— every FR links to a business goal and a test case identifier.</w:t>
      </w:r>
    </w:p>
    <w:bookmarkEnd w:id="20"/>
    <w:bookmarkEnd w:id="21"/>
    <w:bookmarkEnd w:id="22"/>
    <w:bookmarkStart w:id="30" w:name="section-2-audit-findings-by-srs-section"/>
    <w:p>
      <w:pPr>
        <w:pStyle w:val="Heading1"/>
      </w:pPr>
      <w:r>
        <w:t xml:space="preserve">Section 2: Audit Findings by SRS Section</w:t>
      </w:r>
    </w:p>
    <w:bookmarkStart w:id="23" w:name="X83adb54de36c206de46170615dc6f021af63a1f"/>
    <w:p>
      <w:pPr>
        <w:pStyle w:val="Heading2"/>
      </w:pPr>
      <w:r>
        <w:t xml:space="preserve">2.1 Section-by-Section Findings Table</w:t>
      </w:r>
    </w:p>
    <w:p>
      <w:pPr>
        <w:pStyle w:val="FirstParagraph"/>
      </w:pPr>
      <w:r>
        <w:t xml:space="preserve">The following table records the audit result for each SRS section across all 6 documents. A result of</w:t>
      </w:r>
      <w:r>
        <w:t xml:space="preserve"> </w:t>
      </w:r>
      <w:r>
        <w:rPr>
          <w:b/>
          <w:bCs/>
        </w:rPr>
        <w:t xml:space="preserve">Verified</w:t>
      </w:r>
      <w:r>
        <w:t xml:space="preserve"> </w:t>
      </w:r>
      <w:r>
        <w:t xml:space="preserve">indicates the section passes all 6 IEEE 1012 criteria.</w:t>
      </w:r>
      <w:r>
        <w:t xml:space="preserve"> </w:t>
      </w:r>
      <w:r>
        <w:rPr>
          <w:b/>
          <w:bCs/>
        </w:rPr>
        <w:t xml:space="preserve">Anomaly</w:t>
      </w:r>
      <w:r>
        <w:t xml:space="preserve"> </w:t>
      </w:r>
      <w:r>
        <w:t xml:space="preserve">indicates a specific finding that requires resolution.</w:t>
      </w:r>
      <w:r>
        <w:t xml:space="preserve"> </w:t>
      </w:r>
      <w:r>
        <w:rPr>
          <w:b/>
          <w:bCs/>
        </w:rPr>
        <w:t xml:space="preserve">Deferred</w:t>
      </w:r>
      <w:r>
        <w:t xml:space="preserve"> </w:t>
      </w:r>
      <w:r>
        <w:t xml:space="preserve">indicates the section is internally correct but depends on an external data gap that must be resolved before the section can be fully verified.</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SRS Section</w:t>
            </w:r>
          </w:p>
        </w:tc>
        <w:tc>
          <w:tcPr/>
          <w:p>
            <w:pPr>
              <w:pStyle w:val="Compact"/>
            </w:pPr>
            <w:r>
              <w:t xml:space="preserve">Section Title</w:t>
            </w:r>
          </w:p>
        </w:tc>
        <w:tc>
          <w:tcPr/>
          <w:p>
            <w:pPr>
              <w:pStyle w:val="Compact"/>
            </w:pPr>
            <w:r>
              <w:t xml:space="preserve">Correctness</w:t>
            </w:r>
          </w:p>
        </w:tc>
        <w:tc>
          <w:tcPr/>
          <w:p>
            <w:pPr>
              <w:pStyle w:val="Compact"/>
            </w:pPr>
            <w:r>
              <w:t xml:space="preserve">Unambiguity</w:t>
            </w:r>
          </w:p>
        </w:tc>
        <w:tc>
          <w:tcPr/>
          <w:p>
            <w:pPr>
              <w:pStyle w:val="Compact"/>
            </w:pPr>
            <w:r>
              <w:t xml:space="preserve">Completeness</w:t>
            </w:r>
          </w:p>
        </w:tc>
        <w:tc>
          <w:tcPr/>
          <w:p>
            <w:pPr>
              <w:pStyle w:val="Compact"/>
            </w:pPr>
            <w:r>
              <w:t xml:space="preserve">Verifiability</w:t>
            </w:r>
          </w:p>
        </w:tc>
        <w:tc>
          <w:tcPr/>
          <w:p>
            <w:pPr>
              <w:pStyle w:val="Compact"/>
            </w:pPr>
            <w:r>
              <w:t xml:space="preserve">Consistency</w:t>
            </w:r>
          </w:p>
        </w:tc>
        <w:tc>
          <w:tcPr/>
          <w:p>
            <w:pPr>
              <w:pStyle w:val="Compact"/>
            </w:pPr>
            <w:r>
              <w:t xml:space="preserve">Traceability</w:t>
            </w:r>
          </w:p>
        </w:tc>
        <w:tc>
          <w:tcPr/>
          <w:p>
            <w:pPr>
              <w:pStyle w:val="Compact"/>
            </w:pPr>
            <w:r>
              <w:t xml:space="preserve">Audit Result</w:t>
            </w:r>
          </w:p>
        </w:tc>
        <w:tc>
          <w:tcPr/>
          <w:p>
            <w:pPr>
              <w:pStyle w:val="Compact"/>
            </w:pPr>
            <w:r>
              <w:t xml:space="preserve">Finding</w:t>
            </w:r>
          </w:p>
        </w:tc>
      </w:tr>
      <w:tr>
        <w:tc>
          <w:tcPr/>
          <w:p>
            <w:pPr>
              <w:pStyle w:val="Compact"/>
            </w:pPr>
            <w:r>
              <w:t xml:space="preserve">SRS-P1 §1</w:t>
            </w:r>
          </w:p>
        </w:tc>
        <w:tc>
          <w:tcPr/>
          <w:p>
            <w:pPr>
              <w:pStyle w:val="Compact"/>
            </w:pPr>
            <w:r>
              <w:t xml:space="preserve">Introduction and Scope</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Verified</w:t>
            </w:r>
          </w:p>
        </w:tc>
        <w:tc>
          <w:tcPr/>
          <w:p>
            <w:pPr>
              <w:pStyle w:val="Compact"/>
            </w:pPr>
            <w:r>
              <w:t xml:space="preserve">—</w:t>
            </w:r>
          </w:p>
        </w:tc>
      </w:tr>
      <w:tr>
        <w:tc>
          <w:tcPr/>
          <w:p>
            <w:pPr>
              <w:pStyle w:val="Compact"/>
            </w:pPr>
            <w:r>
              <w:t xml:space="preserve">SRS-P1 §2</w:t>
            </w:r>
          </w:p>
        </w:tc>
        <w:tc>
          <w:tcPr/>
          <w:p>
            <w:pPr>
              <w:pStyle w:val="Compact"/>
            </w:pPr>
            <w:r>
              <w:t xml:space="preserve">Overall Description</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Verified</w:t>
            </w:r>
          </w:p>
        </w:tc>
        <w:tc>
          <w:tcPr/>
          <w:p>
            <w:pPr>
              <w:pStyle w:val="Compact"/>
            </w:pPr>
            <w:r>
              <w:t xml:space="preserve">—</w:t>
            </w:r>
          </w:p>
        </w:tc>
      </w:tr>
      <w:tr>
        <w:tc>
          <w:tcPr/>
          <w:p>
            <w:pPr>
              <w:pStyle w:val="Compact"/>
            </w:pPr>
            <w:r>
              <w:t xml:space="preserve">SRS-P1 §3.1</w:t>
            </w:r>
          </w:p>
        </w:tc>
        <w:tc>
          <w:tcPr/>
          <w:p>
            <w:pPr>
              <w:pStyle w:val="Compact"/>
            </w:pPr>
            <w:r>
              <w:t xml:space="preserve">FR — Sales and Distribution</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Verified</w:t>
            </w:r>
          </w:p>
        </w:tc>
        <w:tc>
          <w:tcPr/>
          <w:p>
            <w:pPr>
              <w:pStyle w:val="Compact"/>
            </w:pPr>
            <w:r>
              <w:t xml:space="preserve">EFRIS integration FRs (FR-SAL-003, FR-SAL-012) are internally correct; test execution deferred pending GAP-001</w:t>
            </w:r>
          </w:p>
        </w:tc>
      </w:tr>
      <w:tr>
        <w:tc>
          <w:tcPr/>
          <w:p>
            <w:pPr>
              <w:pStyle w:val="Compact"/>
            </w:pPr>
            <w:r>
              <w:t xml:space="preserve">SRS-P1 §3.2</w:t>
            </w:r>
          </w:p>
        </w:tc>
        <w:tc>
          <w:tcPr/>
          <w:p>
            <w:pPr>
              <w:pStyle w:val="Compact"/>
            </w:pPr>
            <w:r>
              <w:t xml:space="preserve">FR — Point of Sale</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Verified</w:t>
            </w:r>
          </w:p>
        </w:tc>
        <w:tc>
          <w:tcPr/>
          <w:p>
            <w:pPr>
              <w:pStyle w:val="Compact"/>
            </w:pPr>
            <w:r>
              <w:t xml:space="preserve">Prossy cashier test (≤ 90 s) is a deterministic oracle; FEFO enforcement verifiable by TC</w:t>
            </w:r>
          </w:p>
        </w:tc>
      </w:tr>
      <w:tr>
        <w:tc>
          <w:tcPr/>
          <w:p>
            <w:pPr>
              <w:pStyle w:val="Compact"/>
            </w:pPr>
            <w:r>
              <w:t xml:space="preserve">SRS-P1 §3.3</w:t>
            </w:r>
          </w:p>
        </w:tc>
        <w:tc>
          <w:tcPr/>
          <w:p>
            <w:pPr>
              <w:pStyle w:val="Compact"/>
            </w:pPr>
            <w:r>
              <w:t xml:space="preserve">FR — Inventory and Warehouse Management</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Verified</w:t>
            </w:r>
          </w:p>
        </w:tc>
        <w:tc>
          <w:tcPr/>
          <w:p>
            <w:pPr>
              <w:pStyle w:val="Compact"/>
            </w:pPr>
            <w:r>
              <w:t xml:space="preserve">Dual-track separation enforceable; FEFO rule deterministic</w:t>
            </w:r>
          </w:p>
        </w:tc>
      </w:tr>
      <w:tr>
        <w:tc>
          <w:tcPr/>
          <w:p>
            <w:pPr>
              <w:pStyle w:val="Compact"/>
            </w:pPr>
            <w:r>
              <w:t xml:space="preserve">SRS-P1 §3.4</w:t>
            </w:r>
          </w:p>
        </w:tc>
        <w:tc>
          <w:tcPr/>
          <w:p>
            <w:pPr>
              <w:pStyle w:val="Compact"/>
            </w:pPr>
            <w:r>
              <w:t xml:space="preserve">FR — Agent Distribution Management</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Verified</w:t>
            </w:r>
          </w:p>
        </w:tc>
        <w:tc>
          <w:tcPr/>
          <w:p>
            <w:pPr>
              <w:pStyle w:val="Compact"/>
            </w:pPr>
            <w:r>
              <w:t xml:space="preserve">FIFO remittance stored procedure references a named artefact — verifiable by integration test</w:t>
            </w:r>
          </w:p>
        </w:tc>
      </w:tr>
      <w:tr>
        <w:tc>
          <w:tcPr/>
          <w:p>
            <w:pPr>
              <w:pStyle w:val="Compact"/>
            </w:pPr>
            <w:r>
              <w:t xml:space="preserve">SRS-P1 §4</w:t>
            </w:r>
          </w:p>
        </w:tc>
        <w:tc>
          <w:tcPr/>
          <w:p>
            <w:pPr>
              <w:pStyle w:val="Compact"/>
            </w:pPr>
            <w:r>
              <w:t xml:space="preserve">NFRs and Constraints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N/A</w:t>
            </w:r>
          </w:p>
        </w:tc>
        <w:tc>
          <w:tcPr/>
          <w:p>
            <w:pPr>
              <w:pStyle w:val="Compact"/>
            </w:pPr>
            <w:r>
              <w:rPr>
                <w:b/>
                <w:bCs/>
              </w:rPr>
              <w:t xml:space="preserve">Verified</w:t>
            </w:r>
          </w:p>
        </w:tc>
        <w:tc>
          <w:tcPr/>
          <w:p>
            <w:pPr>
              <w:pStyle w:val="Compact"/>
            </w:pPr>
            <w:r>
              <w:t xml:space="preserve">All NFR thresholds are numeric (ms, %, concurrent users) — measurable</w:t>
            </w:r>
          </w:p>
        </w:tc>
      </w:tr>
      <w:tr>
        <w:tc>
          <w:tcPr/>
          <w:p>
            <w:pPr>
              <w:pStyle w:val="Compact"/>
            </w:pPr>
            <w:r>
              <w:t xml:space="preserve">SRS-P2 §3.1</w:t>
            </w:r>
          </w:p>
        </w:tc>
        <w:tc>
          <w:tcPr/>
          <w:p>
            <w:pPr>
              <w:pStyle w:val="Compact"/>
            </w:pPr>
            <w:r>
              <w:t xml:space="preserve">FR — Financial Accounting and GL</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Verified</w:t>
            </w:r>
          </w:p>
        </w:tc>
        <w:tc>
          <w:tcPr/>
          <w:p>
            <w:pPr>
              <w:pStyle w:val="Compact"/>
            </w:pPr>
            <w:r>
              <w:t xml:space="preserve">Hash chain integrity (BR-013) is mathematically deterministic — verifiable</w:t>
            </w:r>
          </w:p>
        </w:tc>
      </w:tr>
      <w:tr>
        <w:tc>
          <w:tcPr/>
          <w:p>
            <w:pPr>
              <w:pStyle w:val="Compact"/>
            </w:pPr>
            <w:r>
              <w:t xml:space="preserve">SRS-P2 §3.2</w:t>
            </w:r>
          </w:p>
        </w:tc>
        <w:tc>
          <w:tcPr/>
          <w:p>
            <w:pPr>
              <w:pStyle w:val="Compact"/>
            </w:pPr>
            <w:r>
              <w:t xml:space="preserve">FR — Accounts Receivable</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Verified</w:t>
            </w:r>
          </w:p>
        </w:tc>
        <w:tc>
          <w:tcPr/>
          <w:p>
            <w:pPr>
              <w:pStyle w:val="Compact"/>
            </w:pPr>
            <w:r>
              <w:t xml:space="preserve">AR aging buckets are specific (30/60/90/120+ days) — no judgment required</w:t>
            </w:r>
          </w:p>
        </w:tc>
      </w:tr>
      <w:tr>
        <w:tc>
          <w:tcPr/>
          <w:p>
            <w:pPr>
              <w:pStyle w:val="Compact"/>
            </w:pPr>
            <w:r>
              <w:t xml:space="preserve">SRS-P2 §3.3</w:t>
            </w:r>
          </w:p>
        </w:tc>
        <w:tc>
          <w:tcPr/>
          <w:p>
            <w:pPr>
              <w:pStyle w:val="Compact"/>
            </w:pPr>
            <w:r>
              <w:t xml:space="preserve">FR — Accounts Payable</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Verified</w:t>
            </w:r>
          </w:p>
        </w:tc>
        <w:tc>
          <w:tcPr/>
          <w:p>
            <w:pPr>
              <w:pStyle w:val="Compact"/>
            </w:pPr>
            <w:r>
              <w:t xml:space="preserve">Three-way matching thresholds (5% price, 2% qty) are numeric and testable</w:t>
            </w:r>
          </w:p>
        </w:tc>
      </w:tr>
      <w:tr>
        <w:tc>
          <w:tcPr/>
          <w:p>
            <w:pPr>
              <w:pStyle w:val="Compact"/>
            </w:pPr>
            <w:r>
              <w:t xml:space="preserve">SRS-P2 §3.4</w:t>
            </w:r>
          </w:p>
        </w:tc>
        <w:tc>
          <w:tcPr/>
          <w:p>
            <w:pPr>
              <w:pStyle w:val="Compact"/>
            </w:pPr>
            <w:r>
              <w:t xml:space="preserve">FR — Budget Management</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Verified</w:t>
            </w:r>
          </w:p>
        </w:tc>
        <w:tc>
          <w:tcPr/>
          <w:p>
            <w:pPr>
              <w:pStyle w:val="Compact"/>
            </w:pPr>
            <w:r>
              <w:t xml:space="preserve">80% and 95% vote alert thresholds are numeric; Director override rule is deterministic</w:t>
            </w:r>
          </w:p>
        </w:tc>
      </w:tr>
      <w:tr>
        <w:tc>
          <w:tcPr/>
          <w:p>
            <w:pPr>
              <w:pStyle w:val="Compact"/>
            </w:pPr>
            <w:r>
              <w:t xml:space="preserve">SRS-P3 §3.1</w:t>
            </w:r>
          </w:p>
        </w:tc>
        <w:tc>
          <w:tcPr/>
          <w:p>
            <w:pPr>
              <w:pStyle w:val="Compact"/>
            </w:pPr>
            <w:r>
              <w:t xml:space="preserve">FR — Procurement and Purchasing</w:t>
            </w:r>
          </w:p>
        </w:tc>
        <w:tc>
          <w:tcPr/>
          <w:p>
            <w:pPr>
              <w:pStyle w:val="Compact"/>
            </w:pPr>
            <w:r>
              <w:t xml:space="preserve">Pass</w:t>
            </w:r>
          </w:p>
        </w:tc>
        <w:tc>
          <w:tcPr/>
          <w:p>
            <w:pPr>
              <w:pStyle w:val="Compact"/>
            </w:pPr>
            <w:r>
              <w:t xml:space="preserve">Pass</w:t>
            </w:r>
          </w:p>
        </w:tc>
        <w:tc>
          <w:tcPr/>
          <w:p>
            <w:pPr>
              <w:pStyle w:val="Compact"/>
            </w:pPr>
            <w:r>
              <w:rPr>
                <w:b/>
                <w:bCs/>
              </w:rPr>
              <w:t xml:space="preserve">Deferred</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Deferred</w:t>
            </w:r>
          </w:p>
        </w:tc>
        <w:tc>
          <w:tcPr/>
          <w:p>
            <w:pPr>
              <w:pStyle w:val="Compact"/>
            </w:pPr>
            <w:r>
              <w:t xml:space="preserve">PPDA threshold UGX values not confirmed [CONTEXT-GAP: GAP-007]; approval matrix tests cannot be validated without values</w:t>
            </w:r>
          </w:p>
        </w:tc>
      </w:tr>
      <w:tr>
        <w:tc>
          <w:tcPr/>
          <w:p>
            <w:pPr>
              <w:pStyle w:val="Compact"/>
            </w:pPr>
            <w:r>
              <w:t xml:space="preserve">SRS-P3 §3.2</w:t>
            </w:r>
          </w:p>
        </w:tc>
        <w:tc>
          <w:tcPr/>
          <w:p>
            <w:pPr>
              <w:pStyle w:val="Compact"/>
            </w:pPr>
            <w:r>
              <w:t xml:space="preserve">FR — Farmer and Cooperative Management</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Verified</w:t>
            </w:r>
          </w:p>
        </w:tc>
        <w:tc>
          <w:tcPr/>
          <w:p>
            <w:pPr>
              <w:pStyle w:val="Compact"/>
            </w:pPr>
            <w:r>
              <w:t xml:space="preserve">Farmer PII encryption requirement is testable; GPS format requirements deferred [CONTEXT-GAP: GAP-004]</w:t>
            </w:r>
          </w:p>
        </w:tc>
      </w:tr>
      <w:tr>
        <w:tc>
          <w:tcPr/>
          <w:p>
            <w:pPr>
              <w:pStyle w:val="Compact"/>
            </w:pPr>
            <w:r>
              <w:t xml:space="preserve">SRS-P4 §3.1</w:t>
            </w:r>
          </w:p>
        </w:tc>
        <w:tc>
          <w:tcPr/>
          <w:p>
            <w:pPr>
              <w:pStyle w:val="Compact"/>
            </w:pPr>
            <w:r>
              <w:t xml:space="preserve">FR — Manufacturing and Production</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Verified</w:t>
            </w:r>
          </w:p>
        </w:tc>
        <w:tc>
          <w:tcPr/>
          <w:p>
            <w:pPr>
              <w:pStyle w:val="Compact"/>
            </w:pPr>
            <w:r>
              <w:t xml:space="preserve">Mass balance equation (BR-008) and ±2% tolerance are mathematically deterministic</w:t>
            </w:r>
          </w:p>
        </w:tc>
      </w:tr>
      <w:tr>
        <w:tc>
          <w:tcPr/>
          <w:p>
            <w:pPr>
              <w:pStyle w:val="Compact"/>
            </w:pPr>
            <w:r>
              <w:t xml:space="preserve">SRS-P4 §3.2</w:t>
            </w:r>
          </w:p>
        </w:tc>
        <w:tc>
          <w:tcPr/>
          <w:p>
            <w:pPr>
              <w:pStyle w:val="Compact"/>
            </w:pPr>
            <w:r>
              <w:t xml:space="preserve">FR — Quality Control and Laboratory</w:t>
            </w:r>
          </w:p>
        </w:tc>
        <w:tc>
          <w:tcPr/>
          <w:p>
            <w:pPr>
              <w:pStyle w:val="Compact"/>
            </w:pPr>
            <w:r>
              <w:t xml:space="preserve">Pass</w:t>
            </w:r>
          </w:p>
        </w:tc>
        <w:tc>
          <w:tcPr/>
          <w:p>
            <w:pPr>
              <w:pStyle w:val="Compact"/>
            </w:pPr>
            <w:r>
              <w:t xml:space="preserve">Pass</w:t>
            </w:r>
          </w:p>
        </w:tc>
        <w:tc>
          <w:tcPr/>
          <w:p>
            <w:pPr>
              <w:pStyle w:val="Compact"/>
            </w:pPr>
            <w:r>
              <w:rPr>
                <w:b/>
                <w:bCs/>
              </w:rPr>
              <w:t xml:space="preserve">Deferred</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Deferred</w:t>
            </w:r>
          </w:p>
        </w:tc>
        <w:tc>
          <w:tcPr/>
          <w:p>
            <w:pPr>
              <w:pStyle w:val="Compact"/>
            </w:pPr>
            <w:r>
              <w:t xml:space="preserve">Export CoA market-specific parameters not confirmed [CONTEXT-GAP: GAP-010]; domestic QC is fully specified</w:t>
            </w:r>
          </w:p>
        </w:tc>
      </w:tr>
      <w:tr>
        <w:tc>
          <w:tcPr/>
          <w:p>
            <w:pPr>
              <w:pStyle w:val="Compact"/>
            </w:pPr>
            <w:r>
              <w:t xml:space="preserve">SRS-P5 §3.1</w:t>
            </w:r>
          </w:p>
        </w:tc>
        <w:tc>
          <w:tcPr/>
          <w:p>
            <w:pPr>
              <w:pStyle w:val="Compact"/>
            </w:pPr>
            <w:r>
              <w:t xml:space="preserve">FR — Human Resources</w:t>
            </w:r>
          </w:p>
        </w:tc>
        <w:tc>
          <w:tcPr/>
          <w:p>
            <w:pPr>
              <w:pStyle w:val="Compact"/>
            </w:pPr>
            <w:r>
              <w:t xml:space="preserve">Pass</w:t>
            </w:r>
          </w:p>
        </w:tc>
        <w:tc>
          <w:tcPr/>
          <w:p>
            <w:pPr>
              <w:pStyle w:val="Compact"/>
            </w:pPr>
            <w:r>
              <w:t xml:space="preserve">Pass</w:t>
            </w:r>
          </w:p>
        </w:tc>
        <w:tc>
          <w:tcPr/>
          <w:p>
            <w:pPr>
              <w:pStyle w:val="Compact"/>
            </w:pPr>
            <w:r>
              <w:rPr>
                <w:b/>
                <w:bCs/>
              </w:rPr>
              <w:t xml:space="preserve">Deferred</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Deferred</w:t>
            </w:r>
          </w:p>
        </w:tc>
        <w:tc>
          <w:tcPr/>
          <w:p>
            <w:pPr>
              <w:pStyle w:val="Compact"/>
            </w:pPr>
            <w:r>
              <w:t xml:space="preserve">ZKTeco biometric device model not confirmed [CONTEXT-GAP: GAP-005]; manual HR lifecycle FRs are fully verifiable</w:t>
            </w:r>
          </w:p>
        </w:tc>
      </w:tr>
      <w:tr>
        <w:tc>
          <w:tcPr/>
          <w:p>
            <w:pPr>
              <w:pStyle w:val="Compact"/>
            </w:pPr>
            <w:r>
              <w:t xml:space="preserve">SRS-P5 §3.2</w:t>
            </w:r>
          </w:p>
        </w:tc>
        <w:tc>
          <w:tcPr/>
          <w:p>
            <w:pPr>
              <w:pStyle w:val="Compact"/>
            </w:pPr>
            <w:r>
              <w:t xml:space="preserve">FR — Payroll</w:t>
            </w:r>
          </w:p>
        </w:tc>
        <w:tc>
          <w:tcPr/>
          <w:p>
            <w:pPr>
              <w:pStyle w:val="Compact"/>
            </w:pPr>
            <w:r>
              <w:t xml:space="preserve">Pass</w:t>
            </w:r>
          </w:p>
        </w:tc>
        <w:tc>
          <w:tcPr/>
          <w:p>
            <w:pPr>
              <w:pStyle w:val="Compact"/>
            </w:pPr>
            <w:r>
              <w:t xml:space="preserve">Pass</w:t>
            </w:r>
          </w:p>
        </w:tc>
        <w:tc>
          <w:tcPr/>
          <w:p>
            <w:pPr>
              <w:pStyle w:val="Compact"/>
            </w:pPr>
            <w:r>
              <w:rPr>
                <w:b/>
                <w:bCs/>
              </w:rPr>
              <w:t xml:space="preserve">Deferred</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Deferred</w:t>
            </w:r>
          </w:p>
        </w:tc>
        <w:tc>
          <w:tcPr/>
          <w:p>
            <w:pPr>
              <w:pStyle w:val="Compact"/>
            </w:pPr>
            <w:r>
              <w:t xml:space="preserve">PAYE tax band values not confirmed [CONTEXT-GAP: GAP-008]; payroll calculation structure is correct; values are configuration-dependent</w:t>
            </w:r>
          </w:p>
        </w:tc>
      </w:tr>
      <w:tr>
        <w:tc>
          <w:tcPr/>
          <w:p>
            <w:pPr>
              <w:pStyle w:val="Compact"/>
            </w:pPr>
            <w:r>
              <w:t xml:space="preserve">SRS-P6 §3.1</w:t>
            </w:r>
          </w:p>
        </w:tc>
        <w:tc>
          <w:tcPr/>
          <w:p>
            <w:pPr>
              <w:pStyle w:val="Compact"/>
            </w:pPr>
            <w:r>
              <w:t xml:space="preserve">FR — Research and Development</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Verified</w:t>
            </w:r>
          </w:p>
        </w:tc>
        <w:tc>
          <w:tcPr/>
          <w:p>
            <w:pPr>
              <w:pStyle w:val="Compact"/>
            </w:pPr>
            <w:r>
              <w:t xml:space="preserve">R&amp;D module is informational; no regulatory dependencies</w:t>
            </w:r>
          </w:p>
        </w:tc>
      </w:tr>
      <w:tr>
        <w:tc>
          <w:tcPr/>
          <w:p>
            <w:pPr>
              <w:pStyle w:val="Compact"/>
            </w:pPr>
            <w:r>
              <w:t xml:space="preserve">SRS-P6 §3.2</w:t>
            </w:r>
          </w:p>
        </w:tc>
        <w:tc>
          <w:tcPr/>
          <w:p>
            <w:pPr>
              <w:pStyle w:val="Compact"/>
            </w:pPr>
            <w:r>
              <w:t xml:space="preserve">FR — Administration and PPDA Compliance</w:t>
            </w:r>
          </w:p>
        </w:tc>
        <w:tc>
          <w:tcPr/>
          <w:p>
            <w:pPr>
              <w:pStyle w:val="Compact"/>
            </w:pPr>
            <w:r>
              <w:t xml:space="preserve">Pass</w:t>
            </w:r>
          </w:p>
        </w:tc>
        <w:tc>
          <w:tcPr/>
          <w:p>
            <w:pPr>
              <w:pStyle w:val="Compact"/>
            </w:pPr>
            <w:r>
              <w:t xml:space="preserve">Pass</w:t>
            </w:r>
          </w:p>
        </w:tc>
        <w:tc>
          <w:tcPr/>
          <w:p>
            <w:pPr>
              <w:pStyle w:val="Compact"/>
            </w:pPr>
            <w:r>
              <w:rPr>
                <w:b/>
                <w:bCs/>
              </w:rPr>
              <w:t xml:space="preserve">Deferred</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Deferred</w:t>
            </w:r>
          </w:p>
        </w:tc>
        <w:tc>
          <w:tcPr/>
          <w:p>
            <w:pPr>
              <w:pStyle w:val="Compact"/>
            </w:pPr>
            <w:r>
              <w:t xml:space="preserve">Same PPDA threshold dependency as SRS-P3 [CONTEXT-GAP: GAP-007]</w:t>
            </w:r>
          </w:p>
        </w:tc>
      </w:tr>
      <w:tr>
        <w:tc>
          <w:tcPr/>
          <w:p>
            <w:pPr>
              <w:pStyle w:val="Compact"/>
            </w:pPr>
            <w:r>
              <w:t xml:space="preserve">SRS-P6 §3.3</w:t>
            </w:r>
          </w:p>
        </w:tc>
        <w:tc>
          <w:tcPr/>
          <w:p>
            <w:pPr>
              <w:pStyle w:val="Compact"/>
            </w:pPr>
            <w:r>
              <w:t xml:space="preserve">FR — System Administration and IT</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Verified</w:t>
            </w:r>
          </w:p>
        </w:tc>
        <w:tc>
          <w:tcPr/>
          <w:p>
            <w:pPr>
              <w:pStyle w:val="Compact"/>
            </w:pPr>
            <w:r>
              <w:t xml:space="preserve">8-layer authorisation model is fully specified; data sovereignty requirement is testable</w:t>
            </w:r>
          </w:p>
        </w:tc>
      </w:tr>
      <w:tr>
        <w:tc>
          <w:tcPr/>
          <w:p>
            <w:pPr>
              <w:pStyle w:val="Compact"/>
            </w:pPr>
            <w:r>
              <w:t xml:space="preserve">RTM</w:t>
            </w:r>
          </w:p>
        </w:tc>
        <w:tc>
          <w:tcPr/>
          <w:p>
            <w:pPr>
              <w:pStyle w:val="Compact"/>
            </w:pPr>
            <w:r>
              <w:t xml:space="preserve">Requirements Traceability Matrix</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rPr>
                <w:b/>
                <w:bCs/>
              </w:rPr>
              <w:t xml:space="preserve">Verified</w:t>
            </w:r>
          </w:p>
        </w:tc>
        <w:tc>
          <w:tcPr/>
          <w:p>
            <w:pPr>
              <w:pStyle w:val="Compact"/>
            </w:pPr>
            <w:r>
              <w:t xml:space="preserve">All 213 FRs traced; 1 partial BR coverage noted (BR-018 — recommended FR addition)</w:t>
            </w:r>
          </w:p>
        </w:tc>
      </w:tr>
    </w:tbl>
    <w:p>
      <w:pPr>
        <w:pStyle w:val="BodyText"/>
      </w:pPr>
      <w:r>
        <w:rPr>
          <w:b/>
          <w:bCs/>
        </w:rPr>
        <w:t xml:space="preserve">Summary:</w:t>
      </w:r>
      <w:r>
        <w:t xml:space="preserve"> </w:t>
      </w:r>
      <w:r>
        <w:t xml:space="preserve">15 sections Verified; 5 sections Deferred (external data gaps only); 0 sections with internal consistency Anomalies.</w:t>
      </w:r>
    </w:p>
    <w:bookmarkEnd w:id="23"/>
    <w:bookmarkStart w:id="24" w:name="X4d4df9f4a5053a5bb0e5b139eddaba9ec71ebc7"/>
    <w:p>
      <w:pPr>
        <w:pStyle w:val="Heading2"/>
      </w:pPr>
      <w:r>
        <w:t xml:space="preserve">2.2 Correctness Check — Requirements Against Stakeholder Intent</w:t>
      </w:r>
    </w:p>
    <w:p>
      <w:pPr>
        <w:pStyle w:val="FirstParagraph"/>
      </w:pPr>
      <w:r>
        <w:t xml:space="preserve">Correctness is evaluated by comparing each group of FRs against the documented stakeholder intent in</w:t>
      </w:r>
      <w:r>
        <w:t xml:space="preserve"> </w:t>
      </w:r>
      <w:r>
        <w:rPr>
          <w:rStyle w:val="VerbatimChar"/>
        </w:rPr>
        <w:t xml:space="preserve">_context/vision.md</w:t>
      </w:r>
      <w:r>
        <w:t xml:space="preserve">,</w:t>
      </w:r>
      <w:r>
        <w:t xml:space="preserve"> </w:t>
      </w:r>
      <w:r>
        <w:rPr>
          <w:rStyle w:val="VerbatimChar"/>
        </w:rPr>
        <w:t xml:space="preserve">_context/stakeholders.md</w:t>
      </w:r>
      <w:r>
        <w:t xml:space="preserve">, and</w:t>
      </w:r>
      <w:r>
        <w:t xml:space="preserve"> </w:t>
      </w:r>
      <w:r>
        <w:rPr>
          <w:rStyle w:val="VerbatimChar"/>
        </w:rPr>
        <w:t xml:space="preserve">_context/features.md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Stakeholder</w:t>
            </w:r>
          </w:p>
        </w:tc>
        <w:tc>
          <w:tcPr/>
          <w:p>
            <w:pPr>
              <w:pStyle w:val="Compact"/>
            </w:pPr>
            <w:r>
              <w:t xml:space="preserve">Stated Intent</w:t>
            </w:r>
          </w:p>
        </w:tc>
        <w:tc>
          <w:tcPr/>
          <w:p>
            <w:pPr>
              <w:pStyle w:val="Compact"/>
            </w:pPr>
            <w:r>
              <w:t xml:space="preserve">FR Coverage</w:t>
            </w:r>
          </w:p>
        </w:tc>
        <w:tc>
          <w:tcPr/>
          <w:p>
            <w:pPr>
              <w:pStyle w:val="Compact"/>
            </w:pPr>
            <w:r>
              <w:t xml:space="preserve">Correctness Verdict</w:t>
            </w:r>
          </w:p>
        </w:tc>
      </w:tr>
      <w:tr>
        <w:tc>
          <w:tcPr/>
          <w:p>
            <w:pPr>
              <w:pStyle w:val="Compact"/>
            </w:pPr>
            <w:r>
              <w:t xml:space="preserve">STK-001 BIRDC Director</w:t>
            </w:r>
          </w:p>
        </w:tc>
        <w:tc>
          <w:tcPr/>
          <w:p>
            <w:pPr>
              <w:pStyle w:val="Compact"/>
            </w:pPr>
            <w:r>
              <w:t xml:space="preserve">System covers all 17 operational domains; government accountability met</w:t>
            </w:r>
          </w:p>
        </w:tc>
        <w:tc>
          <w:tcPr/>
          <w:p>
            <w:pPr>
              <w:pStyle w:val="Compact"/>
            </w:pPr>
            <w:r>
              <w:t xml:space="preserve">213 FRs across 17 modules; audit trail and PPDA compliance built in</w:t>
            </w:r>
          </w:p>
        </w:tc>
        <w:tc>
          <w:tcPr/>
          <w:p>
            <w:pPr>
              <w:pStyle w:val="Compact"/>
            </w:pPr>
            <w:r>
              <w:t xml:space="preserve">Pass</w:t>
            </w:r>
          </w:p>
        </w:tc>
      </w:tr>
      <w:tr>
        <w:tc>
          <w:tcPr/>
          <w:p>
            <w:pPr>
              <w:pStyle w:val="Compact"/>
            </w:pPr>
            <w:r>
              <w:t xml:space="preserve">STK-002 Finance Director</w:t>
            </w:r>
          </w:p>
        </w:tc>
        <w:tc>
          <w:tcPr/>
          <w:p>
            <w:pPr>
              <w:pStyle w:val="Compact"/>
            </w:pPr>
            <w:r>
              <w:t xml:space="preserve">Dual-mode accounting integrity; ICPAU compliance; audit readiness</w:t>
            </w:r>
          </w:p>
        </w:tc>
        <w:tc>
          <w:tcPr/>
          <w:p>
            <w:pPr>
              <w:pStyle w:val="Compact"/>
            </w:pPr>
            <w:r>
              <w:t xml:space="preserve">FR-FIN-001 through FR-FIN-012; FR-BUD-001 through FR-BUD-006; hash chain (FR-FIN-007)</w:t>
            </w:r>
          </w:p>
        </w:tc>
        <w:tc>
          <w:tcPr/>
          <w:p>
            <w:pPr>
              <w:pStyle w:val="Compact"/>
            </w:pPr>
            <w:r>
              <w:t xml:space="preserve">Pass</w:t>
            </w:r>
          </w:p>
        </w:tc>
      </w:tr>
      <w:tr>
        <w:tc>
          <w:tcPr/>
          <w:p>
            <w:pPr>
              <w:pStyle w:val="Compact"/>
            </w:pPr>
            <w:r>
              <w:t xml:space="preserve">STK-004 Parliament Budget Committee</w:t>
            </w:r>
          </w:p>
        </w:tc>
        <w:tc>
          <w:tcPr/>
          <w:p>
            <w:pPr>
              <w:pStyle w:val="Compact"/>
            </w:pPr>
            <w:r>
              <w:t xml:space="preserve">Parliamentary accountability for UGX 200B investment</w:t>
            </w:r>
          </w:p>
        </w:tc>
        <w:tc>
          <w:tcPr/>
          <w:p>
            <w:pPr>
              <w:pStyle w:val="Compact"/>
            </w:pPr>
            <w:r>
              <w:t xml:space="preserve">FR-BUD-001, FR-BUD-003, FR-ADM-002, FR-ADM-003; OAG audit readiness (FR-SYS-003, FR-SYS-004)</w:t>
            </w:r>
          </w:p>
        </w:tc>
        <w:tc>
          <w:tcPr/>
          <w:p>
            <w:pPr>
              <w:pStyle w:val="Compact"/>
            </w:pPr>
            <w:r>
              <w:t xml:space="preserve">Pass</w:t>
            </w:r>
          </w:p>
        </w:tc>
      </w:tr>
      <w:tr>
        <w:tc>
          <w:tcPr/>
          <w:p>
            <w:pPr>
              <w:pStyle w:val="Compact"/>
            </w:pPr>
            <w:r>
              <w:t xml:space="preserve">STK-006 Sales Manager</w:t>
            </w:r>
          </w:p>
        </w:tc>
        <w:tc>
          <w:tcPr/>
          <w:p>
            <w:pPr>
              <w:pStyle w:val="Compact"/>
            </w:pPr>
            <w:r>
              <w:t xml:space="preserve">Real-time agent performance; EFRIS compliance; commission accuracy</w:t>
            </w:r>
          </w:p>
        </w:tc>
        <w:tc>
          <w:tcPr/>
          <w:p>
            <w:pPr>
              <w:pStyle w:val="Compact"/>
            </w:pPr>
            <w:r>
              <w:t xml:space="preserve">FR-AGT-002, FR-AGT-005, FR-AGT-008, FR-SAL-003</w:t>
            </w:r>
          </w:p>
        </w:tc>
        <w:tc>
          <w:tcPr/>
          <w:p>
            <w:pPr>
              <w:pStyle w:val="Compact"/>
            </w:pPr>
            <w:r>
              <w:t xml:space="preserve">Pass — EFRIS deferred on GAP-001</w:t>
            </w:r>
          </w:p>
        </w:tc>
      </w:tr>
      <w:tr>
        <w:tc>
          <w:tcPr/>
          <w:p>
            <w:pPr>
              <w:pStyle w:val="Compact"/>
            </w:pPr>
            <w:r>
              <w:t xml:space="preserve">STK-007 Procurement Manager</w:t>
            </w:r>
          </w:p>
        </w:tc>
        <w:tc>
          <w:tcPr/>
          <w:p>
            <w:pPr>
              <w:pStyle w:val="Compact"/>
            </w:pPr>
            <w:r>
              <w:t xml:space="preserve">PPDA compliance; farmer procurement</w:t>
            </w:r>
          </w:p>
        </w:tc>
        <w:tc>
          <w:tcPr/>
          <w:p>
            <w:pPr>
              <w:pStyle w:val="Compact"/>
            </w:pPr>
            <w:r>
              <w:t xml:space="preserve">FR-PRO-001 through FR-PRO-012</w:t>
            </w:r>
          </w:p>
        </w:tc>
        <w:tc>
          <w:tcPr/>
          <w:p>
            <w:pPr>
              <w:pStyle w:val="Compact"/>
            </w:pPr>
            <w:r>
              <w:t xml:space="preserve">Deferred — GAP-007</w:t>
            </w:r>
          </w:p>
        </w:tc>
      </w:tr>
      <w:tr>
        <w:tc>
          <w:tcPr/>
          <w:p>
            <w:pPr>
              <w:pStyle w:val="Compact"/>
            </w:pPr>
            <w:r>
              <w:t xml:space="preserve">STK-009 Production Manager</w:t>
            </w:r>
          </w:p>
        </w:tc>
        <w:tc>
          <w:tcPr/>
          <w:p>
            <w:pPr>
              <w:pStyle w:val="Compact"/>
            </w:pPr>
            <w:r>
              <w:t xml:space="preserve">Mass balance; circular economy</w:t>
            </w:r>
          </w:p>
        </w:tc>
        <w:tc>
          <w:tcPr/>
          <w:p>
            <w:pPr>
              <w:pStyle w:val="Compact"/>
            </w:pPr>
            <w:r>
              <w:t xml:space="preserve">FR-MFG-003, FR-MFG-010, FR-MFG-002</w:t>
            </w:r>
          </w:p>
        </w:tc>
        <w:tc>
          <w:tcPr/>
          <w:p>
            <w:pPr>
              <w:pStyle w:val="Compact"/>
            </w:pPr>
            <w:r>
              <w:t xml:space="preserve">Pass</w:t>
            </w:r>
          </w:p>
        </w:tc>
      </w:tr>
      <w:tr>
        <w:tc>
          <w:tcPr/>
          <w:p>
            <w:pPr>
              <w:pStyle w:val="Compact"/>
            </w:pPr>
            <w:r>
              <w:t xml:space="preserve">STK-026 OAG Uganda</w:t>
            </w:r>
          </w:p>
        </w:tc>
        <w:tc>
          <w:tcPr/>
          <w:p>
            <w:pPr>
              <w:pStyle w:val="Compact"/>
            </w:pPr>
            <w:r>
              <w:t xml:space="preserve">Full audit trail; 7-year retention</w:t>
            </w:r>
          </w:p>
        </w:tc>
        <w:tc>
          <w:tcPr/>
          <w:p>
            <w:pPr>
              <w:pStyle w:val="Compact"/>
            </w:pPr>
            <w:r>
              <w:t xml:space="preserve">FR-SYS-003, FR-SYS-004, FR-FIN-007</w:t>
            </w:r>
          </w:p>
        </w:tc>
        <w:tc>
          <w:tcPr/>
          <w:p>
            <w:pPr>
              <w:pStyle w:val="Compact"/>
            </w:pPr>
            <w:r>
              <w:t xml:space="preserve">Pass</w:t>
            </w:r>
          </w:p>
        </w:tc>
      </w:tr>
      <w:tr>
        <w:tc>
          <w:tcPr/>
          <w:p>
            <w:pPr>
              <w:pStyle w:val="Compact"/>
            </w:pPr>
            <w:r>
              <w:t xml:space="preserve">STK-027 PPDA</w:t>
            </w:r>
          </w:p>
        </w:tc>
        <w:tc>
          <w:tcPr/>
          <w:p>
            <w:pPr>
              <w:pStyle w:val="Compact"/>
            </w:pPr>
            <w:r>
              <w:t xml:space="preserve">Procurement documentation</w:t>
            </w:r>
          </w:p>
        </w:tc>
        <w:tc>
          <w:tcPr/>
          <w:p>
            <w:pPr>
              <w:pStyle w:val="Compact"/>
            </w:pPr>
            <w:r>
              <w:t xml:space="preserve">FR-PRO-001, FR-PRO-002, FR-PRO-003, FR-ADM-001 through FR-ADM-003</w:t>
            </w:r>
          </w:p>
        </w:tc>
        <w:tc>
          <w:tcPr/>
          <w:p>
            <w:pPr>
              <w:pStyle w:val="Compact"/>
            </w:pPr>
            <w:r>
              <w:t xml:space="preserve">Deferred — GAP-007</w:t>
            </w:r>
          </w:p>
        </w:tc>
      </w:tr>
    </w:tbl>
    <w:bookmarkEnd w:id="24"/>
    <w:bookmarkStart w:id="25" w:name="X37bf71f9713e3e772f23c5ccbf8943df39e6175"/>
    <w:p>
      <w:pPr>
        <w:pStyle w:val="Heading2"/>
      </w:pPr>
      <w:r>
        <w:t xml:space="preserve">2.3 Consistency Check — Terminology</w:t>
      </w:r>
    </w:p>
    <w:p>
      <w:pPr>
        <w:pStyle w:val="FirstParagraph"/>
      </w:pPr>
      <w:r>
        <w:t xml:space="preserve">A cross-document terminology audit was conducted against</w:t>
      </w:r>
      <w:r>
        <w:t xml:space="preserve"> </w:t>
      </w:r>
      <w:r>
        <w:rPr>
          <w:rStyle w:val="VerbatimChar"/>
        </w:rPr>
        <w:t xml:space="preserve">_context/glossary.md</w:t>
      </w:r>
      <w:r>
        <w:t xml:space="preserve">. All 54 terms in the glossary were searched across all 6 SRS documents and this RTM.</w:t>
      </w:r>
    </w:p>
    <w:p>
      <w:pPr>
        <w:pStyle w:val="BodyText"/>
      </w:pPr>
      <w:r>
        <w:rPr>
          <w:b/>
          <w:bCs/>
        </w:rPr>
        <w:t xml:space="preserve">Result:</w:t>
      </w:r>
      <w:r>
        <w:t xml:space="preserve"> </w:t>
      </w:r>
      <w:r>
        <w:t xml:space="preserve">Terminology is consistent across all documents. The following terms are used uniformly throughout the suite:</w:t>
      </w:r>
    </w:p>
    <w:p>
      <w:pPr>
        <w:pStyle w:val="Compact"/>
        <w:numPr>
          <w:ilvl w:val="0"/>
          <w:numId w:val="1002"/>
        </w:numPr>
      </w:pPr>
      <w:r>
        <w:t xml:space="preserve">"Agent Cash Balance," "Agent Stock Balance," "Dual-Track Inventory," and "FIFO" are used consistently per glossary definitions.</w:t>
      </w:r>
    </w:p>
    <w:p>
      <w:pPr>
        <w:pStyle w:val="Compact"/>
        <w:numPr>
          <w:ilvl w:val="0"/>
          <w:numId w:val="1002"/>
        </w:numPr>
      </w:pPr>
      <w:r>
        <w:t xml:space="preserve">"EFRIS," "FDN," "PAYE," "NSSF," "WHT," "PPDA," "OAG," "CoA," "NIN," and "JE" are all defined in the glossary and used consistently.</w:t>
      </w:r>
    </w:p>
    <w:p>
      <w:pPr>
        <w:pStyle w:val="Compact"/>
        <w:numPr>
          <w:ilvl w:val="0"/>
          <w:numId w:val="1002"/>
        </w:numPr>
      </w:pPr>
      <w:r>
        <w:t xml:space="preserve">"Mass Balance" is defined and used uniformly in both the manufacturing and circular economy sections.</w:t>
      </w:r>
    </w:p>
    <w:p>
      <w:pPr>
        <w:pStyle w:val="Compact"/>
        <w:numPr>
          <w:ilvl w:val="0"/>
          <w:numId w:val="1002"/>
        </w:numPr>
      </w:pPr>
      <w:r>
        <w:t xml:space="preserve">"Imprest" is defined and used in the business rules; the corresponding FR gap (BR-018) is a coverage gap, not a terminology inconsistency.</w:t>
      </w:r>
    </w:p>
    <w:p>
      <w:pPr>
        <w:pStyle w:val="FirstParagraph"/>
      </w:pPr>
      <w:r>
        <w:rPr>
          <w:b/>
          <w:bCs/>
        </w:rPr>
        <w:t xml:space="preserve">Consistency Verdict:</w:t>
      </w:r>
      <w:r>
        <w:t xml:space="preserve"> </w:t>
      </w:r>
      <w:r>
        <w:t xml:space="preserve">Pass — no terminology conflicts detected across the 6 SRS documents.</w:t>
      </w:r>
    </w:p>
    <w:bookmarkEnd w:id="25"/>
    <w:bookmarkStart w:id="28" w:name="X319048fb7f1125fbc4cf31416e374b127fab952"/>
    <w:p>
      <w:pPr>
        <w:pStyle w:val="Heading2"/>
      </w:pPr>
      <w:r>
        <w:t xml:space="preserve">2.4 Completeness Check</w:t>
      </w:r>
    </w:p>
    <w:bookmarkStart w:id="26" w:name="X33bfb9f52895b8a1eb7a0cddc5f0b7d5b721661"/>
    <w:p>
      <w:pPr>
        <w:pStyle w:val="Heading3"/>
      </w:pPr>
      <w:r>
        <w:t xml:space="preserve">2.4.1 Feature Coverage (19 Features)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Module</w:t>
            </w:r>
          </w:p>
        </w:tc>
        <w:tc>
          <w:tcPr/>
          <w:p>
            <w:pPr>
              <w:pStyle w:val="Compact"/>
            </w:pPr>
            <w:r>
              <w:t xml:space="preserve">SRS Document</w:t>
            </w:r>
          </w:p>
        </w:tc>
        <w:tc>
          <w:tcPr/>
          <w:p>
            <w:pPr>
              <w:pStyle w:val="Compact"/>
            </w:pPr>
            <w:r>
              <w:t xml:space="preserve">Covered</w:t>
            </w:r>
          </w:p>
        </w:tc>
      </w:tr>
      <w:tr>
        <w:tc>
          <w:tcPr/>
          <w:p>
            <w:pPr>
              <w:pStyle w:val="Compact"/>
            </w:pPr>
            <w:r>
              <w:t xml:space="preserve">F-001 Sales and Distribution</w:t>
            </w:r>
          </w:p>
        </w:tc>
        <w:tc>
          <w:tcPr/>
          <w:p>
            <w:pPr>
              <w:pStyle w:val="Compact"/>
            </w:pPr>
            <w:r>
              <w:t xml:space="preserve">SAL</w:t>
            </w:r>
          </w:p>
        </w:tc>
        <w:tc>
          <w:tcPr/>
          <w:p>
            <w:pPr>
              <w:pStyle w:val="Compact"/>
            </w:pPr>
            <w:r>
              <w:t xml:space="preserve">SRS-P1</w:t>
            </w:r>
          </w:p>
        </w:tc>
        <w:tc>
          <w:tcPr/>
          <w:p>
            <w:pPr>
              <w:pStyle w:val="Compact"/>
            </w:pPr>
            <w:r>
              <w:t xml:space="preserve">Yes</w:t>
            </w:r>
          </w:p>
        </w:tc>
      </w:tr>
      <w:tr>
        <w:tc>
          <w:tcPr/>
          <w:p>
            <w:pPr>
              <w:pStyle w:val="Compact"/>
            </w:pPr>
            <w:r>
              <w:t xml:space="preserve">F-002 Point of Sale</w:t>
            </w:r>
          </w:p>
        </w:tc>
        <w:tc>
          <w:tcPr/>
          <w:p>
            <w:pPr>
              <w:pStyle w:val="Compact"/>
            </w:pPr>
            <w:r>
              <w:t xml:space="preserve">POS</w:t>
            </w:r>
          </w:p>
        </w:tc>
        <w:tc>
          <w:tcPr/>
          <w:p>
            <w:pPr>
              <w:pStyle w:val="Compact"/>
            </w:pPr>
            <w:r>
              <w:t xml:space="preserve">SRS-P1</w:t>
            </w:r>
          </w:p>
        </w:tc>
        <w:tc>
          <w:tcPr/>
          <w:p>
            <w:pPr>
              <w:pStyle w:val="Compact"/>
            </w:pPr>
            <w:r>
              <w:t xml:space="preserve">Yes</w:t>
            </w:r>
          </w:p>
        </w:tc>
      </w:tr>
      <w:tr>
        <w:tc>
          <w:tcPr/>
          <w:p>
            <w:pPr>
              <w:pStyle w:val="Compact"/>
            </w:pPr>
            <w:r>
              <w:t xml:space="preserve">F-003 Inventory and Warehouse</w:t>
            </w:r>
          </w:p>
        </w:tc>
        <w:tc>
          <w:tcPr/>
          <w:p>
            <w:pPr>
              <w:pStyle w:val="Compact"/>
            </w:pPr>
            <w:r>
              <w:t xml:space="preserve">INV</w:t>
            </w:r>
          </w:p>
        </w:tc>
        <w:tc>
          <w:tcPr/>
          <w:p>
            <w:pPr>
              <w:pStyle w:val="Compact"/>
            </w:pPr>
            <w:r>
              <w:t xml:space="preserve">SRS-P1</w:t>
            </w:r>
          </w:p>
        </w:tc>
        <w:tc>
          <w:tcPr/>
          <w:p>
            <w:pPr>
              <w:pStyle w:val="Compact"/>
            </w:pPr>
            <w:r>
              <w:t xml:space="preserve">Yes</w:t>
            </w:r>
          </w:p>
        </w:tc>
      </w:tr>
      <w:tr>
        <w:tc>
          <w:tcPr/>
          <w:p>
            <w:pPr>
              <w:pStyle w:val="Compact"/>
            </w:pPr>
            <w:r>
              <w:t xml:space="preserve">F-004 Agent Distribution</w:t>
            </w:r>
          </w:p>
        </w:tc>
        <w:tc>
          <w:tcPr/>
          <w:p>
            <w:pPr>
              <w:pStyle w:val="Compact"/>
            </w:pPr>
            <w:r>
              <w:t xml:space="preserve">AGT</w:t>
            </w:r>
          </w:p>
        </w:tc>
        <w:tc>
          <w:tcPr/>
          <w:p>
            <w:pPr>
              <w:pStyle w:val="Compact"/>
            </w:pPr>
            <w:r>
              <w:t xml:space="preserve">SRS-P1</w:t>
            </w:r>
          </w:p>
        </w:tc>
        <w:tc>
          <w:tcPr/>
          <w:p>
            <w:pPr>
              <w:pStyle w:val="Compact"/>
            </w:pPr>
            <w:r>
              <w:t xml:space="preserve">Yes</w:t>
            </w:r>
          </w:p>
        </w:tc>
      </w:tr>
      <w:tr>
        <w:tc>
          <w:tcPr/>
          <w:p>
            <w:pPr>
              <w:pStyle w:val="Compact"/>
            </w:pPr>
            <w:r>
              <w:t xml:space="preserve">F-005 Financial Accounting and GL</w:t>
            </w:r>
          </w:p>
        </w:tc>
        <w:tc>
          <w:tcPr/>
          <w:p>
            <w:pPr>
              <w:pStyle w:val="Compact"/>
            </w:pPr>
            <w:r>
              <w:t xml:space="preserve">FIN</w:t>
            </w:r>
          </w:p>
        </w:tc>
        <w:tc>
          <w:tcPr/>
          <w:p>
            <w:pPr>
              <w:pStyle w:val="Compact"/>
            </w:pPr>
            <w:r>
              <w:t xml:space="preserve">SRS-P2</w:t>
            </w:r>
          </w:p>
        </w:tc>
        <w:tc>
          <w:tcPr/>
          <w:p>
            <w:pPr>
              <w:pStyle w:val="Compact"/>
            </w:pPr>
            <w:r>
              <w:t xml:space="preserve">Yes</w:t>
            </w:r>
          </w:p>
        </w:tc>
      </w:tr>
      <w:tr>
        <w:tc>
          <w:tcPr/>
          <w:p>
            <w:pPr>
              <w:pStyle w:val="Compact"/>
            </w:pPr>
            <w:r>
              <w:t xml:space="preserve">F-006 Accounts Receivable</w:t>
            </w:r>
          </w:p>
        </w:tc>
        <w:tc>
          <w:tcPr/>
          <w:p>
            <w:pPr>
              <w:pStyle w:val="Compact"/>
            </w:pPr>
            <w:r>
              <w:t xml:space="preserve">AR</w:t>
            </w:r>
          </w:p>
        </w:tc>
        <w:tc>
          <w:tcPr/>
          <w:p>
            <w:pPr>
              <w:pStyle w:val="Compact"/>
            </w:pPr>
            <w:r>
              <w:t xml:space="preserve">SRS-P2</w:t>
            </w:r>
          </w:p>
        </w:tc>
        <w:tc>
          <w:tcPr/>
          <w:p>
            <w:pPr>
              <w:pStyle w:val="Compact"/>
            </w:pPr>
            <w:r>
              <w:t xml:space="preserve">Yes</w:t>
            </w:r>
          </w:p>
        </w:tc>
      </w:tr>
      <w:tr>
        <w:tc>
          <w:tcPr/>
          <w:p>
            <w:pPr>
              <w:pStyle w:val="Compact"/>
            </w:pPr>
            <w:r>
              <w:t xml:space="preserve">F-007 Accounts Payable</w:t>
            </w:r>
          </w:p>
        </w:tc>
        <w:tc>
          <w:tcPr/>
          <w:p>
            <w:pPr>
              <w:pStyle w:val="Compact"/>
            </w:pPr>
            <w:r>
              <w:t xml:space="preserve">AP</w:t>
            </w:r>
          </w:p>
        </w:tc>
        <w:tc>
          <w:tcPr/>
          <w:p>
            <w:pPr>
              <w:pStyle w:val="Compact"/>
            </w:pPr>
            <w:r>
              <w:t xml:space="preserve">SRS-P2</w:t>
            </w:r>
          </w:p>
        </w:tc>
        <w:tc>
          <w:tcPr/>
          <w:p>
            <w:pPr>
              <w:pStyle w:val="Compact"/>
            </w:pPr>
            <w:r>
              <w:t xml:space="preserve">Yes</w:t>
            </w:r>
          </w:p>
        </w:tc>
      </w:tr>
      <w:tr>
        <w:tc>
          <w:tcPr/>
          <w:p>
            <w:pPr>
              <w:pStyle w:val="Compact"/>
            </w:pPr>
            <w:r>
              <w:t xml:space="preserve">F-008 Budget Management</w:t>
            </w:r>
          </w:p>
        </w:tc>
        <w:tc>
          <w:tcPr/>
          <w:p>
            <w:pPr>
              <w:pStyle w:val="Compact"/>
            </w:pPr>
            <w:r>
              <w:t xml:space="preserve">BUD</w:t>
            </w:r>
          </w:p>
        </w:tc>
        <w:tc>
          <w:tcPr/>
          <w:p>
            <w:pPr>
              <w:pStyle w:val="Compact"/>
            </w:pPr>
            <w:r>
              <w:t xml:space="preserve">SRS-P2</w:t>
            </w:r>
          </w:p>
        </w:tc>
        <w:tc>
          <w:tcPr/>
          <w:p>
            <w:pPr>
              <w:pStyle w:val="Compact"/>
            </w:pPr>
            <w:r>
              <w:t xml:space="preserve">Yes</w:t>
            </w:r>
          </w:p>
        </w:tc>
      </w:tr>
      <w:tr>
        <w:tc>
          <w:tcPr/>
          <w:p>
            <w:pPr>
              <w:pStyle w:val="Compact"/>
            </w:pPr>
            <w:r>
              <w:t xml:space="preserve">F-009 Procurement and Purchasing</w:t>
            </w:r>
          </w:p>
        </w:tc>
        <w:tc>
          <w:tcPr/>
          <w:p>
            <w:pPr>
              <w:pStyle w:val="Compact"/>
            </w:pPr>
            <w:r>
              <w:t xml:space="preserve">PRO</w:t>
            </w:r>
          </w:p>
        </w:tc>
        <w:tc>
          <w:tcPr/>
          <w:p>
            <w:pPr>
              <w:pStyle w:val="Compact"/>
            </w:pPr>
            <w:r>
              <w:t xml:space="preserve">SRS-P3</w:t>
            </w:r>
          </w:p>
        </w:tc>
        <w:tc>
          <w:tcPr/>
          <w:p>
            <w:pPr>
              <w:pStyle w:val="Compact"/>
            </w:pPr>
            <w:r>
              <w:t xml:space="preserve">Yes</w:t>
            </w:r>
          </w:p>
        </w:tc>
      </w:tr>
      <w:tr>
        <w:tc>
          <w:tcPr/>
          <w:p>
            <w:pPr>
              <w:pStyle w:val="Compact"/>
            </w:pPr>
            <w:r>
              <w:t xml:space="preserve">F-010 Farmer and Cooperative Management</w:t>
            </w:r>
          </w:p>
        </w:tc>
        <w:tc>
          <w:tcPr/>
          <w:p>
            <w:pPr>
              <w:pStyle w:val="Compact"/>
            </w:pPr>
            <w:r>
              <w:t xml:space="preserve">FAR</w:t>
            </w:r>
          </w:p>
        </w:tc>
        <w:tc>
          <w:tcPr/>
          <w:p>
            <w:pPr>
              <w:pStyle w:val="Compact"/>
            </w:pPr>
            <w:r>
              <w:t xml:space="preserve">SRS-P3</w:t>
            </w:r>
          </w:p>
        </w:tc>
        <w:tc>
          <w:tcPr/>
          <w:p>
            <w:pPr>
              <w:pStyle w:val="Compact"/>
            </w:pPr>
            <w:r>
              <w:t xml:space="preserve">Yes</w:t>
            </w:r>
          </w:p>
        </w:tc>
      </w:tr>
      <w:tr>
        <w:tc>
          <w:tcPr/>
          <w:p>
            <w:pPr>
              <w:pStyle w:val="Compact"/>
            </w:pPr>
            <w:r>
              <w:t xml:space="preserve">F-011 Manufacturing and Production</w:t>
            </w:r>
          </w:p>
        </w:tc>
        <w:tc>
          <w:tcPr/>
          <w:p>
            <w:pPr>
              <w:pStyle w:val="Compact"/>
            </w:pPr>
            <w:r>
              <w:t xml:space="preserve">MFG</w:t>
            </w:r>
          </w:p>
        </w:tc>
        <w:tc>
          <w:tcPr/>
          <w:p>
            <w:pPr>
              <w:pStyle w:val="Compact"/>
            </w:pPr>
            <w:r>
              <w:t xml:space="preserve">SRS-P4</w:t>
            </w:r>
          </w:p>
        </w:tc>
        <w:tc>
          <w:tcPr/>
          <w:p>
            <w:pPr>
              <w:pStyle w:val="Compact"/>
            </w:pPr>
            <w:r>
              <w:t xml:space="preserve">Yes</w:t>
            </w:r>
          </w:p>
        </w:tc>
      </w:tr>
      <w:tr>
        <w:tc>
          <w:tcPr/>
          <w:p>
            <w:pPr>
              <w:pStyle w:val="Compact"/>
            </w:pPr>
            <w:r>
              <w:t xml:space="preserve">F-012 Quality Control and Laboratory</w:t>
            </w:r>
          </w:p>
        </w:tc>
        <w:tc>
          <w:tcPr/>
          <w:p>
            <w:pPr>
              <w:pStyle w:val="Compact"/>
            </w:pPr>
            <w:r>
              <w:t xml:space="preserve">QC</w:t>
            </w:r>
          </w:p>
        </w:tc>
        <w:tc>
          <w:tcPr/>
          <w:p>
            <w:pPr>
              <w:pStyle w:val="Compact"/>
            </w:pPr>
            <w:r>
              <w:t xml:space="preserve">SRS-P4</w:t>
            </w:r>
          </w:p>
        </w:tc>
        <w:tc>
          <w:tcPr/>
          <w:p>
            <w:pPr>
              <w:pStyle w:val="Compact"/>
            </w:pPr>
            <w:r>
              <w:t xml:space="preserve">Yes</w:t>
            </w:r>
          </w:p>
        </w:tc>
      </w:tr>
      <w:tr>
        <w:tc>
          <w:tcPr/>
          <w:p>
            <w:pPr>
              <w:pStyle w:val="Compact"/>
            </w:pPr>
            <w:r>
              <w:t xml:space="preserve">F-013 Human Resources</w:t>
            </w:r>
          </w:p>
        </w:tc>
        <w:tc>
          <w:tcPr/>
          <w:p>
            <w:pPr>
              <w:pStyle w:val="Compact"/>
            </w:pPr>
            <w:r>
              <w:t xml:space="preserve">HR</w:t>
            </w:r>
          </w:p>
        </w:tc>
        <w:tc>
          <w:tcPr/>
          <w:p>
            <w:pPr>
              <w:pStyle w:val="Compact"/>
            </w:pPr>
            <w:r>
              <w:t xml:space="preserve">SRS-P5</w:t>
            </w:r>
          </w:p>
        </w:tc>
        <w:tc>
          <w:tcPr/>
          <w:p>
            <w:pPr>
              <w:pStyle w:val="Compact"/>
            </w:pPr>
            <w:r>
              <w:t xml:space="preserve">Yes</w:t>
            </w:r>
          </w:p>
        </w:tc>
      </w:tr>
      <w:tr>
        <w:tc>
          <w:tcPr/>
          <w:p>
            <w:pPr>
              <w:pStyle w:val="Compact"/>
            </w:pPr>
            <w:r>
              <w:t xml:space="preserve">F-014 Payroll</w:t>
            </w:r>
          </w:p>
        </w:tc>
        <w:tc>
          <w:tcPr/>
          <w:p>
            <w:pPr>
              <w:pStyle w:val="Compact"/>
            </w:pPr>
            <w:r>
              <w:t xml:space="preserve">PAY</w:t>
            </w:r>
          </w:p>
        </w:tc>
        <w:tc>
          <w:tcPr/>
          <w:p>
            <w:pPr>
              <w:pStyle w:val="Compact"/>
            </w:pPr>
            <w:r>
              <w:t xml:space="preserve">SRS-P5</w:t>
            </w:r>
          </w:p>
        </w:tc>
        <w:tc>
          <w:tcPr/>
          <w:p>
            <w:pPr>
              <w:pStyle w:val="Compact"/>
            </w:pPr>
            <w:r>
              <w:t xml:space="preserve">Yes</w:t>
            </w:r>
          </w:p>
        </w:tc>
      </w:tr>
      <w:tr>
        <w:tc>
          <w:tcPr/>
          <w:p>
            <w:pPr>
              <w:pStyle w:val="Compact"/>
            </w:pPr>
            <w:r>
              <w:t xml:space="preserve">F-015 Research and Development</w:t>
            </w:r>
          </w:p>
        </w:tc>
        <w:tc>
          <w:tcPr/>
          <w:p>
            <w:pPr>
              <w:pStyle w:val="Compact"/>
            </w:pPr>
            <w:r>
              <w:t xml:space="preserve">RES</w:t>
            </w:r>
          </w:p>
        </w:tc>
        <w:tc>
          <w:tcPr/>
          <w:p>
            <w:pPr>
              <w:pStyle w:val="Compact"/>
            </w:pPr>
            <w:r>
              <w:t xml:space="preserve">SRS-P6</w:t>
            </w:r>
          </w:p>
        </w:tc>
        <w:tc>
          <w:tcPr/>
          <w:p>
            <w:pPr>
              <w:pStyle w:val="Compact"/>
            </w:pPr>
            <w:r>
              <w:t xml:space="preserve">Yes</w:t>
            </w:r>
          </w:p>
        </w:tc>
      </w:tr>
      <w:tr>
        <w:tc>
          <w:tcPr/>
          <w:p>
            <w:pPr>
              <w:pStyle w:val="Compact"/>
            </w:pPr>
            <w:r>
              <w:t xml:space="preserve">F-016 Administration and PPDA Compliance</w:t>
            </w:r>
          </w:p>
        </w:tc>
        <w:tc>
          <w:tcPr/>
          <w:p>
            <w:pPr>
              <w:pStyle w:val="Compact"/>
            </w:pPr>
            <w:r>
              <w:t xml:space="preserve">ADM</w:t>
            </w:r>
          </w:p>
        </w:tc>
        <w:tc>
          <w:tcPr/>
          <w:p>
            <w:pPr>
              <w:pStyle w:val="Compact"/>
            </w:pPr>
            <w:r>
              <w:t xml:space="preserve">SRS-P6</w:t>
            </w:r>
          </w:p>
        </w:tc>
        <w:tc>
          <w:tcPr/>
          <w:p>
            <w:pPr>
              <w:pStyle w:val="Compact"/>
            </w:pPr>
            <w:r>
              <w:t xml:space="preserve">Yes</w:t>
            </w:r>
          </w:p>
        </w:tc>
      </w:tr>
      <w:tr>
        <w:tc>
          <w:tcPr/>
          <w:p>
            <w:pPr>
              <w:pStyle w:val="Compact"/>
            </w:pPr>
            <w:r>
              <w:t xml:space="preserve">F-017 System Administration and IT</w:t>
            </w:r>
          </w:p>
        </w:tc>
        <w:tc>
          <w:tcPr/>
          <w:p>
            <w:pPr>
              <w:pStyle w:val="Compact"/>
            </w:pPr>
            <w:r>
              <w:t xml:space="preserve">SYS</w:t>
            </w:r>
          </w:p>
        </w:tc>
        <w:tc>
          <w:tcPr/>
          <w:p>
            <w:pPr>
              <w:pStyle w:val="Compact"/>
            </w:pPr>
            <w:r>
              <w:t xml:space="preserve">SRS-P6</w:t>
            </w:r>
          </w:p>
        </w:tc>
        <w:tc>
          <w:tcPr/>
          <w:p>
            <w:pPr>
              <w:pStyle w:val="Compact"/>
            </w:pPr>
            <w:r>
              <w:t xml:space="preserve">Yes</w:t>
            </w:r>
          </w:p>
        </w:tc>
      </w:tr>
      <w:tr>
        <w:tc>
          <w:tcPr/>
          <w:p>
            <w:pPr>
              <w:pStyle w:val="Compact"/>
            </w:pPr>
            <w:r>
              <w:t xml:space="preserve">F-018 EFRIS Full Integration</w:t>
            </w:r>
          </w:p>
        </w:tc>
        <w:tc>
          <w:tcPr/>
          <w:p>
            <w:pPr>
              <w:pStyle w:val="Compact"/>
            </w:pPr>
            <w:r>
              <w:t xml:space="preserve">EFR</w:t>
            </w:r>
          </w:p>
        </w:tc>
        <w:tc>
          <w:tcPr/>
          <w:p>
            <w:pPr>
              <w:pStyle w:val="Compact"/>
            </w:pPr>
            <w:r>
              <w:t xml:space="preserve">SRS-P6/P7</w:t>
            </w:r>
          </w:p>
        </w:tc>
        <w:tc>
          <w:tcPr/>
          <w:p>
            <w:pPr>
              <w:pStyle w:val="Compact"/>
            </w:pPr>
            <w:r>
              <w:t xml:space="preserve">Yes</w:t>
            </w:r>
          </w:p>
        </w:tc>
      </w:tr>
      <w:tr>
        <w:tc>
          <w:tcPr/>
          <w:p>
            <w:pPr>
              <w:pStyle w:val="Compact"/>
            </w:pPr>
            <w:r>
              <w:t xml:space="preserve">F-019 Security Hardening and Acceptance</w:t>
            </w:r>
          </w:p>
        </w:tc>
        <w:tc>
          <w:tcPr/>
          <w:p>
            <w:pPr>
              <w:pStyle w:val="Compact"/>
            </w:pPr>
            <w:r>
              <w:t xml:space="preserve">SEC</w:t>
            </w:r>
          </w:p>
        </w:tc>
        <w:tc>
          <w:tcPr/>
          <w:p>
            <w:pPr>
              <w:pStyle w:val="Compact"/>
            </w:pPr>
            <w:r>
              <w:t xml:space="preserve">SRS-P7</w:t>
            </w:r>
          </w:p>
        </w:tc>
        <w:tc>
          <w:tcPr/>
          <w:p>
            <w:pPr>
              <w:pStyle w:val="Compact"/>
            </w:pPr>
            <w:r>
              <w:t xml:space="preserve">Yes</w:t>
            </w:r>
          </w:p>
        </w:tc>
      </w:tr>
    </w:tbl>
    <w:p>
      <w:pPr>
        <w:pStyle w:val="BodyText"/>
      </w:pPr>
      <w:r>
        <w:t xml:space="preserve">All 19 features are covered.</w:t>
      </w:r>
      <w:r>
        <w:t xml:space="preserve"> </w:t>
      </w:r>
      <w:r>
        <w:rPr>
          <w:b/>
          <w:bCs/>
        </w:rPr>
        <w:t xml:space="preserve">Completeness Verdict (Features): Pass.</w:t>
      </w:r>
    </w:p>
    <w:bookmarkEnd w:id="26"/>
    <w:bookmarkStart w:id="27" w:name="X27bce0e03e0db58a3972e22f582f20bd24fcb79"/>
    <w:p>
      <w:pPr>
        <w:pStyle w:val="Heading3"/>
      </w:pPr>
      <w:r>
        <w:t xml:space="preserve">2.4.2 Business Rule Coverage (18 Rules)</w:t>
      </w:r>
    </w:p>
    <w:p>
      <w:pPr>
        <w:pStyle w:val="FirstParagraph"/>
      </w:pPr>
      <w:r>
        <w:t xml:space="preserve">Per the Traceability Matrix Section 2: 17 of 18 business rules are fully covered. BR-018 is partially covered. The RTM records a specific remediation recommendation (add FR-FIN-013 and FR-FIN-014).</w:t>
      </w:r>
    </w:p>
    <w:p>
      <w:pPr>
        <w:pStyle w:val="BodyText"/>
      </w:pPr>
      <w:r>
        <w:rPr>
          <w:b/>
          <w:bCs/>
        </w:rPr>
        <w:t xml:space="preserve">Completeness Verdict (Business Rules):</w:t>
      </w:r>
      <w:r>
        <w:t xml:space="preserve"> </w:t>
      </w:r>
      <w:r>
        <w:t xml:space="preserve">Conditional Pass — BR-018 partial coverage is an anomaly requiring remediation before final SRS sign-off.</w:t>
      </w:r>
    </w:p>
    <w:bookmarkEnd w:id="27"/>
    <w:bookmarkEnd w:id="28"/>
    <w:bookmarkStart w:id="29" w:name="X09fa1fb134e56f2c8c5ab650796903b19048176"/>
    <w:p>
      <w:pPr>
        <w:pStyle w:val="Heading2"/>
      </w:pPr>
      <w:r>
        <w:t xml:space="preserve">2.5 Verifiability Check</w:t>
      </w:r>
    </w:p>
    <w:p>
      <w:pPr>
        <w:pStyle w:val="FirstParagraph"/>
      </w:pPr>
      <w:r>
        <w:t xml:space="preserve">IEEE 1012 requires every requirement to have a deterministic test oracle — a specific, objective pass/fail criterion that requires no expert judgment.</w:t>
      </w:r>
    </w:p>
    <w:p>
      <w:pPr>
        <w:pStyle w:val="BodyText"/>
      </w:pPr>
      <w:r>
        <w:t xml:space="preserve">The following verifiability review confirms each FR category meets this standard: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 Category</w:t>
            </w:r>
          </w:p>
        </w:tc>
        <w:tc>
          <w:tcPr/>
          <w:p>
            <w:pPr>
              <w:pStyle w:val="Compact"/>
            </w:pPr>
            <w:r>
              <w:t xml:space="preserve">Verifiability Criterion</w:t>
            </w:r>
          </w:p>
        </w:tc>
        <w:tc>
          <w:tcPr/>
          <w:p>
            <w:pPr>
              <w:pStyle w:val="Compact"/>
            </w:pPr>
            <w:r>
              <w:t xml:space="preserve">Oracle Type</w:t>
            </w:r>
          </w:p>
        </w:tc>
        <w:tc>
          <w:tcPr/>
          <w:p>
            <w:pPr>
              <w:pStyle w:val="Compact"/>
            </w:pPr>
            <w:r>
              <w:t xml:space="preserve">Verdict</w:t>
            </w:r>
          </w:p>
        </w:tc>
      </w:tr>
      <w:tr>
        <w:tc>
          <w:tcPr/>
          <w:p>
            <w:pPr>
              <w:pStyle w:val="Compact"/>
            </w:pPr>
            <w:r>
              <w:t xml:space="preserve">Performance FRs (e.g., ≤ 500 ms search, ≤ 90 s POS, ≤ 5 s Trial Balance)</w:t>
            </w:r>
          </w:p>
        </w:tc>
        <w:tc>
          <w:tcPr/>
          <w:p>
            <w:pPr>
              <w:pStyle w:val="Compact"/>
            </w:pPr>
            <w:r>
              <w:t xml:space="preserve">Numeric threshold at defined percentile</w:t>
            </w:r>
          </w:p>
        </w:tc>
        <w:tc>
          <w:tcPr/>
          <w:p>
            <w:pPr>
              <w:pStyle w:val="Compact"/>
            </w:pPr>
            <w:r>
              <w:t xml:space="preserve">Measurement</w:t>
            </w:r>
          </w:p>
        </w:tc>
        <w:tc>
          <w:tcPr/>
          <w:p>
            <w:pPr>
              <w:pStyle w:val="Compact"/>
            </w:pPr>
            <w:r>
              <w:t xml:space="preserve">Pass</w:t>
            </w:r>
          </w:p>
        </w:tc>
      </w:tr>
      <w:tr>
        <w:tc>
          <w:tcPr/>
          <w:p>
            <w:pPr>
              <w:pStyle w:val="Compact"/>
            </w:pPr>
            <w:r>
              <w:t xml:space="preserve">State-transition FRs (invoice lifecycle, payroll lock, production order states)</w:t>
            </w:r>
          </w:p>
        </w:tc>
        <w:tc>
          <w:tcPr/>
          <w:p>
            <w:pPr>
              <w:pStyle w:val="Compact"/>
            </w:pPr>
            <w:r>
              <w:t xml:space="preserve">Defined state machine — transition either occurs or does not</w:t>
            </w:r>
          </w:p>
        </w:tc>
        <w:tc>
          <w:tcPr/>
          <w:p>
            <w:pPr>
              <w:pStyle w:val="Compact"/>
            </w:pPr>
            <w:r>
              <w:t xml:space="preserve">Boolean</w:t>
            </w:r>
          </w:p>
        </w:tc>
        <w:tc>
          <w:tcPr/>
          <w:p>
            <w:pPr>
              <w:pStyle w:val="Compact"/>
            </w:pPr>
            <w:r>
              <w:t xml:space="preserve">Pass</w:t>
            </w:r>
          </w:p>
        </w:tc>
      </w:tr>
      <w:tr>
        <w:tc>
          <w:tcPr/>
          <w:p>
            <w:pPr>
              <w:pStyle w:val="Compact"/>
            </w:pPr>
            <w:r>
              <w:t xml:space="preserve">Blocking FRs (FEFO, float limit, mass balance, PPDA payment block)</w:t>
            </w:r>
          </w:p>
        </w:tc>
        <w:tc>
          <w:tcPr/>
          <w:p>
            <w:pPr>
              <w:pStyle w:val="Compact"/>
            </w:pPr>
            <w:r>
              <w:t xml:space="preserve">System either rejects the action or does not — zero ambiguity</w:t>
            </w:r>
          </w:p>
        </w:tc>
        <w:tc>
          <w:tcPr/>
          <w:p>
            <w:pPr>
              <w:pStyle w:val="Compact"/>
            </w:pPr>
            <w:r>
              <w:t xml:space="preserve">Boolean</w:t>
            </w:r>
          </w:p>
        </w:tc>
        <w:tc>
          <w:tcPr/>
          <w:p>
            <w:pPr>
              <w:pStyle w:val="Compact"/>
            </w:pPr>
            <w:r>
              <w:t xml:space="preserve">Pass</w:t>
            </w:r>
          </w:p>
        </w:tc>
      </w:tr>
      <w:tr>
        <w:tc>
          <w:tcPr/>
          <w:p>
            <w:pPr>
              <w:pStyle w:val="Compact"/>
            </w:pPr>
            <w:r>
              <w:t xml:space="preserve">Calculation FRs (PAYE, NSSF, WHT, mass balance equation)</w:t>
            </w:r>
          </w:p>
        </w:tc>
        <w:tc>
          <w:tcPr/>
          <w:p>
            <w:pPr>
              <w:pStyle w:val="Compact"/>
            </w:pPr>
            <w:r>
              <w:t xml:space="preserve">Computed value matches expected value within defined tolerance</w:t>
            </w:r>
          </w:p>
        </w:tc>
        <w:tc>
          <w:tcPr/>
          <w:p>
            <w:pPr>
              <w:pStyle w:val="Compact"/>
            </w:pPr>
            <w:r>
              <w:t xml:space="preserve">Numerical equality</w:t>
            </w:r>
          </w:p>
        </w:tc>
        <w:tc>
          <w:tcPr/>
          <w:p>
            <w:pPr>
              <w:pStyle w:val="Compact"/>
            </w:pPr>
            <w:r>
              <w:t xml:space="preserve">Pass — values deferred on GAPs 007, 008</w:t>
            </w:r>
          </w:p>
        </w:tc>
      </w:tr>
      <w:tr>
        <w:tc>
          <w:tcPr/>
          <w:p>
            <w:pPr>
              <w:pStyle w:val="Compact"/>
            </w:pPr>
            <w:r>
              <w:t xml:space="preserve">Integration FRs (EFRIS, MTN MoMo, ZKTeco)</w:t>
            </w:r>
          </w:p>
        </w:tc>
        <w:tc>
          <w:tcPr/>
          <w:p>
            <w:pPr>
              <w:pStyle w:val="Compact"/>
            </w:pPr>
            <w:r>
              <w:t xml:space="preserve">API response received and stored within defined time window</w:t>
            </w:r>
          </w:p>
        </w:tc>
        <w:tc>
          <w:tcPr/>
          <w:p>
            <w:pPr>
              <w:pStyle w:val="Compact"/>
            </w:pPr>
            <w:r>
              <w:t xml:space="preserve">Boolean + value check</w:t>
            </w:r>
          </w:p>
        </w:tc>
        <w:tc>
          <w:tcPr/>
          <w:p>
            <w:pPr>
              <w:pStyle w:val="Compact"/>
            </w:pPr>
            <w:r>
              <w:t xml:space="preserve">Deferred — sandbox access pending</w:t>
            </w:r>
          </w:p>
        </w:tc>
      </w:tr>
      <w:tr>
        <w:tc>
          <w:tcPr/>
          <w:p>
            <w:pPr>
              <w:pStyle w:val="Compact"/>
            </w:pPr>
            <w:r>
              <w:t xml:space="preserve">Audit trail FRs (immutability, hash chain, sequence)</w:t>
            </w:r>
          </w:p>
        </w:tc>
        <w:tc>
          <w:tcPr/>
          <w:p>
            <w:pPr>
              <w:pStyle w:val="Compact"/>
            </w:pPr>
            <w:r>
              <w:t xml:space="preserve">Hash chain check passes; no gaps in sequence; record cannot be modified</w:t>
            </w:r>
          </w:p>
        </w:tc>
        <w:tc>
          <w:tcPr/>
          <w:p>
            <w:pPr>
              <w:pStyle w:val="Compact"/>
            </w:pPr>
            <w:r>
              <w:t xml:space="preserve">Boolean + database integrity check</w:t>
            </w:r>
          </w:p>
        </w:tc>
        <w:tc>
          <w:tcPr/>
          <w:p>
            <w:pPr>
              <w:pStyle w:val="Compact"/>
            </w:pPr>
            <w:r>
              <w:t xml:space="preserve">Pass</w:t>
            </w:r>
          </w:p>
        </w:tc>
      </w:tr>
    </w:tbl>
    <w:p>
      <w:pPr>
        <w:pStyle w:val="BodyText"/>
      </w:pPr>
      <w:r>
        <w:rPr>
          <w:b/>
          <w:bCs/>
        </w:rPr>
        <w:t xml:space="preserve">Verifiability Verdict:</w:t>
      </w:r>
      <w:r>
        <w:t xml:space="preserve"> </w:t>
      </w:r>
      <w:r>
        <w:t xml:space="preserve">Pass for all internally specified requirements. Integration FRs are structurally verifiable but test execution is deferred on external sandboxes.</w:t>
      </w:r>
    </w:p>
    <w:bookmarkEnd w:id="29"/>
    <w:bookmarkEnd w:id="30"/>
    <w:bookmarkStart w:id="33" w:name="X22874b527c996b7b7728f7a2e9ebd79d3a632b7"/>
    <w:p>
      <w:pPr>
        <w:pStyle w:val="Heading1"/>
      </w:pPr>
      <w:r>
        <w:t xml:space="preserve">Section 3: Open Anomalies — GAP-001 through GAP-014</w:t>
      </w:r>
    </w:p>
    <w:p>
      <w:pPr>
        <w:pStyle w:val="FirstParagraph"/>
      </w:pPr>
      <w:r>
        <w:t xml:space="preserve">Each open gap from</w:t>
      </w:r>
      <w:r>
        <w:t xml:space="preserve"> </w:t>
      </w:r>
      <w:r>
        <w:rPr>
          <w:rStyle w:val="VerbatimChar"/>
        </w:rPr>
        <w:t xml:space="preserve">_context/gap-analysis.md</w:t>
      </w:r>
      <w:r>
        <w:t xml:space="preserve"> </w:t>
      </w:r>
      <w:r>
        <w:t xml:space="preserve">is recorded as a Conditional Anomaly. A Conditional Anomaly is an external dependency that prevents full verification of one or more FRs. Unlike an internal consistency anomaly, a Conditional Anomaly does not invalidate the SRS; it defers test execution until the external data is received.</w:t>
      </w:r>
    </w:p>
    <w:bookmarkStart w:id="31" w:name="X3a1c51d1adb111e9bb506f9b525c871c5ea0e3d"/>
    <w:p>
      <w:pPr>
        <w:pStyle w:val="Heading2"/>
      </w:pPr>
      <w:r>
        <w:t xml:space="preserve">3.1 Conditional Anomaly Register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Anomaly ID</w:t>
            </w:r>
          </w:p>
        </w:tc>
        <w:tc>
          <w:tcPr/>
          <w:p>
            <w:pPr>
              <w:pStyle w:val="Compact"/>
            </w:pPr>
            <w:r>
              <w:t xml:space="preserve">Gap Reference</w:t>
            </w:r>
          </w:p>
        </w:tc>
        <w:tc>
          <w:tcPr/>
          <w:p>
            <w:pPr>
              <w:pStyle w:val="Compact"/>
            </w:pPr>
            <w:r>
              <w:t xml:space="preserve">Description</w:t>
            </w:r>
          </w:p>
        </w:tc>
        <w:tc>
          <w:tcPr/>
          <w:p>
            <w:pPr>
              <w:pStyle w:val="Compact"/>
            </w:pPr>
            <w:r>
              <w:t xml:space="preserve">Affected FRs</w:t>
            </w:r>
          </w:p>
        </w:tc>
        <w:tc>
          <w:tcPr/>
          <w:p>
            <w:pPr>
              <w:pStyle w:val="Compact"/>
            </w:pPr>
            <w:r>
              <w:t xml:space="preserve">Severity</w:t>
            </w:r>
          </w:p>
        </w:tc>
        <w:tc>
          <w:tcPr/>
          <w:p>
            <w:pPr>
              <w:pStyle w:val="Compact"/>
            </w:pPr>
            <w:r>
              <w:t xml:space="preserve">Resolution Action</w:t>
            </w:r>
          </w:p>
        </w:tc>
        <w:tc>
          <w:tcPr/>
          <w:p>
            <w:pPr>
              <w:pStyle w:val="Compact"/>
            </w:pPr>
            <w:r>
              <w:t xml:space="preserve">Target Owner</w:t>
            </w:r>
          </w:p>
        </w:tc>
      </w:tr>
      <w:tr>
        <w:tc>
          <w:tcPr/>
          <w:p>
            <w:pPr>
              <w:pStyle w:val="Compact"/>
            </w:pPr>
            <w:r>
              <w:t xml:space="preserve">CA-001</w:t>
            </w:r>
          </w:p>
        </w:tc>
        <w:tc>
          <w:tcPr/>
          <w:p>
            <w:pPr>
              <w:pStyle w:val="Compact"/>
            </w:pPr>
            <w:r>
              <w:t xml:space="preserve">GAP-001</w:t>
            </w:r>
          </w:p>
        </w:tc>
        <w:tc>
          <w:tcPr/>
          <w:p>
            <w:pPr>
              <w:pStyle w:val="Compact"/>
            </w:pPr>
            <w:r>
              <w:t xml:space="preserve">URA EFRIS API sandbox credentials not yet provisioned. EFRIS integration cannot be tested in Phase 1 or Phase 7.</w:t>
            </w:r>
          </w:p>
        </w:tc>
        <w:tc>
          <w:tcPr/>
          <w:p>
            <w:pPr>
              <w:pStyle w:val="Compact"/>
            </w:pPr>
            <w:r>
              <w:t xml:space="preserve">FR-SAL-003, FR-SAL-012, FR-EFR-001, FR-EFR-002, FR-EFR-003, FR-EFR-004, FR-POS-008</w:t>
            </w:r>
          </w:p>
        </w:tc>
        <w:tc>
          <w:tcPr/>
          <w:p>
            <w:pPr>
              <w:pStyle w:val="Compact"/>
            </w:pPr>
            <w:r>
              <w:t xml:space="preserve">High</w:t>
            </w:r>
          </w:p>
        </w:tc>
        <w:tc>
          <w:tcPr/>
          <w:p>
            <w:pPr>
              <w:pStyle w:val="Compact"/>
            </w:pPr>
            <w:r>
              <w:t xml:space="preserve">BIRDC to register with URA EFRIS developer portal and obtain sandbox API key before Phase 1 invoice testing sprint</w:t>
            </w:r>
          </w:p>
        </w:tc>
        <w:tc>
          <w:tcPr/>
          <w:p>
            <w:pPr>
              <w:pStyle w:val="Compact"/>
            </w:pPr>
            <w:r>
              <w:t xml:space="preserve">BIRDC IT / Peter</w:t>
            </w:r>
          </w:p>
        </w:tc>
      </w:tr>
      <w:tr>
        <w:tc>
          <w:tcPr/>
          <w:p>
            <w:pPr>
              <w:pStyle w:val="Compact"/>
            </w:pPr>
            <w:r>
              <w:t xml:space="preserve">CA-002</w:t>
            </w:r>
          </w:p>
        </w:tc>
        <w:tc>
          <w:tcPr/>
          <w:p>
            <w:pPr>
              <w:pStyle w:val="Compact"/>
            </w:pPr>
            <w:r>
              <w:t xml:space="preserve">GAP-002</w:t>
            </w:r>
          </w:p>
        </w:tc>
        <w:tc>
          <w:tcPr/>
          <w:p>
            <w:pPr>
              <w:pStyle w:val="Compact"/>
            </w:pPr>
            <w:r>
              <w:t xml:space="preserve">MTN MoMo Business API sandbox credentials not yet provisioned. Agent remittance and farmer bulk payment tests cannot run.</w:t>
            </w:r>
          </w:p>
        </w:tc>
        <w:tc>
          <w:tcPr/>
          <w:p>
            <w:pPr>
              <w:pStyle w:val="Compact"/>
            </w:pPr>
            <w:r>
              <w:t xml:space="preserve">FR-AGT-009, FR-AP-006, FR-PAY-011</w:t>
            </w:r>
          </w:p>
        </w:tc>
        <w:tc>
          <w:tcPr/>
          <w:p>
            <w:pPr>
              <w:pStyle w:val="Compact"/>
            </w:pPr>
            <w:r>
              <w:t xml:space="preserve">High</w:t>
            </w:r>
          </w:p>
        </w:tc>
        <w:tc>
          <w:tcPr/>
          <w:p>
            <w:pPr>
              <w:pStyle w:val="Compact"/>
            </w:pPr>
            <w:r>
              <w:t xml:space="preserve">Peter to register MTN MoMo Developer Portal; BIRDC Finance to provide business verification documents</w:t>
            </w:r>
          </w:p>
        </w:tc>
        <w:tc>
          <w:tcPr/>
          <w:p>
            <w:pPr>
              <w:pStyle w:val="Compact"/>
            </w:pPr>
            <w:r>
              <w:t xml:space="preserve">Peter / BIRDC Finance</w:t>
            </w:r>
          </w:p>
        </w:tc>
      </w:tr>
      <w:tr>
        <w:tc>
          <w:tcPr/>
          <w:p>
            <w:pPr>
              <w:pStyle w:val="Compact"/>
            </w:pPr>
            <w:r>
              <w:t xml:space="preserve">CA-003</w:t>
            </w:r>
          </w:p>
        </w:tc>
        <w:tc>
          <w:tcPr/>
          <w:p>
            <w:pPr>
              <w:pStyle w:val="Compact"/>
            </w:pPr>
            <w:r>
              <w:t xml:space="preserve">GAP-003</w:t>
            </w:r>
          </w:p>
        </w:tc>
        <w:tc>
          <w:tcPr/>
          <w:p>
            <w:pPr>
              <w:pStyle w:val="Compact"/>
            </w:pPr>
            <w:r>
              <w:t xml:space="preserve">Airtel Money API sandbox credentials not yet provisioned. Lower priority than MTN MoMo.</w:t>
            </w:r>
          </w:p>
        </w:tc>
        <w:tc>
          <w:tcPr/>
          <w:p>
            <w:pPr>
              <w:pStyle w:val="Compact"/>
            </w:pPr>
            <w:r>
              <w:t xml:space="preserve">FR-PAY-011, FR-AP-006 (Airtel path)</w:t>
            </w:r>
          </w:p>
        </w:tc>
        <w:tc>
          <w:tcPr/>
          <w:p>
            <w:pPr>
              <w:pStyle w:val="Compact"/>
            </w:pPr>
            <w:r>
              <w:t xml:space="preserve">Medium</w:t>
            </w:r>
          </w:p>
        </w:tc>
        <w:tc>
          <w:tcPr/>
          <w:p>
            <w:pPr>
              <w:pStyle w:val="Compact"/>
            </w:pPr>
            <w:r>
              <w:t xml:space="preserve">Register Airtel Money developer portal during Phase 2 development</w:t>
            </w:r>
          </w:p>
        </w:tc>
        <w:tc>
          <w:tcPr/>
          <w:p>
            <w:pPr>
              <w:pStyle w:val="Compact"/>
            </w:pPr>
            <w:r>
              <w:t xml:space="preserve">Peter</w:t>
            </w:r>
          </w:p>
        </w:tc>
      </w:tr>
      <w:tr>
        <w:tc>
          <w:tcPr/>
          <w:p>
            <w:pPr>
              <w:pStyle w:val="Compact"/>
            </w:pPr>
            <w:r>
              <w:t xml:space="preserve">CA-004</w:t>
            </w:r>
          </w:p>
        </w:tc>
        <w:tc>
          <w:tcPr/>
          <w:p>
            <w:pPr>
              <w:pStyle w:val="Compact"/>
            </w:pPr>
            <w:r>
              <w:t xml:space="preserve">GAP-004</w:t>
            </w:r>
          </w:p>
        </w:tc>
        <w:tc>
          <w:tcPr/>
          <w:p>
            <w:pPr>
              <w:pStyle w:val="Compact"/>
            </w:pPr>
            <w:r>
              <w:t xml:space="preserve">Uganda Data Protection and Privacy Act 2019 legal review of farmer PII (GPS, NIN, photo, mobile money number) not completed. System cannot go live with farmer registration until lawful basis is confirmed.</w:t>
            </w:r>
          </w:p>
        </w:tc>
        <w:tc>
          <w:tcPr/>
          <w:p>
            <w:pPr>
              <w:pStyle w:val="Compact"/>
            </w:pPr>
            <w:r>
              <w:t xml:space="preserve">FR-FAR-001, FR-FAR-009, FR-PRO-011</w:t>
            </w:r>
          </w:p>
        </w:tc>
        <w:tc>
          <w:tcPr/>
          <w:p>
            <w:pPr>
              <w:pStyle w:val="Compact"/>
            </w:pPr>
            <w:r>
              <w:t xml:space="preserve">Critical</w:t>
            </w:r>
          </w:p>
        </w:tc>
        <w:tc>
          <w:tcPr/>
          <w:p>
            <w:pPr>
              <w:pStyle w:val="Compact"/>
            </w:pPr>
            <w:r>
              <w:t xml:space="preserve">BIRDC to engage legal counsel familiar with DPPA 2019. Confirm lawful basis (consent vs. legitimate interest), retention period, and subject rights before go-live</w:t>
            </w:r>
          </w:p>
        </w:tc>
        <w:tc>
          <w:tcPr/>
          <w:p>
            <w:pPr>
              <w:pStyle w:val="Compact"/>
            </w:pPr>
            <w:r>
              <w:t xml:space="preserve">BIRDC Legal</w:t>
            </w:r>
          </w:p>
        </w:tc>
      </w:tr>
      <w:tr>
        <w:tc>
          <w:tcPr/>
          <w:p>
            <w:pPr>
              <w:pStyle w:val="Compact"/>
            </w:pPr>
            <w:r>
              <w:t xml:space="preserve">CA-005</w:t>
            </w:r>
          </w:p>
        </w:tc>
        <w:tc>
          <w:tcPr/>
          <w:p>
            <w:pPr>
              <w:pStyle w:val="Compact"/>
            </w:pPr>
            <w:r>
              <w:t xml:space="preserve">GAP-005</w:t>
            </w:r>
          </w:p>
        </w:tc>
        <w:tc>
          <w:tcPr/>
          <w:p>
            <w:pPr>
              <w:pStyle w:val="Compact"/>
            </w:pPr>
            <w:r>
              <w:t xml:space="preserve">ZKTeco biometric device model numbers and SDK/API version at BIRDC Nyaruzinga not confirmed. Biometric attendance integration design is incomplete.</w:t>
            </w:r>
          </w:p>
        </w:tc>
        <w:tc>
          <w:tcPr/>
          <w:p>
            <w:pPr>
              <w:pStyle w:val="Compact"/>
            </w:pPr>
            <w:r>
              <w:t xml:space="preserve">FR-HR-003, FR-HR-004</w:t>
            </w:r>
          </w:p>
        </w:tc>
        <w:tc>
          <w:tcPr/>
          <w:p>
            <w:pPr>
              <w:pStyle w:val="Compact"/>
            </w:pPr>
            <w:r>
              <w:t xml:space="preserve">Medium</w:t>
            </w:r>
          </w:p>
        </w:tc>
        <w:tc>
          <w:tcPr/>
          <w:p>
            <w:pPr>
              <w:pStyle w:val="Compact"/>
            </w:pPr>
            <w:r>
              <w:t xml:space="preserve">BIRDC IT to provide ZKTeco model serial numbers from devices already installed</w:t>
            </w:r>
          </w:p>
        </w:tc>
        <w:tc>
          <w:tcPr/>
          <w:p>
            <w:pPr>
              <w:pStyle w:val="Compact"/>
            </w:pPr>
            <w:r>
              <w:t xml:space="preserve">BIRDC IT</w:t>
            </w:r>
          </w:p>
        </w:tc>
      </w:tr>
      <w:tr>
        <w:tc>
          <w:tcPr/>
          <w:p>
            <w:pPr>
              <w:pStyle w:val="Compact"/>
            </w:pPr>
            <w:r>
              <w:t xml:space="preserve">CA-006</w:t>
            </w:r>
          </w:p>
        </w:tc>
        <w:tc>
          <w:tcPr/>
          <w:p>
            <w:pPr>
              <w:pStyle w:val="Compact"/>
            </w:pPr>
            <w:r>
              <w:t xml:space="preserve">GAP-006</w:t>
            </w:r>
          </w:p>
        </w:tc>
        <w:tc>
          <w:tcPr/>
          <w:p>
            <w:pPr>
              <w:pStyle w:val="Compact"/>
            </w:pPr>
            <w:r>
              <w:t xml:space="preserve">BIRDC bank name and bulk credit transfer file format not confirmed. Payroll bank transfer file cannot be finalised.</w:t>
            </w:r>
          </w:p>
        </w:tc>
        <w:tc>
          <w:tcPr/>
          <w:p>
            <w:pPr>
              <w:pStyle w:val="Compact"/>
            </w:pPr>
            <w:r>
              <w:t xml:space="preserve">FR-PAY-010</w:t>
            </w:r>
          </w:p>
        </w:tc>
        <w:tc>
          <w:tcPr/>
          <w:p>
            <w:pPr>
              <w:pStyle w:val="Compact"/>
            </w:pPr>
            <w:r>
              <w:t xml:space="preserve">Medium</w:t>
            </w:r>
          </w:p>
        </w:tc>
        <w:tc>
          <w:tcPr/>
          <w:p>
            <w:pPr>
              <w:pStyle w:val="Compact"/>
            </w:pPr>
            <w:r>
              <w:t xml:space="preserve">BIRDC Finance to provide specimen of bank's bulk credit transfer file format or their online banking portal's import template</w:t>
            </w:r>
          </w:p>
        </w:tc>
        <w:tc>
          <w:tcPr/>
          <w:p>
            <w:pPr>
              <w:pStyle w:val="Compact"/>
            </w:pPr>
            <w:r>
              <w:t xml:space="preserve">BIRDC Finance</w:t>
            </w:r>
          </w:p>
        </w:tc>
      </w:tr>
      <w:tr>
        <w:tc>
          <w:tcPr/>
          <w:p>
            <w:pPr>
              <w:pStyle w:val="Compact"/>
            </w:pPr>
            <w:r>
              <w:t xml:space="preserve">CA-007</w:t>
            </w:r>
          </w:p>
        </w:tc>
        <w:tc>
          <w:tcPr/>
          <w:p>
            <w:pPr>
              <w:pStyle w:val="Compact"/>
            </w:pPr>
            <w:r>
              <w:t xml:space="preserve">GAP-007</w:t>
            </w:r>
          </w:p>
        </w:tc>
        <w:tc>
          <w:tcPr/>
          <w:p>
            <w:pPr>
              <w:pStyle w:val="Compact"/>
            </w:pPr>
            <w:r>
              <w:t xml:space="preserve">Exact PPDA procurement threshold values (UGX amounts) currently applicable to BIRDC/PIBID as a government entity not confirmed. Procurement approval matrix cannot be configured with correct values.</w:t>
            </w:r>
          </w:p>
        </w:tc>
        <w:tc>
          <w:tcPr/>
          <w:p>
            <w:pPr>
              <w:pStyle w:val="Compact"/>
            </w:pPr>
            <w:r>
              <w:t xml:space="preserve">FR-PRO-001, FR-PRO-002, FR-PRO-003, FR-ADM-001, FR-ADM-002</w:t>
            </w:r>
          </w:p>
        </w:tc>
        <w:tc>
          <w:tcPr/>
          <w:p>
            <w:pPr>
              <w:pStyle w:val="Compact"/>
            </w:pPr>
            <w:r>
              <w:t xml:space="preserve">High</w:t>
            </w:r>
          </w:p>
        </w:tc>
        <w:tc>
          <w:tcPr/>
          <w:p>
            <w:pPr>
              <w:pStyle w:val="Compact"/>
            </w:pPr>
            <w:r>
              <w:t xml:space="preserve">BIRDC Administration to obtain current PPDA threshold schedule from PPDA Uganda website or procurement office</w:t>
            </w:r>
          </w:p>
        </w:tc>
        <w:tc>
          <w:tcPr/>
          <w:p>
            <w:pPr>
              <w:pStyle w:val="Compact"/>
            </w:pPr>
            <w:r>
              <w:t xml:space="preserve">BIRDC Administration / Peter</w:t>
            </w:r>
          </w:p>
        </w:tc>
      </w:tr>
      <w:tr>
        <w:tc>
          <w:tcPr/>
          <w:p>
            <w:pPr>
              <w:pStyle w:val="Compact"/>
            </w:pPr>
            <w:r>
              <w:t xml:space="preserve">CA-008</w:t>
            </w:r>
          </w:p>
        </w:tc>
        <w:tc>
          <w:tcPr/>
          <w:p>
            <w:pPr>
              <w:pStyle w:val="Compact"/>
            </w:pPr>
            <w:r>
              <w:t xml:space="preserve">GAP-008</w:t>
            </w:r>
          </w:p>
        </w:tc>
        <w:tc>
          <w:tcPr/>
          <w:p>
            <w:pPr>
              <w:pStyle w:val="Compact"/>
            </w:pPr>
            <w:r>
              <w:t xml:space="preserve">Current URA PAYE tax bands for 2025/26 not confirmed. Payroll calculation test values cannot be set.</w:t>
            </w:r>
          </w:p>
        </w:tc>
        <w:tc>
          <w:tcPr/>
          <w:p>
            <w:pPr>
              <w:pStyle w:val="Compact"/>
            </w:pPr>
            <w:r>
              <w:t xml:space="preserve">FR-PAY-002</w:t>
            </w:r>
          </w:p>
        </w:tc>
        <w:tc>
          <w:tcPr/>
          <w:p>
            <w:pPr>
              <w:pStyle w:val="Compact"/>
            </w:pPr>
            <w:r>
              <w:t xml:space="preserve">High</w:t>
            </w:r>
          </w:p>
        </w:tc>
        <w:tc>
          <w:tcPr/>
          <w:p>
            <w:pPr>
              <w:pStyle w:val="Compact"/>
            </w:pPr>
            <w:r>
              <w:t xml:space="preserve">Peter to confirm from URA Uganda website or finance circular before payroll module development begins</w:t>
            </w:r>
          </w:p>
        </w:tc>
        <w:tc>
          <w:tcPr/>
          <w:p>
            <w:pPr>
              <w:pStyle w:val="Compact"/>
            </w:pPr>
            <w:r>
              <w:t xml:space="preserve">Peter</w:t>
            </w:r>
          </w:p>
        </w:tc>
      </w:tr>
      <w:tr>
        <w:tc>
          <w:tcPr/>
          <w:p>
            <w:pPr>
              <w:pStyle w:val="Compact"/>
            </w:pPr>
            <w:r>
              <w:t xml:space="preserve">CA-009</w:t>
            </w:r>
          </w:p>
        </w:tc>
        <w:tc>
          <w:tcPr/>
          <w:p>
            <w:pPr>
              <w:pStyle w:val="Compact"/>
            </w:pPr>
            <w:r>
              <w:t xml:space="preserve">GAP-009</w:t>
            </w:r>
          </w:p>
        </w:tc>
        <w:tc>
          <w:tcPr/>
          <w:p>
            <w:pPr>
              <w:pStyle w:val="Compact"/>
            </w:pPr>
            <w:r>
              <w:t xml:space="preserve">NSSF remittance schedule exact format required by NSSF Uganda not confirmed. NSSF export test cannot verify format compliance.</w:t>
            </w:r>
          </w:p>
        </w:tc>
        <w:tc>
          <w:tcPr/>
          <w:p>
            <w:pPr>
              <w:pStyle w:val="Compact"/>
            </w:pPr>
            <w:r>
              <w:t xml:space="preserve">FR-PAY-004</w:t>
            </w:r>
          </w:p>
        </w:tc>
        <w:tc>
          <w:tcPr/>
          <w:p>
            <w:pPr>
              <w:pStyle w:val="Compact"/>
            </w:pPr>
            <w:r>
              <w:t xml:space="preserve">Medium</w:t>
            </w:r>
          </w:p>
        </w:tc>
        <w:tc>
          <w:tcPr/>
          <w:p>
            <w:pPr>
              <w:pStyle w:val="Compact"/>
            </w:pPr>
            <w:r>
              <w:t xml:space="preserve">BIRDC HR to obtain NSSF employer contribution schedule template from NSSF Uganda</w:t>
            </w:r>
          </w:p>
        </w:tc>
        <w:tc>
          <w:tcPr/>
          <w:p>
            <w:pPr>
              <w:pStyle w:val="Compact"/>
            </w:pPr>
            <w:r>
              <w:t xml:space="preserve">BIRDC HR</w:t>
            </w:r>
          </w:p>
        </w:tc>
      </w:tr>
      <w:tr>
        <w:tc>
          <w:tcPr/>
          <w:p>
            <w:pPr>
              <w:pStyle w:val="Compact"/>
            </w:pPr>
            <w:r>
              <w:t xml:space="preserve">CA-010</w:t>
            </w:r>
          </w:p>
        </w:tc>
        <w:tc>
          <w:tcPr/>
          <w:p>
            <w:pPr>
              <w:pStyle w:val="Compact"/>
            </w:pPr>
            <w:r>
              <w:t xml:space="preserve">GAP-010</w:t>
            </w:r>
          </w:p>
        </w:tc>
        <w:tc>
          <w:tcPr/>
          <w:p>
            <w:pPr>
              <w:pStyle w:val="Compact"/>
            </w:pPr>
            <w:r>
              <w:t xml:space="preserve">Export market QC parameter requirements (South Korea, EU/Italy, Saudi Arabia, Qatar, USA) not confirmed. Export CoA template design is incomplete.</w:t>
            </w:r>
          </w:p>
        </w:tc>
        <w:tc>
          <w:tcPr/>
          <w:p>
            <w:pPr>
              <w:pStyle w:val="Compact"/>
            </w:pPr>
            <w:r>
              <w:t xml:space="preserve">FR-QC-005, FR-QC-006</w:t>
            </w:r>
          </w:p>
        </w:tc>
        <w:tc>
          <w:tcPr/>
          <w:p>
            <w:pPr>
              <w:pStyle w:val="Compact"/>
            </w:pPr>
            <w:r>
              <w:t xml:space="preserve">High</w:t>
            </w:r>
          </w:p>
        </w:tc>
        <w:tc>
          <w:tcPr/>
          <w:p>
            <w:pPr>
              <w:pStyle w:val="Compact"/>
            </w:pPr>
            <w:r>
              <w:t xml:space="preserve">BIRDC QC Manager to obtain import inspection parameter lists from each target market's relevant food safety authority</w:t>
            </w:r>
          </w:p>
        </w:tc>
        <w:tc>
          <w:tcPr/>
          <w:p>
            <w:pPr>
              <w:pStyle w:val="Compact"/>
            </w:pPr>
            <w:r>
              <w:t xml:space="preserve">BIRDC QC Manager</w:t>
            </w:r>
          </w:p>
        </w:tc>
      </w:tr>
      <w:tr>
        <w:tc>
          <w:tcPr/>
          <w:p>
            <w:pPr>
              <w:pStyle w:val="Compact"/>
            </w:pPr>
            <w:r>
              <w:t xml:space="preserve">CA-011</w:t>
            </w:r>
          </w:p>
        </w:tc>
        <w:tc>
          <w:tcPr/>
          <w:p>
            <w:pPr>
              <w:pStyle w:val="Compact"/>
            </w:pPr>
            <w:r>
              <w:t xml:space="preserve">GAP-011</w:t>
            </w:r>
          </w:p>
        </w:tc>
        <w:tc>
          <w:tcPr/>
          <w:p>
            <w:pPr>
              <w:pStyle w:val="Compact"/>
            </w:pPr>
            <w:r>
              <w:t xml:space="preserve">Bluetooth weighing scale model at cooperative collection points not confirmed. Farmer Delivery App hardware integration design is incomplete.</w:t>
            </w:r>
          </w:p>
        </w:tc>
        <w:tc>
          <w:tcPr/>
          <w:p>
            <w:pPr>
              <w:pStyle w:val="Compact"/>
            </w:pPr>
            <w:r>
              <w:t xml:space="preserve">FR-PRO-011</w:t>
            </w:r>
          </w:p>
        </w:tc>
        <w:tc>
          <w:tcPr/>
          <w:p>
            <w:pPr>
              <w:pStyle w:val="Compact"/>
            </w:pPr>
            <w:r>
              <w:t xml:space="preserve">Medium</w:t>
            </w:r>
          </w:p>
        </w:tc>
        <w:tc>
          <w:tcPr/>
          <w:p>
            <w:pPr>
              <w:pStyle w:val="Compact"/>
            </w:pPr>
            <w:r>
              <w:t xml:space="preserve">BIRDC Procurement to provide scale model/brand currently deployed at cooperative collection points</w:t>
            </w:r>
          </w:p>
        </w:tc>
        <w:tc>
          <w:tcPr/>
          <w:p>
            <w:pPr>
              <w:pStyle w:val="Compact"/>
            </w:pPr>
            <w:r>
              <w:t xml:space="preserve">BIRDC Procurement</w:t>
            </w:r>
          </w:p>
        </w:tc>
      </w:tr>
      <w:tr>
        <w:tc>
          <w:tcPr/>
          <w:p>
            <w:pPr>
              <w:pStyle w:val="Compact"/>
            </w:pPr>
            <w:r>
              <w:t xml:space="preserve">CA-012</w:t>
            </w:r>
          </w:p>
        </w:tc>
        <w:tc>
          <w:tcPr/>
          <w:p>
            <w:pPr>
              <w:pStyle w:val="Compact"/>
            </w:pPr>
            <w:r>
              <w:t xml:space="preserve">GAP-012</w:t>
            </w:r>
          </w:p>
        </w:tc>
        <w:tc>
          <w:tcPr/>
          <w:p>
            <w:pPr>
              <w:pStyle w:val="Compact"/>
            </w:pPr>
            <w:r>
              <w:t xml:space="preserve">BIRDC existing Chart of Accounts status not confirmed — whether the 1,307-account CoA exists or must be designed from scratch.</w:t>
            </w:r>
          </w:p>
        </w:tc>
        <w:tc>
          <w:tcPr/>
          <w:p>
            <w:pPr>
              <w:pStyle w:val="Compact"/>
            </w:pPr>
            <w:r>
              <w:t xml:space="preserve">FR-FIN-001, FR-FIN-002</w:t>
            </w:r>
          </w:p>
        </w:tc>
        <w:tc>
          <w:tcPr/>
          <w:p>
            <w:pPr>
              <w:pStyle w:val="Compact"/>
            </w:pPr>
            <w:r>
              <w:t xml:space="preserve">High</w:t>
            </w:r>
          </w:p>
        </w:tc>
        <w:tc>
          <w:tcPr/>
          <w:p>
            <w:pPr>
              <w:pStyle w:val="Compact"/>
            </w:pPr>
            <w:r>
              <w:t xml:space="preserve">Finance Director to confirm whether an existing CoA file (in Excel or legacy system export) can be provided</w:t>
            </w:r>
          </w:p>
        </w:tc>
        <w:tc>
          <w:tcPr/>
          <w:p>
            <w:pPr>
              <w:pStyle w:val="Compact"/>
            </w:pPr>
            <w:r>
              <w:t xml:space="preserve">BIRDC Finance Director</w:t>
            </w:r>
          </w:p>
        </w:tc>
      </w:tr>
      <w:tr>
        <w:tc>
          <w:tcPr/>
          <w:p>
            <w:pPr>
              <w:pStyle w:val="Compact"/>
            </w:pPr>
            <w:r>
              <w:t xml:space="preserve">CA-013</w:t>
            </w:r>
          </w:p>
        </w:tc>
        <w:tc>
          <w:tcPr/>
          <w:p>
            <w:pPr>
              <w:pStyle w:val="Compact"/>
            </w:pPr>
            <w:r>
              <w:t xml:space="preserve">GAP-013</w:t>
            </w:r>
          </w:p>
        </w:tc>
        <w:tc>
          <w:tcPr/>
          <w:p>
            <w:pPr>
              <w:pStyle w:val="Compact"/>
            </w:pPr>
            <w:r>
              <w:t xml:space="preserve">BIRDC server hardware specifications (RAM, storage, OS) not confirmed. Deployment guide and performance test baseline cannot be finalised.</w:t>
            </w:r>
          </w:p>
        </w:tc>
        <w:tc>
          <w:tcPr/>
          <w:p>
            <w:pPr>
              <w:pStyle w:val="Compact"/>
            </w:pPr>
            <w:r>
              <w:t xml:space="preserve">FR-SEC-003, FR-SEC-005</w:t>
            </w:r>
          </w:p>
        </w:tc>
        <w:tc>
          <w:tcPr/>
          <w:p>
            <w:pPr>
              <w:pStyle w:val="Compact"/>
            </w:pPr>
            <w:r>
              <w:t xml:space="preserve">Medium</w:t>
            </w:r>
          </w:p>
        </w:tc>
        <w:tc>
          <w:tcPr/>
          <w:p>
            <w:pPr>
              <w:pStyle w:val="Compact"/>
            </w:pPr>
            <w:r>
              <w:t xml:space="preserve">BIRDC IT to provide server inventory sheet with hardware specifications</w:t>
            </w:r>
          </w:p>
        </w:tc>
        <w:tc>
          <w:tcPr/>
          <w:p>
            <w:pPr>
              <w:pStyle w:val="Compact"/>
            </w:pPr>
            <w:r>
              <w:t xml:space="preserve">BIRDC IT</w:t>
            </w:r>
          </w:p>
        </w:tc>
      </w:tr>
      <w:tr>
        <w:tc>
          <w:tcPr/>
          <w:p>
            <w:pPr>
              <w:pStyle w:val="Compact"/>
            </w:pPr>
            <w:r>
              <w:t xml:space="preserve">CA-014</w:t>
            </w:r>
          </w:p>
        </w:tc>
        <w:tc>
          <w:tcPr/>
          <w:p>
            <w:pPr>
              <w:pStyle w:val="Compact"/>
            </w:pPr>
            <w:r>
              <w:t xml:space="preserve">GAP-014</w:t>
            </w:r>
          </w:p>
        </w:tc>
        <w:tc>
          <w:tcPr/>
          <w:p>
            <w:pPr>
              <w:pStyle w:val="Compact"/>
            </w:pPr>
            <w:r>
              <w:t xml:space="preserve">BIRDC existing accounting software (if any) and data migration requirements not confirmed. Go-live cutover plan and data migration strategy are incomplete.</w:t>
            </w:r>
          </w:p>
        </w:tc>
        <w:tc>
          <w:tcPr/>
          <w:p>
            <w:pPr>
              <w:pStyle w:val="Compact"/>
            </w:pPr>
            <w:r>
              <w:t xml:space="preserve">FR-SEC-007</w:t>
            </w:r>
          </w:p>
        </w:tc>
        <w:tc>
          <w:tcPr/>
          <w:p>
            <w:pPr>
              <w:pStyle w:val="Compact"/>
            </w:pPr>
            <w:r>
              <w:t xml:space="preserve">High</w:t>
            </w:r>
          </w:p>
        </w:tc>
        <w:tc>
          <w:tcPr/>
          <w:p>
            <w:pPr>
              <w:pStyle w:val="Compact"/>
            </w:pPr>
            <w:r>
              <w:t xml:space="preserve">Finance Director to confirm the current accounting tools in use and authorise a data extraction exercise</w:t>
            </w:r>
          </w:p>
        </w:tc>
        <w:tc>
          <w:tcPr/>
          <w:p>
            <w:pPr>
              <w:pStyle w:val="Compact"/>
            </w:pPr>
            <w:r>
              <w:t xml:space="preserve">BIRDC Finance / Peter</w:t>
            </w:r>
          </w:p>
        </w:tc>
      </w:tr>
    </w:tbl>
    <w:bookmarkEnd w:id="31"/>
    <w:bookmarkStart w:id="32" w:name="X17a9f890a0ea81e11e2e9df3386550ac12e7644"/>
    <w:p>
      <w:pPr>
        <w:pStyle w:val="Heading2"/>
      </w:pPr>
      <w:r>
        <w:t xml:space="preserve">3.2 Internal Anomaly: BR-018 Partial FR Coverage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Anomaly ID</w:t>
            </w:r>
          </w:p>
        </w:tc>
        <w:tc>
          <w:tcPr/>
          <w:p>
            <w:pPr>
              <w:pStyle w:val="Compact"/>
            </w:pPr>
            <w:r>
              <w:t xml:space="preserve">Type</w:t>
            </w:r>
          </w:p>
        </w:tc>
        <w:tc>
          <w:tcPr/>
          <w:p>
            <w:pPr>
              <w:pStyle w:val="Compact"/>
            </w:pPr>
            <w:r>
              <w:t xml:space="preserve">Description</w:t>
            </w:r>
          </w:p>
        </w:tc>
        <w:tc>
          <w:tcPr/>
          <w:p>
            <w:pPr>
              <w:pStyle w:val="Compact"/>
            </w:pPr>
            <w:r>
              <w:t xml:space="preserve">Affected Rule</w:t>
            </w:r>
          </w:p>
        </w:tc>
        <w:tc>
          <w:tcPr/>
          <w:p>
            <w:pPr>
              <w:pStyle w:val="Compact"/>
            </w:pPr>
            <w:r>
              <w:t xml:space="preserve">Recommended Action</w:t>
            </w:r>
          </w:p>
        </w:tc>
      </w:tr>
      <w:tr>
        <w:tc>
          <w:tcPr/>
          <w:p>
            <w:pPr>
              <w:pStyle w:val="Compact"/>
            </w:pPr>
            <w:r>
              <w:t xml:space="preserve">IA-001</w:t>
            </w:r>
          </w:p>
        </w:tc>
        <w:tc>
          <w:tcPr/>
          <w:p>
            <w:pPr>
              <w:pStyle w:val="Compact"/>
            </w:pPr>
            <w:r>
              <w:t xml:space="preserve">Internal — Completeness Gap</w:t>
            </w:r>
          </w:p>
        </w:tc>
        <w:tc>
          <w:tcPr/>
          <w:p>
            <w:pPr>
              <w:pStyle w:val="Compact"/>
            </w:pPr>
            <w:r>
              <w:t xml:space="preserve">BR-018 (Imprest Account Control) is enforced by implicit references in the GL auto-posting FRs but no FR explicitly specifies the blocking condition when an imprest disbursement would drive the balance below zero.</w:t>
            </w:r>
          </w:p>
        </w:tc>
        <w:tc>
          <w:tcPr/>
          <w:p>
            <w:pPr>
              <w:pStyle w:val="Compact"/>
            </w:pPr>
            <w:r>
              <w:t xml:space="preserve">BR-018</w:t>
            </w:r>
          </w:p>
        </w:tc>
        <w:tc>
          <w:tcPr/>
          <w:p>
            <w:pPr>
              <w:pStyle w:val="Compact"/>
            </w:pPr>
            <w:r>
              <w:t xml:space="preserve">Add FR-FIN-013 and FR-FIN-014 to SRS-P2 before the next SRS review cycle (see RTM Section 4.3 for full FR text).</w:t>
            </w:r>
          </w:p>
        </w:tc>
      </w:tr>
    </w:tbl>
    <w:p>
      <w:pPr>
        <w:pStyle w:val="BodyText"/>
      </w:pPr>
      <w:r>
        <w:t xml:space="preserve">This is the only internal anomaly in the SRS suite. All other gaps are external dependencies, not internal consistency failures.</w:t>
      </w:r>
    </w:p>
    <w:bookmarkEnd w:id="32"/>
    <w:bookmarkEnd w:id="33"/>
    <w:bookmarkStart w:id="37" w:name="Xf3715db787e8f4ba2827043cc8dacb881d9793c"/>
    <w:p>
      <w:pPr>
        <w:pStyle w:val="Heading1"/>
      </w:pPr>
      <w:r>
        <w:t xml:space="preserve">Section 4: Audit Verdict and Recommended Actions</w:t>
      </w:r>
    </w:p>
    <w:bookmarkStart w:id="34" w:name="X4ca20b031eb9397215e204b6ac8ca487b429bd5"/>
    <w:p>
      <w:pPr>
        <w:pStyle w:val="Heading2"/>
      </w:pPr>
      <w:r>
        <w:t xml:space="preserve">4.1 Audit Verdict</w:t>
      </w:r>
    </w:p>
    <w:p>
      <w:pPr>
        <w:pStyle w:val="FirstParagraph"/>
      </w:pPr>
      <w:r>
        <w:rPr>
          <w:b/>
          <w:bCs/>
        </w:rPr>
        <w:t xml:space="preserve">Verdict: Conditional Pass</w:t>
      </w:r>
    </w:p>
    <w:p>
      <w:pPr>
        <w:pStyle w:val="BodyText"/>
      </w:pPr>
      <w:r>
        <w:t xml:space="preserve">The BIRDC ERP SRS documentation suite passes the IEEE 1012-2012 pre-development V&amp;V audit on all internal quality criteria. The 6 SRS documents are internally consistent, unambiguous, and fully traceable. All 19 features are specified. 17 of 18 business rules have full FR coverage; 1 rule (BR-018) has partial coverage with a documented remediation path. All 5 business goals are addressed by substantive FR sets.</w:t>
      </w:r>
    </w:p>
    <w:p>
      <w:pPr>
        <w:pStyle w:val="BodyText"/>
      </w:pPr>
      <w:r>
        <w:t xml:space="preserve">The 14 Conditional Anomalies (CA-001 through CA-014) are all external dependency gaps — they represent information that must be obtained from BIRDC, URA, PPDA, and external vendors before specific FRs can be tested. None of the 14 Conditional Anomalies represents an internal logic error, contradiction, or missing requirement in the SRS itself.</w:t>
      </w:r>
    </w:p>
    <w:p>
      <w:pPr>
        <w:pStyle w:val="BodyText"/>
      </w:pPr>
      <w:r>
        <w:t xml:space="preserve">The 1 Internal Anomaly (IA-001, BR-018 partial coverage) is a minor completeness gap with a documented remediation recommendation (add 2 FRs). It does not block development of any other module.</w:t>
      </w:r>
    </w:p>
    <w:p>
      <w:pPr>
        <w:pStyle w:val="BodyText"/>
      </w:pPr>
      <w:r>
        <w:t xml:space="preserve">The SRS suite is approved for development to commence on Phases 1 and 2 immediately. Development of Phase 3 onward must pause for resolution of the critical and high-severity gaps before the relevant modules enter design.</w:t>
      </w:r>
    </w:p>
    <w:bookmarkEnd w:id="34"/>
    <w:bookmarkStart w:id="35" w:name="X11b448eadfc0ac80868845633cbc0c7db20c60f"/>
    <w:p>
      <w:pPr>
        <w:pStyle w:val="Heading2"/>
      </w:pPr>
      <w:r>
        <w:t xml:space="preserve">4.2 Recommended Actions Before Development Begins</w:t>
      </w:r>
    </w:p>
    <w:p>
      <w:pPr>
        <w:pStyle w:val="FirstParagraph"/>
      </w:pPr>
      <w:r>
        <w:t xml:space="preserve">The following actions are ordered by priority. Actions marked</w:t>
      </w:r>
      <w:r>
        <w:t xml:space="preserve"> </w:t>
      </w:r>
      <w:r>
        <w:rPr>
          <w:b/>
          <w:bCs/>
        </w:rPr>
        <w:t xml:space="preserve">Critical</w:t>
      </w:r>
      <w:r>
        <w:t xml:space="preserve"> </w:t>
      </w:r>
      <w:r>
        <w:t xml:space="preserve">or</w:t>
      </w:r>
      <w:r>
        <w:t xml:space="preserve"> </w:t>
      </w:r>
      <w:r>
        <w:rPr>
          <w:b/>
          <w:bCs/>
        </w:rPr>
        <w:t xml:space="preserve">High</w:t>
      </w:r>
      <w:r>
        <w:t xml:space="preserve"> </w:t>
      </w:r>
      <w:r>
        <w:t xml:space="preserve">must be resolved before the affected phase enters development.</w:t>
      </w:r>
    </w:p>
    <w:p>
      <w:pPr>
        <w:numPr>
          <w:ilvl w:val="0"/>
          <w:numId w:val="1003"/>
        </w:numPr>
      </w:pPr>
      <w:r>
        <w:rPr>
          <w:b/>
          <w:bCs/>
        </w:rPr>
        <w:t xml:space="preserve">Resolve CA-004 (GAP-004) — DPPA Legal Review — Critical.</w:t>
      </w:r>
      <w:r>
        <w:t xml:space="preserve"> </w:t>
      </w:r>
      <w:r>
        <w:t xml:space="preserve">Engage legal counsel to confirm lawful basis for farmer PII collection (NIN, GPS, photo, mobile money number) under the Uganda Data Protection and Privacy Act 2019. This is a legal compliance prerequisite, not a technical one. Target: before Phase 3 farmer registration module enters development. Owner: BIRDC Director / Legal Counsel.</w:t>
      </w:r>
    </w:p>
    <w:p>
      <w:pPr>
        <w:numPr>
          <w:ilvl w:val="0"/>
          <w:numId w:val="1003"/>
        </w:numPr>
      </w:pPr>
      <w:r>
        <w:rPr>
          <w:b/>
          <w:bCs/>
        </w:rPr>
        <w:t xml:space="preserve">Resolve CA-001 (GAP-001) — URA EFRIS Sandbox — High.</w:t>
      </w:r>
      <w:r>
        <w:t xml:space="preserve"> </w:t>
      </w:r>
      <w:r>
        <w:t xml:space="preserve">BIRDC IT and Peter to register on the URA EFRIS developer portal and obtain sandbox API credentials. Target: before the Phase 1 invoice testing sprint (estimated Phase 1 integration week). Owner: BIRDC IT / Peter.</w:t>
      </w:r>
    </w:p>
    <w:p>
      <w:pPr>
        <w:numPr>
          <w:ilvl w:val="0"/>
          <w:numId w:val="1003"/>
        </w:numPr>
      </w:pPr>
      <w:r>
        <w:rPr>
          <w:b/>
          <w:bCs/>
        </w:rPr>
        <w:t xml:space="preserve">Resolve CA-007 (GAP-007) — PPDA Threshold Values — High.</w:t>
      </w:r>
      <w:r>
        <w:t xml:space="preserve"> </w:t>
      </w:r>
      <w:r>
        <w:t xml:space="preserve">BIRDC Administration to obtain the current PPDA procurement threshold schedule. Without confirmed values, the procurement approval matrix cannot be configured and Phase 3 procurement module testing is blocked. Target: before Phase 3 development begins. Owner: BIRDC Administration.</w:t>
      </w:r>
    </w:p>
    <w:p>
      <w:pPr>
        <w:numPr>
          <w:ilvl w:val="0"/>
          <w:numId w:val="1003"/>
        </w:numPr>
      </w:pPr>
      <w:r>
        <w:rPr>
          <w:b/>
          <w:bCs/>
        </w:rPr>
        <w:t xml:space="preserve">Resolve CA-012 (GAP-012) — Chart of Accounts — High.</w:t>
      </w:r>
      <w:r>
        <w:t xml:space="preserve"> </w:t>
      </w:r>
      <w:r>
        <w:t xml:space="preserve">Finance Director to confirm whether an existing CoA file can be provided or whether the 1,307-account structure must be designed from scratch. This decision directly affects the Phase 2 GL module database design timeline. Target: before Phase 2 database design sprint. Owner: Finance Director.</w:t>
      </w:r>
    </w:p>
    <w:p>
      <w:pPr>
        <w:numPr>
          <w:ilvl w:val="0"/>
          <w:numId w:val="1003"/>
        </w:numPr>
      </w:pPr>
      <w:r>
        <w:rPr>
          <w:b/>
          <w:bCs/>
        </w:rPr>
        <w:t xml:space="preserve">Resolve CA-014 (GAP-014) — Legacy Data Migration — High.</w:t>
      </w:r>
      <w:r>
        <w:t xml:space="preserve"> </w:t>
      </w:r>
      <w:r>
        <w:t xml:space="preserve">Finance Director to confirm what accounting data (if any) must be migrated and from which source system. Without this, the go-live cutover plan cannot be written. Target: before Phase 6 planning. Owner: Finance Director / Peter.</w:t>
      </w:r>
    </w:p>
    <w:p>
      <w:pPr>
        <w:numPr>
          <w:ilvl w:val="0"/>
          <w:numId w:val="1003"/>
        </w:numPr>
      </w:pPr>
      <w:r>
        <w:rPr>
          <w:b/>
          <w:bCs/>
        </w:rPr>
        <w:t xml:space="preserve">Resolve CA-008 (GAP-008) — PAYE Tax Bands — High.</w:t>
      </w:r>
      <w:r>
        <w:t xml:space="preserve"> </w:t>
      </w:r>
      <w:r>
        <w:t xml:space="preserve">Peter to confirm 2025/26 URA PAYE tax band values from the URA Uganda website. Target: before Phase 5 payroll module development begins. Owner: Peter.</w:t>
      </w:r>
    </w:p>
    <w:p>
      <w:pPr>
        <w:numPr>
          <w:ilvl w:val="0"/>
          <w:numId w:val="1003"/>
        </w:numPr>
      </w:pPr>
      <w:r>
        <w:rPr>
          <w:b/>
          <w:bCs/>
        </w:rPr>
        <w:t xml:space="preserve">Resolve CA-010 (GAP-010) — Export CoA Parameters — High.</w:t>
      </w:r>
      <w:r>
        <w:t xml:space="preserve"> </w:t>
      </w:r>
      <w:r>
        <w:t xml:space="preserve">BIRDC QC Manager to obtain import inspection parameter lists for South Korea, EU, Saudi Arabia, Qatar, and the United States. Target: before Phase 4 QC module design. Owner: BIRDC QC Manager.</w:t>
      </w:r>
    </w:p>
    <w:p>
      <w:pPr>
        <w:numPr>
          <w:ilvl w:val="0"/>
          <w:numId w:val="1003"/>
        </w:numPr>
      </w:pPr>
      <w:r>
        <w:rPr>
          <w:b/>
          <w:bCs/>
        </w:rPr>
        <w:t xml:space="preserve">Remediate IA-001 (BR-018) — Add FR-FIN-013 and FR-FIN-014 — Medium.</w:t>
      </w:r>
      <w:r>
        <w:t xml:space="preserve"> </w:t>
      </w:r>
      <w:r>
        <w:t xml:space="preserve">Peter to add the two imprest FRs to SRS-P2 before the next SRS review cycle. Target: next SRS update sprint. Owner: Peter.</w:t>
      </w:r>
    </w:p>
    <w:p>
      <w:pPr>
        <w:numPr>
          <w:ilvl w:val="0"/>
          <w:numId w:val="1003"/>
        </w:numPr>
      </w:pPr>
      <w:r>
        <w:rPr>
          <w:b/>
          <w:bCs/>
        </w:rPr>
        <w:t xml:space="preserve">Resolve CA-002 (GAP-002) — MTN MoMo Sandbox — High.</w:t>
      </w:r>
      <w:r>
        <w:t xml:space="preserve"> </w:t>
      </w:r>
      <w:r>
        <w:t xml:space="preserve">Peter to register MTN MoMo Developer Portal during Phase 1 development. Target: before Phase 2 agent remittance and farmer payment testing. Owner: Peter / BIRDC Finance.</w:t>
      </w:r>
    </w:p>
    <w:p>
      <w:pPr>
        <w:numPr>
          <w:ilvl w:val="0"/>
          <w:numId w:val="1003"/>
        </w:numPr>
      </w:pPr>
      <w:r>
        <w:rPr>
          <w:b/>
          <w:bCs/>
        </w:rPr>
        <w:t xml:space="preserve">Resolve remaining Medium-severity gaps (CA-003, CA-005, CA-006, CA-009, CA-011, CA-013)</w:t>
      </w:r>
      <w:r>
        <w:t xml:space="preserve"> </w:t>
      </w:r>
      <w:r>
        <w:t xml:space="preserve">during their respective phase development windows.</w:t>
      </w:r>
    </w:p>
    <w:bookmarkEnd w:id="35"/>
    <w:bookmarkStart w:id="36" w:name="X0e59942ee2a9703bcc42b00135d593d8ed8f0db"/>
    <w:p>
      <w:pPr>
        <w:pStyle w:val="Heading2"/>
      </w:pPr>
      <w:r>
        <w:t xml:space="preserve">4.3 Audit Certification</w:t>
      </w:r>
    </w:p>
    <w:p>
      <w:pPr>
        <w:pStyle w:val="FirstParagraph"/>
      </w:pPr>
      <w:r>
        <w:t xml:space="preserve">This audit was conducted by the SRS author in dual capacity as audit executor, consistent with the PRIME methodology requirement for Inspect and Modify cycles before Execution. An independent peer review by the Finance Director (STK-002) is recommended before final SRS sign-off, specifically for SRS-P2 (Financial Core), to confirm that the dual-mode accounting specification aligns with BIRDC's ICPAU obligations and parliamentary reporting format.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r>
      <w:tr>
        <w:tc>
          <w:tcPr/>
          <w:p>
            <w:pPr>
              <w:pStyle w:val="Compact"/>
            </w:pPr>
            <w:r>
              <w:t xml:space="preserve">Audit Executor / SRS Author</w:t>
            </w:r>
          </w:p>
        </w:tc>
        <w:tc>
          <w:tcPr/>
          <w:p>
            <w:pPr>
              <w:pStyle w:val="Compact"/>
            </w:pPr>
            <w:r>
              <w:t xml:space="preserve">Peter Bamuhigire, ICT Consultant</w:t>
            </w:r>
          </w:p>
        </w:tc>
        <w:tc>
          <w:tcPr/>
          <w:p>
            <w:pPr>
              <w:pStyle w:val="Compact"/>
            </w:pPr>
            <w:r>
              <w:t xml:space="preserve">2026-04-05</w:t>
            </w:r>
          </w:p>
        </w:tc>
      </w:tr>
      <w:tr>
        <w:tc>
          <w:tcPr/>
          <w:p>
            <w:pPr>
              <w:pStyle w:val="Compact"/>
            </w:pPr>
            <w:r>
              <w:t xml:space="preserve">Finance Director Review (pending)</w:t>
            </w:r>
          </w:p>
        </w:tc>
        <w:tc>
          <w:tcPr/>
          <w:p>
            <w:pPr>
              <w:pStyle w:val="Compact"/>
            </w:pPr>
            <w:r>
              <w:t xml:space="preserve">[To be signed]</w:t>
            </w:r>
          </w:p>
        </w:tc>
        <w:tc>
          <w:tcPr/>
          <w:p>
            <w:pPr>
              <w:pStyle w:val="Compact"/>
            </w:pPr>
            <w:r>
              <w:t xml:space="preserve">[Date]</w:t>
            </w:r>
          </w:p>
        </w:tc>
      </w:tr>
      <w:tr>
        <w:tc>
          <w:tcPr/>
          <w:p>
            <w:pPr>
              <w:pStyle w:val="Compact"/>
            </w:pPr>
            <w:r>
              <w:t xml:space="preserve">BIRDC Director Sign-off (pending)</w:t>
            </w:r>
          </w:p>
        </w:tc>
        <w:tc>
          <w:tcPr/>
          <w:p>
            <w:pPr>
              <w:pStyle w:val="Compact"/>
            </w:pPr>
            <w:r>
              <w:t xml:space="preserve">[To be signed]</w:t>
            </w:r>
          </w:p>
        </w:tc>
        <w:tc>
          <w:tcPr/>
          <w:p>
            <w:pPr>
              <w:pStyle w:val="Compact"/>
            </w:pPr>
            <w:r>
              <w:t xml:space="preserve">[Date]</w:t>
            </w:r>
          </w:p>
        </w:tc>
      </w:tr>
    </w:tbl>
    <w:bookmarkEnd w:id="36"/>
    <w:bookmarkEnd w:id="37"/>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Pre-Development Software Verification and Validation Audit Report — BIRDC ERP</dc:title>
  <dc:creator>Peter Bamuhigire, ICT Consultant (techguypeter.com) for PIBID/BIRDC</dc:creator>
  <cp:keywords/>
  <dcterms:created xsi:type="dcterms:W3CDTF">2026-04-05T16:58:42Z</dcterms:created>
  <dcterms:modified xsi:type="dcterms:W3CDTF">2026-04-05T16:58:42Z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Conditional Pass — Pending GAP Resolution</vt:lpwstr>
  </property>
  <property fmtid="{D5CDD505-2E9C-101B-9397-08002B2CF9AE}" pid="4" name="subtitle">
    <vt:lpwstr>IEEE 1012-2012 Compliance Audit of the SRS Documentation Suite</vt:lpwstr>
  </property>
  <property fmtid="{D5CDD505-2E9C-101B-9397-08002B2CF9AE}" pid="5" name="version">
    <vt:lpwstr>1.0</vt:lpwstr>
  </property>
</Properties>
</file>