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Definition of Ready — BIRDC ERP</w:t>
      </w:r>
    </w:p>
    <w:p>
      <w:pPr>
        <w:pStyle w:val="Subtitle"/>
      </w:pPr>
      <w:r>
        <w:t xml:space="preserve">Pre-Development Gate for Task Assignment</w:t>
      </w:r>
    </w:p>
    <w:p>
      <w:pPr>
        <w:pStyle w:val="Author"/>
      </w:pPr>
      <w:r>
        <w:t xml:space="preserve">Peter Bamuhigire, ICT Consultant (techguypeter.com)</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definition-of-ready--birdc-erp"/>
    <w:p>
      <w:pPr>
        <w:pStyle w:val="Heading1"/>
      </w:pPr>
      <w:r>
        <w:t xml:space="preserve">Definition of Ready — BIRDC ERP</w:t>
      </w:r>
    </w:p>
    <w:p>
      <w:pPr>
        <w:pStyle w:val="FirstParagraph"/>
      </w:pPr>
      <w:r>
        <w:rPr>
          <w:b/>
          <w:bCs/>
        </w:rPr>
        <w:t xml:space="preserve">Prepared by:</w:t>
      </w:r>
      <w:r>
        <w:t xml:space="preserve"> </w:t>
      </w:r>
      <w:r>
        <w:t xml:space="preserve">Peter Bamuhigire, ICT Consultant (techguypeter.com) for PIBID/BIRDC</w:t>
      </w:r>
    </w:p>
    <w:p>
      <w:pPr>
        <w:pStyle w:val="BodyText"/>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Bushenyi District, Western Uganda</w:t>
      </w:r>
    </w:p>
    <w:p>
      <w:pPr>
        <w:pStyle w:val="BodyText"/>
      </w:pPr>
      <w:r>
        <w:rPr>
          <w:b/>
          <w:bCs/>
        </w:rPr>
        <w:t xml:space="preserve">Date:</w:t>
      </w:r>
      <w:r>
        <w:t xml:space="preserve"> </w:t>
      </w:r>
      <w:r>
        <w:t xml:space="preserve">2026-04-05</w:t>
      </w:r>
    </w:p>
    <w:p>
      <w:pPr>
        <w:pStyle w:val="BodyText"/>
      </w:pPr>
      <w:r>
        <w:rPr>
          <w:b/>
          <w:bCs/>
        </w:rPr>
        <w:t xml:space="preserve">Version:</w:t>
      </w:r>
      <w:r>
        <w:t xml:space="preserve"> </w:t>
      </w:r>
      <w:r>
        <w:t xml:space="preserve">1.0</w:t>
      </w:r>
    </w:p>
    <w:p>
      <w:pPr>
        <w:pStyle w:val="BodyText"/>
      </w:pPr>
      <w:r>
        <w:rPr>
          <w:b/>
          <w:bCs/>
        </w:rPr>
        <w:t xml:space="preserve">Classification:</w:t>
      </w:r>
      <w:r>
        <w:t xml:space="preserve"> </w:t>
      </w:r>
      <w:r>
        <w:t xml:space="preserve">Confidential — Client Use Only</w:t>
      </w:r>
    </w:p>
    <w:p>
      <w:r>
        <w:pict>
          <v:rect style="width:0;height:1.5pt" o:hralign="center" o:hrstd="t" o:hr="t"/>
        </w:pict>
      </w:r>
    </w:p>
    <w:bookmarkStart w:id="19" w:name="X4666c8db187a468bd7c4d1efd69e1ca31a62544"/>
    <w:p>
      <w:pPr>
        <w:pStyle w:val="Heading2"/>
      </w:pPr>
      <w:r>
        <w:t xml:space="preserve">1. Purpose and Scope</w:t>
      </w:r>
    </w:p>
    <w:p>
      <w:pPr>
        <w:pStyle w:val="FirstParagraph"/>
      </w:pPr>
      <w:r>
        <w:t xml:space="preserve">This document defines the</w:t>
      </w:r>
      <w:r>
        <w:t xml:space="preserve"> </w:t>
      </w:r>
      <w:r>
        <w:rPr>
          <w:b/>
          <w:bCs/>
        </w:rPr>
        <w:t xml:space="preserve">Definition of Ready (DoR)</w:t>
      </w:r>
      <w:r>
        <w:t xml:space="preserve"> </w:t>
      </w:r>
      <w:r>
        <w:t xml:space="preserve">for the BIRDC ERP project. A task or feature is READY only when a developer can pick it up and begin implementation without needing to ask clarifying questions about scope, business rules, data model, access control, or external dependencies.</w:t>
      </w:r>
    </w:p>
    <w:p>
      <w:pPr>
        <w:pStyle w:val="BodyText"/>
      </w:pPr>
      <w:r>
        <w:t xml:space="preserve">Assigning a task that is not Ready wastes developer time, introduces requirement ambiguity, and is a leading cause of rework. No task may be assigned to a developer unless every applicable criterion in this document is met.</w:t>
      </w:r>
    </w:p>
    <w:p>
      <w:pPr>
        <w:pStyle w:val="BodyText"/>
      </w:pPr>
      <w:r>
        <w:t xml:space="preserve">The DoR is maintained by Peter Bamuhigire. Developers are expected to flag any criterion that is unmet when a task is assigned to them; a task returned as "not ready" must be resolved by Peter Bamuhigire before implementation begins.</w:t>
      </w:r>
    </w:p>
    <w:p>
      <w:pPr>
        <w:pStyle w:val="BodyText"/>
      </w:pPr>
      <w:r>
        <w:t xml:space="preserve">The DoR applies to all new features, fixes, integrations, and changes on this engagement.</w:t>
      </w:r>
    </w:p>
    <w:bookmarkEnd w:id="19"/>
    <w:bookmarkStart w:id="32" w:name="Xbb08edb29e6b009c037b6475a79a9a3969c61e4"/>
    <w:p>
      <w:pPr>
        <w:pStyle w:val="Heading2"/>
      </w:pPr>
      <w:r>
        <w:t xml:space="preserve">2. Readiness Criteria</w:t>
      </w:r>
    </w:p>
    <w:p>
      <w:pPr>
        <w:pStyle w:val="FirstParagraph"/>
      </w:pPr>
      <w:r>
        <w:t xml:space="preserve">A feature or task is READY to be assigned to a developer only when ALL of the following criteria are satisfied and documented in the task description.</w:t>
      </w:r>
    </w:p>
    <w:bookmarkStart w:id="20" w:name="Xdf47e4f0845683e13e2ca8057a0193bee7f81eb"/>
    <w:p>
      <w:pPr>
        <w:pStyle w:val="Heading3"/>
      </w:pPr>
      <w:r>
        <w:t xml:space="preserve">2.1 Requirements Reference</w:t>
      </w:r>
    </w:p>
    <w:p>
      <w:pPr>
        <w:pStyle w:val="Compact"/>
        <w:numPr>
          <w:ilvl w:val="0"/>
          <w:numId w:val="1001"/>
        </w:numPr>
      </w:pPr>
      <w:r>
        <w:t xml:space="preserve">The task description cites the functional requirement identifier(s) from the relevant BIRDC ERP Software Requirements Specification document (e.g., FR-SAL-001, FR-POS-003).</w:t>
      </w:r>
    </w:p>
    <w:p>
      <w:pPr>
        <w:pStyle w:val="Compact"/>
        <w:numPr>
          <w:ilvl w:val="0"/>
          <w:numId w:val="1001"/>
        </w:numPr>
      </w:pPr>
      <w:r>
        <w:t xml:space="preserve">If a task has no corresponding FR identifier, it must be traced to a business rule (BR-xxx), a design constraint (DC-xxx), or a documented gap resolution — or it must not be implemented.</w:t>
      </w:r>
    </w:p>
    <w:bookmarkEnd w:id="20"/>
    <w:bookmarkStart w:id="21" w:name="Xea5112630f48a54dd1c704640d6146eba024cee"/>
    <w:p>
      <w:pPr>
        <w:pStyle w:val="Heading3"/>
      </w:pPr>
      <w:r>
        <w:t xml:space="preserve">2.2 Acceptance Criteria</w:t>
      </w:r>
    </w:p>
    <w:p>
      <w:pPr>
        <w:pStyle w:val="Compact"/>
        <w:numPr>
          <w:ilvl w:val="0"/>
          <w:numId w:val="1002"/>
        </w:numPr>
      </w:pPr>
      <w:r>
        <w:t xml:space="preserve">Acceptance criteria are written as deterministic pass/fail statements — no judgment calls allowed.</w:t>
      </w:r>
    </w:p>
    <w:p>
      <w:pPr>
        <w:pStyle w:val="Compact"/>
        <w:numPr>
          <w:ilvl w:val="0"/>
          <w:numId w:val="1002"/>
        </w:numPr>
      </w:pPr>
      <w:r>
        <w:t xml:space="preserve">Each criterion must be testable by an automated test or a specific, reproducible manual test procedure.</w:t>
      </w:r>
    </w:p>
    <w:p>
      <w:pPr>
        <w:pStyle w:val="Compact"/>
        <w:numPr>
          <w:ilvl w:val="0"/>
          <w:numId w:val="1002"/>
        </w:numPr>
      </w:pPr>
      <w:r>
        <w:t xml:space="preserve">Examples of unacceptable acceptance criteria: "the report looks correct"; "the system feels fast". These fail the verifiability standard.</w:t>
      </w:r>
    </w:p>
    <w:p>
      <w:pPr>
        <w:pStyle w:val="Compact"/>
        <w:numPr>
          <w:ilvl w:val="0"/>
          <w:numId w:val="1002"/>
        </w:numPr>
      </w:pPr>
      <w:r>
        <w:t xml:space="preserve">Examples of acceptable acceptance criteria: "the Trial Balance debit total equals the credit total to 2 decimal places"; "product search returns results within 500 ms at P95 under simulated load of 50 concurrent users".</w:t>
      </w:r>
    </w:p>
    <w:bookmarkEnd w:id="21"/>
    <w:bookmarkStart w:id="22" w:name="Xc86ea4bc5767f83c343c98834e4fa752ffa4af2"/>
    <w:p>
      <w:pPr>
        <w:pStyle w:val="Heading3"/>
      </w:pPr>
      <w:r>
        <w:t xml:space="preserve">2.3 Applicable Business Rules</w:t>
      </w:r>
    </w:p>
    <w:p>
      <w:pPr>
        <w:pStyle w:val="Compact"/>
        <w:numPr>
          <w:ilvl w:val="0"/>
          <w:numId w:val="1003"/>
        </w:numPr>
      </w:pPr>
      <w:r>
        <w:t xml:space="preserve">All business rules (BR-001 through BR-018) that govern the task's behaviour are explicitly listed in the task description.</w:t>
      </w:r>
    </w:p>
    <w:p>
      <w:pPr>
        <w:pStyle w:val="Compact"/>
        <w:numPr>
          <w:ilvl w:val="0"/>
          <w:numId w:val="1003"/>
        </w:numPr>
      </w:pPr>
      <w:r>
        <w:t xml:space="preserve">For each listed business rule, the task description states how compliance will be verified.</w:t>
      </w:r>
    </w:p>
    <w:bookmarkEnd w:id="22"/>
    <w:bookmarkStart w:id="23" w:name="Xd3ecbc5679faeab8cbbb7d4ebafebab5ed8d8d7"/>
    <w:p>
      <w:pPr>
        <w:pStyle w:val="Heading3"/>
      </w:pPr>
      <w:r>
        <w:t xml:space="preserve">2.4 Database Tables Affected</w:t>
      </w:r>
    </w:p>
    <w:p>
      <w:pPr>
        <w:pStyle w:val="Compact"/>
        <w:numPr>
          <w:ilvl w:val="0"/>
          <w:numId w:val="1004"/>
        </w:numPr>
      </w:pPr>
      <w:r>
        <w:t xml:space="preserve">Every database table that will be created, altered, or read by this task is identified by name.</w:t>
      </w:r>
    </w:p>
    <w:p>
      <w:pPr>
        <w:pStyle w:val="Compact"/>
        <w:numPr>
          <w:ilvl w:val="0"/>
          <w:numId w:val="1004"/>
        </w:numPr>
      </w:pPr>
      <w:r>
        <w:t xml:space="preserve">For new tables, a draft schema (column names, data types, constraints, foreign keys) is included in the task description or linked design document.</w:t>
      </w:r>
    </w:p>
    <w:p>
      <w:pPr>
        <w:pStyle w:val="Compact"/>
        <w:numPr>
          <w:ilvl w:val="0"/>
          <w:numId w:val="1004"/>
        </w:numPr>
      </w:pPr>
      <w:r>
        <w:t xml:space="preserve">For existing tables, the specific columns affected by the task are named.</w:t>
      </w:r>
    </w:p>
    <w:bookmarkEnd w:id="23"/>
    <w:bookmarkStart w:id="24" w:name="X57c708ec7c15139f3ddfb8df2a417544426e162"/>
    <w:p>
      <w:pPr>
        <w:pStyle w:val="Heading3"/>
      </w:pPr>
      <w:r>
        <w:t xml:space="preserve">2.5 GL Posting Requirement</w:t>
      </w:r>
    </w:p>
    <w:p>
      <w:pPr>
        <w:pStyle w:val="Compact"/>
        <w:numPr>
          <w:ilvl w:val="0"/>
          <w:numId w:val="1005"/>
        </w:numPr>
      </w:pPr>
      <w:r>
        <w:t xml:space="preserve">The task description explicitly states whether this task involves a General Ledger posting:</w:t>
      </w:r>
      <w:r>
        <w:t xml:space="preserve"> </w:t>
      </w:r>
      <w:r>
        <w:rPr>
          <w:b/>
          <w:bCs/>
        </w:rPr>
        <w:t xml:space="preserve">Yes</w:t>
      </w:r>
      <w:r>
        <w:t xml:space="preserve"> </w:t>
      </w:r>
      <w:r>
        <w:t xml:space="preserve">or</w:t>
      </w:r>
      <w:r>
        <w:t xml:space="preserve"> </w:t>
      </w:r>
      <w:r>
        <w:rPr>
          <w:b/>
          <w:bCs/>
        </w:rPr>
        <w:t xml:space="preserve">No</w:t>
      </w:r>
      <w:r>
        <w:t xml:space="preserve">.</w:t>
      </w:r>
    </w:p>
    <w:p>
      <w:pPr>
        <w:pStyle w:val="Compact"/>
        <w:numPr>
          <w:ilvl w:val="0"/>
          <w:numId w:val="1005"/>
        </w:numPr>
      </w:pPr>
      <w:r>
        <w:t xml:space="preserve">If Yes, the debit account(s) and credit account(s) are named using the BIRDC Chart of Accounts account codes and names (e.g., "DR 1300 Trade Receivables / CR 4100 Revenue from Tooke Sales").</w:t>
      </w:r>
    </w:p>
    <w:p>
      <w:pPr>
        <w:pStyle w:val="Compact"/>
        <w:numPr>
          <w:ilvl w:val="0"/>
          <w:numId w:val="1005"/>
        </w:numPr>
      </w:pPr>
      <w:r>
        <w:t xml:space="preserve">If Yes, the task is not Ready until the GL posting logic is confirmed by Peter Bamuhigire.</w:t>
      </w:r>
    </w:p>
    <w:bookmarkEnd w:id="24"/>
    <w:bookmarkStart w:id="25" w:name="X6d517766d3d4701131f8e09c7f58c20276657ca"/>
    <w:p>
      <w:pPr>
        <w:pStyle w:val="Heading3"/>
      </w:pPr>
      <w:r>
        <w:t xml:space="preserve">2.6 API Endpoints Required</w:t>
      </w:r>
    </w:p>
    <w:p>
      <w:pPr>
        <w:pStyle w:val="Compact"/>
        <w:numPr>
          <w:ilvl w:val="0"/>
          <w:numId w:val="1006"/>
        </w:numPr>
      </w:pPr>
      <w:r>
        <w:t xml:space="preserve">Every API endpoint required by this task is listed with:</w:t>
      </w:r>
    </w:p>
    <w:p>
      <w:pPr>
        <w:pStyle w:val="Compact"/>
        <w:numPr>
          <w:ilvl w:val="1"/>
          <w:numId w:val="1007"/>
        </w:numPr>
      </w:pPr>
      <w:r>
        <w:t xml:space="preserve">HTTP method (GET, POST, PUT, PATCH, DELETE).</w:t>
      </w:r>
    </w:p>
    <w:p>
      <w:pPr>
        <w:pStyle w:val="Compact"/>
        <w:numPr>
          <w:ilvl w:val="1"/>
          <w:numId w:val="1007"/>
        </w:numPr>
      </w:pPr>
      <w:r>
        <w:t xml:space="preserve">Full URL path (e.g.,</w:t>
      </w:r>
      <w:r>
        <w:t xml:space="preserve"> </w:t>
      </w:r>
      <w:r>
        <w:rPr>
          <w:rStyle w:val="VerbatimChar"/>
        </w:rPr>
        <w:t xml:space="preserve">POST /api/v1/sales/invoices</w:t>
      </w:r>
      <w:r>
        <w:t xml:space="preserve">).</w:t>
      </w:r>
    </w:p>
    <w:p>
      <w:pPr>
        <w:pStyle w:val="Compact"/>
        <w:numPr>
          <w:ilvl w:val="1"/>
          <w:numId w:val="1007"/>
        </w:numPr>
      </w:pPr>
      <w:r>
        <w:t xml:space="preserve">Request payload schema (field names and data types).</w:t>
      </w:r>
    </w:p>
    <w:p>
      <w:pPr>
        <w:pStyle w:val="Compact"/>
        <w:numPr>
          <w:ilvl w:val="1"/>
          <w:numId w:val="1007"/>
        </w:numPr>
      </w:pPr>
      <w:r>
        <w:t xml:space="preserve">Response schema (field names, data types, and HTTP status codes for success and error cases).</w:t>
      </w:r>
    </w:p>
    <w:bookmarkEnd w:id="25"/>
    <w:bookmarkStart w:id="26" w:name="X27e9466eb8c50ccbc1535f0dd77a284f082f3d4"/>
    <w:p>
      <w:pPr>
        <w:pStyle w:val="Heading3"/>
      </w:pPr>
      <w:r>
        <w:t xml:space="preserve">2.7 RBAC — Roles Permitted</w:t>
      </w:r>
    </w:p>
    <w:p>
      <w:pPr>
        <w:pStyle w:val="Compact"/>
        <w:numPr>
          <w:ilvl w:val="0"/>
          <w:numId w:val="1008"/>
        </w:numPr>
      </w:pPr>
      <w:r>
        <w:t xml:space="preserve">The task description specifies which system roles are permitted to perform each action exposed by this task.</w:t>
      </w:r>
    </w:p>
    <w:p>
      <w:pPr>
        <w:pStyle w:val="Compact"/>
        <w:numPr>
          <w:ilvl w:val="0"/>
          <w:numId w:val="1008"/>
        </w:numPr>
      </w:pPr>
      <w:r>
        <w:t xml:space="preserve">Role names must correspond to the BIRDC ERP Role and Permission Matrix (F-017).</w:t>
      </w:r>
    </w:p>
    <w:p>
      <w:pPr>
        <w:pStyle w:val="Compact"/>
        <w:numPr>
          <w:ilvl w:val="0"/>
          <w:numId w:val="1008"/>
        </w:numPr>
      </w:pPr>
      <w:r>
        <w:t xml:space="preserve">If a role is permitted to perform the action only under a condition (e.g., only within their assigned territory, or only for records they created), that condition is explicitly stated.</w:t>
      </w:r>
    </w:p>
    <w:p>
      <w:pPr>
        <w:pStyle w:val="Compact"/>
        <w:numPr>
          <w:ilvl w:val="0"/>
          <w:numId w:val="1008"/>
        </w:numPr>
      </w:pPr>
      <w:r>
        <w:t xml:space="preserve">If the action is restricted by segregation of duties (BR-003), the restriction is explicitly stated: "the user who created this record must not be the user who approves it."</w:t>
      </w:r>
    </w:p>
    <w:bookmarkEnd w:id="26"/>
    <w:bookmarkStart w:id="27" w:name="X45e1d457657dc0a75463d918259ecfa5e2d4257"/>
    <w:p>
      <w:pPr>
        <w:pStyle w:val="Heading3"/>
      </w:pPr>
      <w:r>
        <w:t xml:space="preserve">2.8 Audit Log Event</w:t>
      </w:r>
    </w:p>
    <w:p>
      <w:pPr>
        <w:pStyle w:val="Compact"/>
        <w:numPr>
          <w:ilvl w:val="0"/>
          <w:numId w:val="1009"/>
        </w:numPr>
      </w:pPr>
      <w:r>
        <w:t xml:space="preserve">The task description specifies the event type string that</w:t>
      </w:r>
      <w:r>
        <w:t xml:space="preserve"> </w:t>
      </w:r>
      <w:r>
        <w:rPr>
          <w:rStyle w:val="VerbatimChar"/>
        </w:rPr>
        <w:t xml:space="preserve">AuditLogService</w:t>
      </w:r>
      <w:r>
        <w:t xml:space="preserve"> </w:t>
      </w:r>
      <w:r>
        <w:t xml:space="preserve">must record for each state-changing operation in this task.</w:t>
      </w:r>
    </w:p>
    <w:p>
      <w:pPr>
        <w:pStyle w:val="Compact"/>
        <w:numPr>
          <w:ilvl w:val="0"/>
          <w:numId w:val="1009"/>
        </w:numPr>
      </w:pPr>
      <w:r>
        <w:t xml:space="preserve">Example: "On invoice confirmation: log event type</w:t>
      </w:r>
      <w:r>
        <w:t xml:space="preserve"> </w:t>
      </w:r>
      <w:r>
        <w:rPr>
          <w:rStyle w:val="VerbatimChar"/>
        </w:rPr>
        <w:t xml:space="preserve">invoice.confirmed</w:t>
      </w:r>
      <w:r>
        <w:t xml:space="preserve">, affected table</w:t>
      </w:r>
      <w:r>
        <w:t xml:space="preserve"> </w:t>
      </w:r>
      <w:r>
        <w:rPr>
          <w:rStyle w:val="VerbatimChar"/>
        </w:rPr>
        <w:t xml:space="preserve">tbl_invoices</w:t>
      </w:r>
      <w:r>
        <w:t xml:space="preserve">, record</w:t>
      </w:r>
      <w:r>
        <w:t xml:space="preserve"> </w:t>
      </w:r>
      <w:r>
        <w:rPr>
          <w:rStyle w:val="VerbatimChar"/>
        </w:rPr>
        <w:t xml:space="preserve">invoice_id</w:t>
      </w:r>
      <w:r>
        <w:t xml:space="preserve">."</w:t>
      </w:r>
    </w:p>
    <w:p>
      <w:pPr>
        <w:pStyle w:val="Compact"/>
        <w:numPr>
          <w:ilvl w:val="0"/>
          <w:numId w:val="1009"/>
        </w:numPr>
      </w:pPr>
      <w:r>
        <w:t xml:space="preserve">If the task has no state-changing operations, this field is marked "N/A" with justification.</w:t>
      </w:r>
    </w:p>
    <w:bookmarkEnd w:id="27"/>
    <w:bookmarkStart w:id="28" w:name="X0ad25b0941b214255f167c9e1475b42d9ff45fe"/>
    <w:p>
      <w:pPr>
        <w:pStyle w:val="Heading3"/>
      </w:pPr>
      <w:r>
        <w:t xml:space="preserve">2.9 Blocking Dependencies</w:t>
      </w:r>
    </w:p>
    <w:p>
      <w:pPr>
        <w:pStyle w:val="Compact"/>
        <w:numPr>
          <w:ilvl w:val="0"/>
          <w:numId w:val="1010"/>
        </w:numPr>
      </w:pPr>
      <w:r>
        <w:t xml:space="preserve">All tasks that must be completed before this task can begin are listed by task ID or feature name.</w:t>
      </w:r>
    </w:p>
    <w:p>
      <w:pPr>
        <w:pStyle w:val="Compact"/>
        <w:numPr>
          <w:ilvl w:val="0"/>
          <w:numId w:val="1010"/>
        </w:numPr>
      </w:pPr>
      <w:r>
        <w:t xml:space="preserve">A task with unresolved blocking dependencies is not Ready and must not be assigned.</w:t>
      </w:r>
    </w:p>
    <w:bookmarkEnd w:id="28"/>
    <w:bookmarkStart w:id="29" w:name="X7bebbeb582a2d04f7800b00fd72d731c41a5c70"/>
    <w:p>
      <w:pPr>
        <w:pStyle w:val="Heading3"/>
      </w:pPr>
      <w:r>
        <w:t xml:space="preserve">2.10 External Dependency Gaps</w:t>
      </w:r>
    </w:p>
    <w:p>
      <w:pPr>
        <w:pStyle w:val="Compact"/>
        <w:numPr>
          <w:ilvl w:val="0"/>
          <w:numId w:val="1011"/>
        </w:numPr>
      </w:pPr>
      <w:r>
        <w:t xml:space="preserve">All open gap items (GAP-xxx from the Gap Analysis document) that affect this task are listed.</w:t>
      </w:r>
    </w:p>
    <w:p>
      <w:pPr>
        <w:pStyle w:val="Compact"/>
        <w:numPr>
          <w:ilvl w:val="0"/>
          <w:numId w:val="1011"/>
        </w:numPr>
      </w:pPr>
      <w:r>
        <w:t xml:space="preserve">If a listed gap is critical (i.e., the task cannot be implemented or tested without the gap being resolved), the task is</w:t>
      </w:r>
      <w:r>
        <w:t xml:space="preserve"> </w:t>
      </w:r>
      <w:r>
        <w:rPr>
          <w:b/>
          <w:bCs/>
        </w:rPr>
        <w:t xml:space="preserve">not Ready</w:t>
      </w:r>
      <w:r>
        <w:t xml:space="preserve"> </w:t>
      </w:r>
      <w:r>
        <w:t xml:space="preserve">until the gap is closed.</w:t>
      </w:r>
    </w:p>
    <w:p>
      <w:pPr>
        <w:pStyle w:val="Compact"/>
        <w:numPr>
          <w:ilvl w:val="0"/>
          <w:numId w:val="1011"/>
        </w:numPr>
      </w:pPr>
      <w:r>
        <w:t xml:space="preserve">If a listed gap is non-critical (i.e., the task can be implemented with a mock and swapped in when the gap is resolved), this is explicitly noted and the mock approach is described.</w:t>
      </w:r>
    </w:p>
    <w:p>
      <w:pPr>
        <w:pStyle w:val="Compact"/>
        <w:numPr>
          <w:ilvl w:val="0"/>
          <w:numId w:val="1011"/>
        </w:numPr>
      </w:pPr>
      <w:r>
        <w:t xml:space="preserve">The current resolution status of each listed gap is documented in the task description.</w:t>
      </w:r>
    </w:p>
    <w:bookmarkEnd w:id="29"/>
    <w:bookmarkStart w:id="30" w:name="X4e4c75dc30fb97d391bc5b96d7d1a5d9d36a971"/>
    <w:p>
      <w:pPr>
        <w:pStyle w:val="Heading3"/>
      </w:pPr>
      <w:r>
        <w:t xml:space="preserve">2.11 Effort Estimate</w:t>
      </w:r>
    </w:p>
    <w:p>
      <w:pPr>
        <w:pStyle w:val="Compact"/>
        <w:numPr>
          <w:ilvl w:val="0"/>
          <w:numId w:val="1012"/>
        </w:numPr>
      </w:pPr>
      <w:r>
        <w:t xml:space="preserve">The effort estimate for this task in developer-days is agreed between Peter Bamuhigire and the assigned developer before the task is marked Ready.</w:t>
      </w:r>
    </w:p>
    <w:p>
      <w:pPr>
        <w:pStyle w:val="Compact"/>
        <w:numPr>
          <w:ilvl w:val="0"/>
          <w:numId w:val="1012"/>
        </w:numPr>
      </w:pPr>
      <w:r>
        <w:t xml:space="preserve">The estimate accounts for: implementation, unit tests, integration tests, PHPDoc, staging deployment, and smoke test.</w:t>
      </w:r>
    </w:p>
    <w:p>
      <w:pPr>
        <w:pStyle w:val="Compact"/>
        <w:numPr>
          <w:ilvl w:val="0"/>
          <w:numId w:val="1012"/>
        </w:numPr>
      </w:pPr>
      <w:r>
        <w:t xml:space="preserve">An estimate that has not been reviewed and agreed is not valid — an unreviewed estimate from a developer without Peter Bamuhigire's confirmation means the task is not Ready.</w:t>
      </w:r>
    </w:p>
    <w:bookmarkEnd w:id="30"/>
    <w:bookmarkStart w:id="31" w:name="X5bdeb886ba7c556ef9f702b88558f5bfba3c8c5"/>
    <w:p>
      <w:pPr>
        <w:pStyle w:val="Heading3"/>
      </w:pPr>
      <w:r>
        <w:t xml:space="preserve">2.12 Developer Availability Confirmed</w:t>
      </w:r>
    </w:p>
    <w:p>
      <w:pPr>
        <w:pStyle w:val="Compact"/>
        <w:numPr>
          <w:ilvl w:val="0"/>
          <w:numId w:val="1013"/>
        </w:numPr>
      </w:pPr>
      <w:r>
        <w:t xml:space="preserve">The developer assigned to this task has confirmed availability to begin work on the specified start date.</w:t>
      </w:r>
    </w:p>
    <w:p>
      <w:pPr>
        <w:pStyle w:val="Compact"/>
        <w:numPr>
          <w:ilvl w:val="0"/>
          <w:numId w:val="1013"/>
        </w:numPr>
      </w:pPr>
      <w:r>
        <w:t xml:space="preserve">If the developer is shared across multiple tasks, the time allocation is explicitly stated (e.g., "50% of working hours for this task from [date] to [date]").</w:t>
      </w:r>
    </w:p>
    <w:p>
      <w:pPr>
        <w:pStyle w:val="Compact"/>
        <w:numPr>
          <w:ilvl w:val="0"/>
          <w:numId w:val="1013"/>
        </w:numPr>
      </w:pPr>
      <w:r>
        <w:t xml:space="preserve">A task assigned to a developer who has not confirmed availability is not Ready.</w:t>
      </w:r>
    </w:p>
    <w:bookmarkEnd w:id="31"/>
    <w:bookmarkEnd w:id="32"/>
    <w:bookmarkStart w:id="33" w:name="X25643d4fb26304e35b76d482c8610997674e6c4"/>
    <w:p>
      <w:pPr>
        <w:pStyle w:val="Heading2"/>
      </w:pPr>
      <w:r>
        <w:t xml:space="preserve">3. Task Description Template</w:t>
      </w:r>
    </w:p>
    <w:p>
      <w:pPr>
        <w:pStyle w:val="FirstParagraph"/>
      </w:pPr>
      <w:r>
        <w:t xml:space="preserve">Every task assigned to a developer must include a task description using the following structure. Fields marked (Required) must be completed. Fields marked (If applicable) must be completed when the condition applies; if not applicable, write "N/A" with a one-sentence justification.</w:t>
      </w:r>
    </w:p>
    <w:p>
      <w:r>
        <w:pict>
          <v:rect style="width:0;height:1.5pt" o:hralign="center" o:hrstd="t" o:hr="t"/>
        </w:pict>
      </w:r>
    </w:p>
    <w:p>
      <w:pPr>
        <w:pStyle w:val="FirstParagraph"/>
      </w:pPr>
      <w:r>
        <w:rPr>
          <w:b/>
          <w:bCs/>
        </w:rPr>
        <w:t xml:space="preserve">Task title:</w:t>
      </w:r>
      <w:r>
        <w:t xml:space="preserve"> </w:t>
      </w:r>
      <w:r>
        <w:t xml:space="preserve">[Short descriptive title — max 80 characters]</w:t>
      </w:r>
    </w:p>
    <w:p>
      <w:pPr>
        <w:pStyle w:val="BodyText"/>
      </w:pPr>
      <w:r>
        <w:rPr>
          <w:b/>
          <w:bCs/>
        </w:rPr>
        <w:t xml:space="preserve">FR reference(s) (Required):</w:t>
      </w:r>
      <w:r>
        <w:t xml:space="preserve"> </w:t>
      </w:r>
      <w:r>
        <w:t xml:space="preserve">[FR-XXX-NNN, or BR-xxx / DC-xxx if no FR applies]</w:t>
      </w:r>
    </w:p>
    <w:p>
      <w:pPr>
        <w:pStyle w:val="BodyText"/>
      </w:pPr>
      <w:r>
        <w:rPr>
          <w:b/>
          <w:bCs/>
        </w:rPr>
        <w:t xml:space="preserve">Milestone (Required):</w:t>
      </w:r>
      <w:r>
        <w:t xml:space="preserve"> </w:t>
      </w:r>
      <w:r>
        <w:t xml:space="preserve">[M-001 through M-007]</w:t>
      </w:r>
    </w:p>
    <w:p>
      <w:pPr>
        <w:pStyle w:val="BodyText"/>
      </w:pPr>
      <w:r>
        <w:rPr>
          <w:b/>
          <w:bCs/>
        </w:rPr>
        <w:t xml:space="preserve">Acceptance criteria (Required):</w:t>
      </w:r>
    </w:p>
    <w:p>
      <w:pPr>
        <w:pStyle w:val="Compact"/>
        <w:numPr>
          <w:ilvl w:val="0"/>
          <w:numId w:val="1014"/>
        </w:numPr>
      </w:pPr>
      <w:r>
        <w:t xml:space="preserve">[Deterministic pass/fail criterion — no judgment calls]</w:t>
      </w:r>
    </w:p>
    <w:p>
      <w:pPr>
        <w:pStyle w:val="Compact"/>
        <w:numPr>
          <w:ilvl w:val="0"/>
          <w:numId w:val="1014"/>
        </w:numPr>
      </w:pPr>
      <w:r>
        <w:t xml:space="preserve">[Deterministic pass/fail criterion — no judgment calls]</w:t>
      </w:r>
    </w:p>
    <w:p>
      <w:pPr>
        <w:pStyle w:val="Compact"/>
        <w:numPr>
          <w:ilvl w:val="0"/>
          <w:numId w:val="1014"/>
        </w:numPr>
      </w:pPr>
      <w:r>
        <w:t xml:space="preserve">[Add as many as needed — minimum 1]</w:t>
      </w:r>
    </w:p>
    <w:p>
      <w:pPr>
        <w:pStyle w:val="FirstParagraph"/>
      </w:pPr>
      <w:r>
        <w:rPr>
          <w:b/>
          <w:bCs/>
        </w:rPr>
        <w:t xml:space="preserve">Applicable business rules (If applicable):</w:t>
      </w:r>
      <w:r>
        <w:t xml:space="preserve"> </w:t>
      </w:r>
      <w:r>
        <w:t xml:space="preserve">[BR-xxx list with a one-line statement of how each rule applies to this task]</w:t>
      </w:r>
    </w:p>
    <w:p>
      <w:pPr>
        <w:pStyle w:val="BodyText"/>
      </w:pPr>
      <w:r>
        <w:rPr>
          <w:b/>
          <w:bCs/>
        </w:rPr>
        <w:t xml:space="preserve">Database tables affected (Required):</w:t>
      </w:r>
      <w:r>
        <w:t xml:space="preserve"> </w:t>
      </w:r>
      <w:r>
        <w:t xml:space="preserve">[Table names; for new tables, include draft schema or link to design document]</w:t>
      </w:r>
    </w:p>
    <w:p>
      <w:pPr>
        <w:pStyle w:val="BodyText"/>
      </w:pPr>
      <w:r>
        <w:rPr>
          <w:b/>
          <w:bCs/>
        </w:rPr>
        <w:t xml:space="preserve">GL posting required (Required):</w:t>
      </w:r>
      <w:r>
        <w:t xml:space="preserve"> </w:t>
      </w:r>
      <w:r>
        <w:t xml:space="preserve">Yes / No</w:t>
      </w:r>
      <w:r>
        <w:t xml:space="preserve"> </w:t>
      </w:r>
      <w:r>
        <w:t xml:space="preserve">If Yes — Debit: [account code and name] / Credit: [account code and name]</w:t>
      </w:r>
    </w:p>
    <w:p>
      <w:pPr>
        <w:pStyle w:val="BodyText"/>
      </w:pPr>
      <w:r>
        <w:rPr>
          <w:b/>
          <w:bCs/>
        </w:rPr>
        <w:t xml:space="preserve">API endpoints required (If applicable):</w:t>
      </w:r>
    </w:p>
    <w:p>
      <w:pPr>
        <w:pStyle w:val="Compact"/>
        <w:numPr>
          <w:ilvl w:val="0"/>
          <w:numId w:val="1015"/>
        </w:numPr>
      </w:pPr>
      <w:r>
        <w:t xml:space="preserve">[HTTP method] [URL path] — [brief description]</w:t>
      </w:r>
    </w:p>
    <w:p>
      <w:pPr>
        <w:pStyle w:val="Compact"/>
        <w:numPr>
          <w:ilvl w:val="1"/>
          <w:numId w:val="1016"/>
        </w:numPr>
      </w:pPr>
      <w:r>
        <w:t xml:space="preserve">Request: [field names and types]</w:t>
      </w:r>
    </w:p>
    <w:p>
      <w:pPr>
        <w:pStyle w:val="Compact"/>
        <w:numPr>
          <w:ilvl w:val="1"/>
          <w:numId w:val="1016"/>
        </w:numPr>
      </w:pPr>
      <w:r>
        <w:t xml:space="preserve">Response (success): [field names and types, HTTP status]</w:t>
      </w:r>
    </w:p>
    <w:p>
      <w:pPr>
        <w:pStyle w:val="Compact"/>
        <w:numPr>
          <w:ilvl w:val="1"/>
          <w:numId w:val="1016"/>
        </w:numPr>
      </w:pPr>
      <w:r>
        <w:t xml:space="preserve">Response (error): [error codes and HTTP status]</w:t>
      </w:r>
    </w:p>
    <w:p>
      <w:pPr>
        <w:pStyle w:val="FirstParagraph"/>
      </w:pPr>
      <w:r>
        <w:rPr>
          <w:b/>
          <w:bCs/>
        </w:rPr>
        <w:t xml:space="preserve">RBAC — roles permitted (Required):</w:t>
      </w:r>
      <w:r>
        <w:t xml:space="preserve"> </w:t>
      </w:r>
      <w:r>
        <w:t xml:space="preserve">[Role name(s) and any conditions or segregation of duties constraints]</w:t>
      </w:r>
    </w:p>
    <w:p>
      <w:pPr>
        <w:pStyle w:val="BodyText"/>
      </w:pPr>
      <w:r>
        <w:rPr>
          <w:b/>
          <w:bCs/>
        </w:rPr>
        <w:t xml:space="preserve">Audit log event (If applicable):</w:t>
      </w:r>
      <w:r>
        <w:t xml:space="preserve"> </w:t>
      </w:r>
      <w:r>
        <w:t xml:space="preserve">[Event type string, affected table, record field — or N/A with justification]</w:t>
      </w:r>
    </w:p>
    <w:p>
      <w:pPr>
        <w:pStyle w:val="BodyText"/>
      </w:pPr>
      <w:r>
        <w:rPr>
          <w:b/>
          <w:bCs/>
        </w:rPr>
        <w:t xml:space="preserve">Blocking dependencies (Required):</w:t>
      </w:r>
      <w:r>
        <w:t xml:space="preserve"> </w:t>
      </w:r>
      <w:r>
        <w:t xml:space="preserve">[Task IDs or "None"]</w:t>
      </w:r>
    </w:p>
    <w:p>
      <w:pPr>
        <w:pStyle w:val="BodyText"/>
      </w:pPr>
      <w:r>
        <w:rPr>
          <w:b/>
          <w:bCs/>
        </w:rPr>
        <w:t xml:space="preserve">External dependency gaps (Required):</w:t>
      </w:r>
      <w:r>
        <w:t xml:space="preserve"> </w:t>
      </w:r>
      <w:r>
        <w:t xml:space="preserve">[GAP-xxx list with resolution status — or "None"]</w:t>
      </w:r>
      <w:r>
        <w:t xml:space="preserve"> </w:t>
      </w:r>
      <w:r>
        <w:t xml:space="preserve">If any critical GAP is unresolved, this task is NOT READY. State the gap and its current status.</w:t>
      </w:r>
    </w:p>
    <w:p>
      <w:pPr>
        <w:pStyle w:val="BodyText"/>
      </w:pPr>
      <w:r>
        <w:rPr>
          <w:b/>
          <w:bCs/>
        </w:rPr>
        <w:t xml:space="preserve">Effort estimate (Required):</w:t>
      </w:r>
      <w:r>
        <w:t xml:space="preserve"> </w:t>
      </w:r>
      <w:r>
        <w:t xml:space="preserve">[N developer-days — confirmed by Peter Bamuhigire on: date]</w:t>
      </w:r>
    </w:p>
    <w:p>
      <w:pPr>
        <w:pStyle w:val="BodyText"/>
      </w:pPr>
      <w:r>
        <w:rPr>
          <w:b/>
          <w:bCs/>
        </w:rPr>
        <w:t xml:space="preserve">Assigned developer (Required):</w:t>
      </w:r>
      <w:r>
        <w:t xml:space="preserve"> </w:t>
      </w:r>
      <w:r>
        <w:t xml:space="preserve">[Developer name — availability confirmed for: start date]</w:t>
      </w:r>
    </w:p>
    <w:p>
      <w:r>
        <w:pict>
          <v:rect style="width:0;height:1.5pt" o:hralign="center" o:hrstd="t" o:hr="t"/>
        </w:pict>
      </w:r>
    </w:p>
    <w:p>
      <w:pPr>
        <w:pStyle w:val="FirstParagraph"/>
      </w:pPr>
      <w:r>
        <w:rPr>
          <w:b/>
          <w:bCs/>
        </w:rPr>
        <w:t xml:space="preserve">DoR sign-off:</w:t>
      </w:r>
      <w:r>
        <w:t xml:space="preserve"> </w:t>
      </w:r>
      <w:r>
        <w:t xml:space="preserve">Peter Bamuhigire confirms this task meets all Definition of Ready criteria: [ ]</w:t>
      </w:r>
    </w:p>
    <w:bookmarkEnd w:id="33"/>
    <w:bookmarkStart w:id="39" w:name="Xce98fa3c2d671cfd3bc82ff60765345dcdc27e9"/>
    <w:p>
      <w:pPr>
        <w:pStyle w:val="Heading2"/>
      </w:pPr>
      <w:r>
        <w:t xml:space="preserve">4. DoR Compliance and Enforcement</w:t>
      </w:r>
    </w:p>
    <w:bookmarkStart w:id="34" w:name="Xade2a1e8d083c249a817aa567b2be96e1024848"/>
    <w:p>
      <w:pPr>
        <w:pStyle w:val="Heading3"/>
      </w:pPr>
      <w:r>
        <w:t xml:space="preserve">4.1 Responsibility</w:t>
      </w:r>
    </w:p>
    <w:p>
      <w:pPr>
        <w:pStyle w:val="FirstParagraph"/>
      </w:pPr>
      <w:r>
        <w:t xml:space="preserve">Peter Bamuhigire is responsible for ensuring every task assigned to a developer satisfies the DoR before assignment. This is not delegatable.</w:t>
      </w:r>
    </w:p>
    <w:bookmarkEnd w:id="34"/>
    <w:bookmarkStart w:id="35" w:name="Xd0564d044b22b548e4166086a2eabf144de1f31"/>
    <w:p>
      <w:pPr>
        <w:pStyle w:val="Heading3"/>
      </w:pPr>
      <w:r>
        <w:t xml:space="preserve">4.2 Developer Obligation</w:t>
      </w:r>
    </w:p>
    <w:p>
      <w:pPr>
        <w:pStyle w:val="FirstParagraph"/>
      </w:pPr>
      <w:r>
        <w:t xml:space="preserve">A developer who receives a task that is missing any DoR criterion must flag it to Peter Bamuhigire immediately — before beginning any implementation work. Starting work on a task that is not Ready is not acceptable.</w:t>
      </w:r>
    </w:p>
    <w:bookmarkEnd w:id="35"/>
    <w:bookmarkStart w:id="36" w:name="X2ce672c0292ebce0bed6c06e612650d36e32bec"/>
    <w:p>
      <w:pPr>
        <w:pStyle w:val="Heading3"/>
      </w:pPr>
      <w:r>
        <w:t xml:space="preserve">4.3 Gap-Blocked Tasks</w:t>
      </w:r>
    </w:p>
    <w:p>
      <w:pPr>
        <w:pStyle w:val="FirstParagraph"/>
      </w:pPr>
      <w:r>
        <w:t xml:space="preserve">A task blocked by an unresolved critical external gap (GAP-xxx) remains in a "Blocked" state in the project task list. Peter Bamuhigire is responsible for tracking gap resolution and updating the task status when the gap is closed. Gap resolution is reviewed at every milestone kickoff.</w:t>
      </w:r>
    </w:p>
    <w:bookmarkEnd w:id="36"/>
    <w:bookmarkStart w:id="37" w:name="X68d91cc5a999f1cebfc76987593c20808c0fc4e"/>
    <w:p>
      <w:pPr>
        <w:pStyle w:val="Heading3"/>
      </w:pPr>
      <w:r>
        <w:t xml:space="preserve">4.4 Refinement</w:t>
      </w:r>
    </w:p>
    <w:p>
      <w:pPr>
        <w:pStyle w:val="FirstParagraph"/>
      </w:pPr>
      <w:r>
        <w:t xml:space="preserve">Tasks that are not yet Ready are held in a "To Refine" state. Peter Bamuhigire refines them by completing the missing criteria — typically by consulting the context files, the SRS documents, or the client. A task may not move from "To Refine" to "Ready" without Peter Bamuhigire's explicit sign-off.</w:t>
      </w:r>
    </w:p>
    <w:bookmarkEnd w:id="37"/>
    <w:bookmarkStart w:id="38" w:name="X0ed062d135eb934246e16f107d6e58d8d72bd65"/>
    <w:p>
      <w:pPr>
        <w:pStyle w:val="Heading3"/>
      </w:pPr>
      <w:r>
        <w:t xml:space="preserve">4.5 DoR Updates</w:t>
      </w:r>
    </w:p>
    <w:p>
      <w:pPr>
        <w:pStyle w:val="FirstParagraph"/>
      </w:pPr>
      <w:r>
        <w:t xml:space="preserve">This document is versioned. Any change to the DoR criteria requires a written decision recorded in the project change log. The version number increments on every change. All developers on the project are notified of DoR changes before the updated criteria take effect.</w:t>
      </w:r>
    </w:p>
    <w:bookmarkEnd w:id="38"/>
    <w:bookmarkEnd w:id="39"/>
    <w:bookmarkEnd w:id="4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Ready — BIRDC ERP</dc:title>
  <dc:creator>Peter Bamuhigire, ICT Consultant (techguypeter.com)</dc:creator>
  <cp:keywords/>
  <dcterms:created xsi:type="dcterms:W3CDTF">2026-04-05T16:47:25Z</dcterms:created>
  <dcterms:modified xsi:type="dcterms:W3CDTF">2026-04-05T16:47:25Z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 — Client Use Only</vt:lpwstr>
  </property>
  <property fmtid="{D5CDD505-2E9C-101B-9397-08002B2CF9AE}" pid="3" name="client">
    <vt:lpwstr>PIBID / BIRDC, Nyaruzinga, Bushenyi District, Western Uganda</vt:lpwstr>
  </property>
  <property fmtid="{D5CDD505-2E9C-101B-9397-08002B2CF9AE}" pid="4" name="date">
    <vt:lpwstr>2026-04-05</vt:lpwstr>
  </property>
  <property fmtid="{D5CDD505-2E9C-101B-9397-08002B2CF9AE}" pid="5" name="subtitle">
    <vt:lpwstr>Pre-Development Gate for Task Assignment</vt:lpwstr>
  </property>
  <property fmtid="{D5CDD505-2E9C-101B-9397-08002B2CF9AE}" pid="6" name="version">
    <vt:lpwstr>1.0</vt:lpwstr>
  </property>
</Properties>
</file>