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Product Requirements Document — BIRDC ERP</w:t>
      </w:r>
    </w:p>
    <w:p>
      <w:pPr>
        <w:pStyle w:val="Subtitle"/>
      </w:pPr>
      <w:r>
        <w:t xml:space="preserve">Banana Industrial Research and Development Centre Enterprise Resource Planning System</w:t>
      </w:r>
    </w:p>
    <w:p>
      <w:pPr>
        <w:pStyle w:val="Author"/>
      </w:pPr>
      <w:r>
        <w:t xml:space="preserve">Peter Bamuhigire, ICT Consultant (techguypeter.com) for PIBID/BIRDC</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 w:name="product-requirements-document"/>
    <w:p>
      <w:pPr>
        <w:pStyle w:val="Heading1"/>
      </w:pPr>
      <w:r>
        <w:t xml:space="preserve">Product Requirements Document</w:t>
      </w:r>
    </w:p>
    <w:p>
      <w:pPr>
        <w:pStyle w:val="FirstParagraph"/>
      </w:pPr>
      <w:r>
        <w:rPr>
          <w:b/>
          <w:bCs/>
        </w:rPr>
        <w:t xml:space="preserve">Project:</w:t>
      </w:r>
      <w:r>
        <w:t xml:space="preserve"> </w:t>
      </w:r>
      <w:r>
        <w:t xml:space="preserve">BIRDC ERP</w:t>
      </w:r>
      <w:r>
        <w:t xml:space="preserve"> </w:t>
      </w:r>
      <w:r>
        <w:rPr>
          <w:b/>
          <w:bCs/>
        </w:rPr>
        <w:t xml:space="preserve">Client:</w:t>
      </w:r>
      <w:r>
        <w:t xml:space="preserve"> </w:t>
      </w:r>
      <w:r>
        <w:t xml:space="preserve">PIBID / BIRDC, Nyaruzinga Hill, Bushenyi District, Western Uganda</w:t>
      </w:r>
      <w:r>
        <w:t xml:space="preserve"> </w:t>
      </w:r>
      <w:r>
        <w:rPr>
          <w:b/>
          <w:bCs/>
        </w:rPr>
        <w:t xml:space="preserve">Prepared by:</w:t>
      </w:r>
      <w:r>
        <w:t xml:space="preserve"> </w:t>
      </w:r>
      <w:r>
        <w:t xml:space="preserve">Peter Bamuhigire, ICT Consultant (techguypeter.com) for PIBID/BIRDC</w:t>
      </w:r>
      <w:r>
        <w:t xml:space="preserve"> </w:t>
      </w:r>
      <w:r>
        <w:rPr>
          <w:b/>
          <w:bCs/>
        </w:rPr>
        <w:t xml:space="preserve">Document version:</w:t>
      </w:r>
      <w:r>
        <w:t xml:space="preserve"> </w:t>
      </w:r>
      <w:r>
        <w:t xml:space="preserve">1.0 — Draft for Review</w:t>
      </w:r>
      <w:r>
        <w:t xml:space="preserve"> </w:t>
      </w:r>
      <w:r>
        <w:rPr>
          <w:b/>
          <w:bCs/>
        </w:rPr>
        <w:t xml:space="preserve">Date:</w:t>
      </w:r>
      <w:r>
        <w:t xml:space="preserve"> </w:t>
      </w:r>
      <w:r>
        <w:t xml:space="preserve">2026-04-05</w:t>
      </w:r>
      <w:r>
        <w:t xml:space="preserve"> </w:t>
      </w:r>
      <w:r>
        <w:rPr>
          <w:b/>
          <w:bCs/>
        </w:rPr>
        <w:t xml:space="preserve">Classification:</w:t>
      </w:r>
      <w:r>
        <w:t xml:space="preserve"> </w:t>
      </w:r>
      <w:r>
        <w:t xml:space="preserve">Confidential — Internal Use</w:t>
      </w:r>
    </w:p>
    <w:p>
      <w:r>
        <w:pict>
          <v:rect style="width:0;height:1.5pt" o:hralign="center" o:hrstd="t" o:hr="t"/>
        </w:pict>
      </w:r>
    </w:p>
    <w:bookmarkEnd w:id="19"/>
    <w:bookmarkStart w:id="23" w:name="section-1-executive-summary"/>
    <w:p>
      <w:pPr>
        <w:pStyle w:val="Heading1"/>
      </w:pPr>
      <w:r>
        <w:t xml:space="preserve">Section 1: Executive Summary</w:t>
      </w:r>
    </w:p>
    <w:bookmarkStart w:id="20" w:name="Xf67f0f41d58248883df8c59937f6bf6828d075e"/>
    <w:p>
      <w:pPr>
        <w:pStyle w:val="Heading2"/>
      </w:pPr>
      <w:r>
        <w:t xml:space="preserve">1.1 What is BIRDC ERP?</w:t>
      </w:r>
    </w:p>
    <w:p>
      <w:pPr>
        <w:pStyle w:val="FirstParagraph"/>
      </w:pPr>
      <w:r>
        <w:t xml:space="preserve">BIRDC ERP is a purpose-built, single-tenant enterprise resource planning system designed exclusively for the Banana Industrial Research and Development Centre (BIRDC) and its parent government body, the Presidential Initiative on Banana Industrial Development (PIBID), operating at Nyaruzinga Hill, Bushenyi District, Western Uganda.</w:t>
      </w:r>
    </w:p>
    <w:p>
      <w:pPr>
        <w:pStyle w:val="BodyText"/>
      </w:pPr>
      <w:r>
        <w:t xml:space="preserve">The system covers all 17 operational domains of BIRDC's business: sales and distribution, point of sale (POS) and agent management, inventory and warehouse management, financial accounting (dual-mode: parliamentary and commercial), procurement (including a 5-stage cooperative farmer procurement workflow), manufacturing and production, quality control and laboratory management, human resources, payroll, research and development, administration, PPDA compliance, EFRIS tax compliance, and system administration.</w:t>
      </w:r>
    </w:p>
    <w:p>
      <w:pPr>
        <w:pStyle w:val="BodyText"/>
      </w:pPr>
      <w:r>
        <w:t xml:space="preserve">6 Android mobile applications extend the system to the field: the Sales Agent App serves 1,071 field agents with offline POS; the Farmer Delivery App registers deliveries from 6,440+ cooperative farmers; the Warehouse App supports barcode-driven stock management; the Executive Dashboard App delivers real-time financial summaries to the Director and Finance Director; the HR Self-Service App serves 150+ staff; and the Factory Floor App supports production supervisors and quality control staff.</w:t>
      </w:r>
    </w:p>
    <w:bookmarkEnd w:id="20"/>
    <w:bookmarkStart w:id="21" w:name="Xc4164cde7cab0feff37a5f94d39185023577393"/>
    <w:p>
      <w:pPr>
        <w:pStyle w:val="Heading2"/>
      </w:pPr>
      <w:r>
        <w:t xml:space="preserve">1.2 Why is BIRDC ERP Needed?</w:t>
      </w:r>
    </w:p>
    <w:p>
      <w:pPr>
        <w:pStyle w:val="FirstParagraph"/>
      </w:pPr>
      <w:r>
        <w:t xml:space="preserve">BIRDC operates Uganda's only industrial-scale banana processing enterprise. Its operational reality is unique in three ways that no existing commercial ERP addresses:</w:t>
      </w:r>
    </w:p>
    <w:p>
      <w:pPr>
        <w:pStyle w:val="BodyText"/>
      </w:pPr>
      <w:r>
        <w:rPr>
          <w:b/>
          <w:bCs/>
        </w:rPr>
        <w:t xml:space="preserve">1. The dual-accountability mandate.</w:t>
      </w:r>
      <w:r>
        <w:t xml:space="preserve"> </w:t>
      </w:r>
      <w:r>
        <w:t xml:space="preserve">BIRDC is simultaneously a parliamentary-accountable government entity (PIBID, receiving budget votes reported to Uganda Parliament) and a commercial enterprise (BIRDC, trading under the Tooke brand, pursuing export contracts to South Korea, Saudi Arabia, Qatar, Italy, and the United States, and required to produce IFRS-compliant financial statements). Every financial transaction must satisfy both reporting regimes concurrently. No off-the-shelf ERP offers this dual-mode accounting natively.</w:t>
      </w:r>
    </w:p>
    <w:p>
      <w:pPr>
        <w:pStyle w:val="BodyText"/>
      </w:pPr>
      <w:r>
        <w:rPr>
          <w:b/>
          <w:bCs/>
        </w:rPr>
        <w:t xml:space="preserve">2. The 1,071-agent cash accountability gap.</w:t>
      </w:r>
      <w:r>
        <w:t xml:space="preserve"> </w:t>
      </w:r>
      <w:r>
        <w:t xml:space="preserve">BIRDC distributes Tooke products through 1,071 field sales agents. Each agent holds physical stock and collects cash from customers. Without a real-time agent cash balance system, cash collected but not remitted is undetectable until manual reconciliation — days or weeks after the fact. The resulting cash gap represents a material financial control weakness that cannot be closed with a standard accounts receivable module.</w:t>
      </w:r>
    </w:p>
    <w:p>
      <w:pPr>
        <w:pStyle w:val="BodyText"/>
      </w:pPr>
      <w:r>
        <w:rPr>
          <w:b/>
          <w:bCs/>
        </w:rPr>
        <w:t xml:space="preserve">3. Cooperative farmer procurement.</w:t>
      </w:r>
      <w:r>
        <w:t xml:space="preserve"> </w:t>
      </w:r>
      <w:r>
        <w:t xml:space="preserve">BIRDC sources matooke from 6,440+ farmers organised into cooperatives. Each batch delivery from a cooperative must be broken down to individual farmer contributions — name, National Identification Number (NIN), weight, quality grade, and net payable — before the batch can be receipted into inventory and the cooperative paid. This 5-stage workflow does not exist in any off-the-shelf procurement module.</w:t>
      </w:r>
    </w:p>
    <w:p>
      <w:pPr>
        <w:pStyle w:val="BodyText"/>
      </w:pPr>
      <w:r>
        <w:t xml:space="preserve">Beyond these three structural gaps, BIRDC faces Uganda-specific compliance obligations (Uganda Revenue Authority EFRIS real-time fiscal document submission, PPDA procurement documentation, PAYE and NSSF payroll statutory formats) and operational constraints (intermittent connectivity at Nyaruzinga requiring offline-first mobile capability, data sovereignty requirements precluding SaaS hosting, and a factory processing up to 140 metric tonnes of matooke per day).</w:t>
      </w:r>
    </w:p>
    <w:bookmarkEnd w:id="21"/>
    <w:bookmarkStart w:id="22" w:name="X5e3b5d69363802558be279f4c987cc279670bc1"/>
    <w:p>
      <w:pPr>
        <w:pStyle w:val="Heading2"/>
      </w:pPr>
      <w:r>
        <w:t xml:space="preserve">1.3 Why No Off-the-Shelf ERP Solves BIRDC's Problems</w:t>
      </w:r>
    </w:p>
    <w:p>
      <w:pPr>
        <w:pStyle w:val="FirstParagraph"/>
      </w:pPr>
      <w:r>
        <w:t xml:space="preserve">The shortfall of generic ERP platforms is structural, not cosmetic. It is documented in Section 8 (Constraints) and analysed in detail in the companion Business Case document. In summary:</w:t>
      </w:r>
    </w:p>
    <w:p>
      <w:pPr>
        <w:pStyle w:val="Compact"/>
        <w:numPr>
          <w:ilvl w:val="0"/>
          <w:numId w:val="1001"/>
        </w:numPr>
      </w:pPr>
      <w:r>
        <w:rPr>
          <w:i/>
          <w:iCs/>
        </w:rPr>
        <w:t xml:space="preserve">SAP Business One and Oracle NetSuite</w:t>
      </w:r>
      <w:r>
        <w:t xml:space="preserve"> </w:t>
      </w:r>
      <w:r>
        <w:t xml:space="preserve">require subscription fees of USD 20,000–100,000+ per year, have no Uganda EFRIS integration, no PPDA compliance module, no cooperative farmer procurement workflow, and mandate cloud hosting — violating BIRDC's data sovereignty requirement (DC-006).</w:t>
      </w:r>
    </w:p>
    <w:p>
      <w:pPr>
        <w:pStyle w:val="Compact"/>
        <w:numPr>
          <w:ilvl w:val="0"/>
          <w:numId w:val="1001"/>
        </w:numPr>
      </w:pPr>
      <w:r>
        <w:rPr>
          <w:i/>
          <w:iCs/>
        </w:rPr>
        <w:t xml:space="preserve">Odoo and ERPNext</w:t>
      </w:r>
      <w:r>
        <w:t xml:space="preserve"> </w:t>
      </w:r>
      <w:r>
        <w:t xml:space="preserve">are open-source platforms that require substantial custom module development to replicate BIRDC's dual-mode accounting, agent cash balance tracking, cooperative farmer procurement, and FEFO-enforced dual-track inventory. The total cost of customisation, Uganda localisation, and ongoing maintenance would equal or exceed a purpose-built system, without the operational fit.</w:t>
      </w:r>
    </w:p>
    <w:p>
      <w:pPr>
        <w:pStyle w:val="FirstParagraph"/>
      </w:pPr>
      <w:r>
        <w:t xml:space="preserve">A purpose-built system configured to BIRDC's exact rules — and designed for replication to other Uganda government agro-processors (DC-007) — is the economically and operationally correct solution.</w:t>
      </w:r>
    </w:p>
    <w:bookmarkEnd w:id="22"/>
    <w:bookmarkEnd w:id="23"/>
    <w:bookmarkStart w:id="28" w:name="section-2-business-context"/>
    <w:p>
      <w:pPr>
        <w:pStyle w:val="Heading1"/>
      </w:pPr>
      <w:r>
        <w:t xml:space="preserve">Section 2: Business Context</w:t>
      </w:r>
    </w:p>
    <w:bookmarkStart w:id="24" w:name="Xe66d0d8ce68d912b8b7faec91b105c2b1803993"/>
    <w:p>
      <w:pPr>
        <w:pStyle w:val="Heading2"/>
      </w:pPr>
      <w:r>
        <w:t xml:space="preserve">2.1 Organisational Profile</w:t>
      </w:r>
    </w:p>
    <w:p>
      <w:pPr>
        <w:pStyle w:val="FirstParagraph"/>
      </w:pPr>
      <w:r>
        <w:t xml:space="preserve">PIBID was established in 2005 by presidential directive to develop Uganda's banana value chain into an industrial enterprise. Over 20 years, the government invested approximately UGX 200 billion (~USD 54 million) to build the Nyaruzinga processing factory, develop the Tooke product range, and establish a nationwide cooperative farmer network. BIRDC is the commercially oriented successor entity, responsible for converting that investment into a self-sustaining, export-capable agro-processing business.</w:t>
      </w:r>
    </w:p>
    <w:p>
      <w:pPr>
        <w:pStyle w:val="BodyText"/>
      </w:pPr>
      <w:r>
        <w:rPr>
          <w:b/>
          <w:bCs/>
        </w:rPr>
        <w:t xml:space="preserve">Dual nature:</w:t>
      </w:r>
      <w:r>
        <w:t xml:space="preserve"> </w:t>
      </w:r>
      <w:r>
        <w:t xml:space="preserve">PIBID remains the statutory government body — its budget is voted by Uganda Parliament, its procurement must comply with the PPDA Act, and its accounts are subject to audit by the Office of the Auditor General (OAG) Uganda. BIRDC operates as the commercial arm — producing and selling Tooke branded products, entering export contracts, employing commercial staff, and required to produce IFRS-compliant financial statements.</w:t>
      </w:r>
    </w:p>
    <w:p>
      <w:pPr>
        <w:pStyle w:val="BodyText"/>
      </w:pPr>
      <w:r>
        <w:t xml:space="preserve">The ERP system must serve both identities simultaneously, without requiring separate systems or manual data re-entry.</w:t>
      </w:r>
    </w:p>
    <w:bookmarkEnd w:id="24"/>
    <w:bookmarkStart w:id="25" w:name="Xc79a33592cdda7f026ff0474506e75c1f1bcaba"/>
    <w:p>
      <w:pPr>
        <w:pStyle w:val="Heading2"/>
      </w:pPr>
      <w:r>
        <w:t xml:space="preserve">2.2 Key Operational Numbers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Factory processing capacity</w:t>
            </w:r>
          </w:p>
        </w:tc>
        <w:tc>
          <w:tcPr/>
          <w:p>
            <w:pPr>
              <w:pStyle w:val="Compact"/>
            </w:pPr>
            <w:r>
              <w:t xml:space="preserve">140 MT of matooke per day</w:t>
            </w:r>
          </w:p>
        </w:tc>
      </w:tr>
      <w:tr>
        <w:tc>
          <w:tcPr/>
          <w:p>
            <w:pPr>
              <w:pStyle w:val="Compact"/>
            </w:pPr>
            <w:r>
              <w:t xml:space="preserve">Registered cooperative farmers</w:t>
            </w:r>
          </w:p>
        </w:tc>
        <w:tc>
          <w:tcPr/>
          <w:p>
            <w:pPr>
              <w:pStyle w:val="Compact"/>
            </w:pPr>
            <w:r>
              <w:t xml:space="preserve">6,440+</w:t>
            </w:r>
          </w:p>
        </w:tc>
      </w:tr>
      <w:tr>
        <w:tc>
          <w:tcPr/>
          <w:p>
            <w:pPr>
              <w:pStyle w:val="Compact"/>
            </w:pPr>
            <w:r>
              <w:t xml:space="preserve">Field sales agents</w:t>
            </w:r>
          </w:p>
        </w:tc>
        <w:tc>
          <w:tcPr/>
          <w:p>
            <w:pPr>
              <w:pStyle w:val="Compact"/>
            </w:pPr>
            <w:r>
              <w:t xml:space="preserve">1,071</w:t>
            </w:r>
          </w:p>
        </w:tc>
      </w:tr>
      <w:tr>
        <w:tc>
          <w:tcPr/>
          <w:p>
            <w:pPr>
              <w:pStyle w:val="Compact"/>
            </w:pPr>
            <w:r>
              <w:t xml:space="preserve">Active product SKUs</w:t>
            </w:r>
          </w:p>
        </w:tc>
        <w:tc>
          <w:tcPr/>
          <w:p>
            <w:pPr>
              <w:pStyle w:val="Compact"/>
            </w:pPr>
            <w:r>
              <w:t xml:space="preserve">398+</w:t>
            </w:r>
          </w:p>
        </w:tc>
      </w:tr>
      <w:tr>
        <w:tc>
          <w:tcPr/>
          <w:p>
            <w:pPr>
              <w:pStyle w:val="Compact"/>
            </w:pPr>
            <w:r>
              <w:t xml:space="preserve">Chart of accounts</w:t>
            </w:r>
          </w:p>
        </w:tc>
        <w:tc>
          <w:tcPr/>
          <w:p>
            <w:pPr>
              <w:pStyle w:val="Compact"/>
            </w:pPr>
            <w:r>
              <w:t xml:space="preserve">1,307 accounts</w:t>
            </w:r>
          </w:p>
        </w:tc>
      </w:tr>
      <w:tr>
        <w:tc>
          <w:tcPr/>
          <w:p>
            <w:pPr>
              <w:pStyle w:val="Compact"/>
            </w:pPr>
            <w:r>
              <w:t xml:space="preserve">Government investment to date</w:t>
            </w:r>
          </w:p>
        </w:tc>
        <w:tc>
          <w:tcPr/>
          <w:p>
            <w:pPr>
              <w:pStyle w:val="Compact"/>
            </w:pPr>
            <w:r>
              <w:t xml:space="preserve">UGX 200 billion (~USD 54 million)</w:t>
            </w:r>
          </w:p>
        </w:tc>
      </w:tr>
      <w:tr>
        <w:tc>
          <w:tcPr/>
          <w:p>
            <w:pPr>
              <w:pStyle w:val="Compact"/>
            </w:pPr>
            <w:r>
              <w:t xml:space="preserve">Factory location</w:t>
            </w:r>
          </w:p>
        </w:tc>
        <w:tc>
          <w:tcPr/>
          <w:p>
            <w:pPr>
              <w:pStyle w:val="Compact"/>
            </w:pPr>
            <w:r>
              <w:t xml:space="preserve">Nyaruzinga Hill, Bushenyi District, Western Uganda</w:t>
            </w:r>
          </w:p>
        </w:tc>
      </w:tr>
      <w:tr>
        <w:tc>
          <w:tcPr/>
          <w:p>
            <w:pPr>
              <w:pStyle w:val="Compact"/>
            </w:pPr>
            <w:r>
              <w:t xml:space="preserve">Target export markets</w:t>
            </w:r>
          </w:p>
        </w:tc>
        <w:tc>
          <w:tcPr/>
          <w:p>
            <w:pPr>
              <w:pStyle w:val="Compact"/>
            </w:pPr>
            <w:r>
              <w:t xml:space="preserve">South Korea, Saudi Arabia, Qatar, Italy, United States</w:t>
            </w:r>
          </w:p>
        </w:tc>
      </w:tr>
      <w:tr>
        <w:tc>
          <w:tcPr/>
          <w:p>
            <w:pPr>
              <w:pStyle w:val="Compact"/>
            </w:pPr>
            <w:r>
              <w:t xml:space="preserve">Staff (approximate)</w:t>
            </w:r>
          </w:p>
        </w:tc>
        <w:tc>
          <w:tcPr/>
          <w:p>
            <w:pPr>
              <w:pStyle w:val="Compact"/>
            </w:pPr>
            <w:r>
              <w:t xml:space="preserve">150+ (office and factory)</w:t>
            </w:r>
          </w:p>
        </w:tc>
      </w:tr>
      <w:tr>
        <w:tc>
          <w:tcPr/>
          <w:p>
            <w:pPr>
              <w:pStyle w:val="Compact"/>
            </w:pPr>
            <w:r>
              <w:t xml:space="preserve">Payroll compliance</w:t>
            </w:r>
          </w:p>
        </w:tc>
        <w:tc>
          <w:tcPr/>
          <w:p>
            <w:pPr>
              <w:pStyle w:val="Compact"/>
            </w:pPr>
            <w:r>
              <w:t xml:space="preserve">Uganda PAYE, NSSF, LST (Local Service Tax)</w:t>
            </w:r>
          </w:p>
        </w:tc>
      </w:tr>
    </w:tbl>
    <w:bookmarkEnd w:id="25"/>
    <w:bookmarkStart w:id="26" w:name="Xa20012b7479aee1182733b7c173b6335bf5b696"/>
    <w:p>
      <w:pPr>
        <w:pStyle w:val="Heading2"/>
      </w:pPr>
      <w:r>
        <w:t xml:space="preserve">2.3 The Current Problem State</w:t>
      </w:r>
    </w:p>
    <w:p>
      <w:pPr>
        <w:pStyle w:val="FirstParagraph"/>
      </w:pPr>
      <w:r>
        <w:t xml:space="preserve">BIRDC currently operates with fragmented tools: manual spreadsheets for sales tracking, separate registers for agent cash balances, a non-integrated accounting package (if any), and paper-based cooperative farmer intake records. The consequences are:</w:t>
      </w:r>
    </w:p>
    <w:p>
      <w:pPr>
        <w:pStyle w:val="Compact"/>
        <w:numPr>
          <w:ilvl w:val="0"/>
          <w:numId w:val="1002"/>
        </w:numPr>
      </w:pPr>
      <w:r>
        <w:t xml:space="preserve">Agent cash balances cannot be determined in real time. Unreconciled cash gaps surface only at manual period-end review.</w:t>
      </w:r>
    </w:p>
    <w:p>
      <w:pPr>
        <w:pStyle w:val="Compact"/>
        <w:numPr>
          <w:ilvl w:val="0"/>
          <w:numId w:val="1002"/>
        </w:numPr>
      </w:pPr>
      <w:r>
        <w:t xml:space="preserve">Cooperative farmer payments are calculated manually from paper delivery records. Individual farmer contribution disputes cannot be resolved without reworking paper files.</w:t>
      </w:r>
    </w:p>
    <w:p>
      <w:pPr>
        <w:pStyle w:val="Compact"/>
        <w:numPr>
          <w:ilvl w:val="0"/>
          <w:numId w:val="1002"/>
        </w:numPr>
      </w:pPr>
      <w:r>
        <w:t xml:space="preserve">EFRIS submission is either absent or handled manually, creating URA compliance risk.</w:t>
      </w:r>
    </w:p>
    <w:p>
      <w:pPr>
        <w:pStyle w:val="Compact"/>
        <w:numPr>
          <w:ilvl w:val="0"/>
          <w:numId w:val="1002"/>
        </w:numPr>
      </w:pPr>
      <w:r>
        <w:t xml:space="preserve">PPDA procurement documentation is managed outside any integrated system, creating audit exposure.</w:t>
      </w:r>
    </w:p>
    <w:p>
      <w:pPr>
        <w:pStyle w:val="Compact"/>
        <w:numPr>
          <w:ilvl w:val="0"/>
          <w:numId w:val="1002"/>
        </w:numPr>
      </w:pPr>
      <w:r>
        <w:t xml:space="preserve">Parliamentary budget votes and commercial accounts cannot be produced from the same data set, requiring double-entry work.</w:t>
      </w:r>
    </w:p>
    <w:p>
      <w:pPr>
        <w:pStyle w:val="Compact"/>
        <w:numPr>
          <w:ilvl w:val="0"/>
          <w:numId w:val="1002"/>
        </w:numPr>
      </w:pPr>
      <w:r>
        <w:t xml:space="preserve">Production mass balance — tracking every kilogramme of matooke from intake through primary products, by-products, and scrap — is not measured.</w:t>
      </w:r>
    </w:p>
    <w:bookmarkEnd w:id="26"/>
    <w:bookmarkStart w:id="27" w:name="X63f44d8cb4bb30fd52b3ec83415914d524652ec"/>
    <w:p>
      <w:pPr>
        <w:pStyle w:val="Heading2"/>
      </w:pPr>
      <w:r>
        <w:t xml:space="preserve">2.4 The Business Opportunity</w:t>
      </w:r>
    </w:p>
    <w:p>
      <w:pPr>
        <w:pStyle w:val="FirstParagraph"/>
      </w:pPr>
      <w:r>
        <w:t xml:space="preserve">BIRDC holds signed or prospective export contracts with buyers in South Korea, Saudi Arabia, Qatar, Italy, and the United States. Scaling export volumes requires Certificate of Analysis (CoA) documentation for every outbound batch — a laboratory quality management capability that must be built into the ERP production and QC workflow. No current system supports this.</w:t>
      </w:r>
    </w:p>
    <w:p>
      <w:pPr>
        <w:pStyle w:val="BodyText"/>
      </w:pPr>
      <w:r>
        <w:t xml:space="preserve">The replication potential is equally significant. If BIRDC ERP is built with every BIRDC-specific rule in configuration tables (Design Covenant DC-007), the same codebase can be redeployed for Uganda Coffee Development Board, National Enterprise Corporation, or any Uganda government agro-processor — multiplying the public return on this investment.</w:t>
      </w:r>
    </w:p>
    <w:bookmarkEnd w:id="27"/>
    <w:bookmarkEnd w:id="28"/>
    <w:bookmarkStart w:id="34" w:name="section-3-product-goals"/>
    <w:p>
      <w:pPr>
        <w:pStyle w:val="Heading1"/>
      </w:pPr>
      <w:r>
        <w:t xml:space="preserve">Section 3: Product Goals</w:t>
      </w:r>
    </w:p>
    <w:p>
      <w:pPr>
        <w:pStyle w:val="FirstParagraph"/>
      </w:pPr>
      <w:r>
        <w:t xml:space="preserve">The following 5 strategic goals define the product's purpose. Every module, feature, and requirement in this document traces to at least one of these goals.</w:t>
      </w:r>
    </w:p>
    <w:bookmarkStart w:id="29" w:name="goal-1-operational-unity"/>
    <w:p>
      <w:pPr>
        <w:pStyle w:val="Heading2"/>
      </w:pPr>
      <w:r>
        <w:t xml:space="preserve">Goal 1: Operational Unity</w:t>
      </w:r>
    </w:p>
    <w:p>
      <w:pPr>
        <w:pStyle w:val="FirstParagraph"/>
      </w:pPr>
      <w:r>
        <w:t xml:space="preserve">Replace fragmented spreadsheets and manual registers with one integrated system covering all 17 operational domains — from cooperative farmer delivery intake to export Certificate of Analysis issuance. The system shall provide a single source of truth for all operational data, eliminating reconciliation between disconnected tools.</w:t>
      </w:r>
    </w:p>
    <w:p>
      <w:pPr>
        <w:pStyle w:val="BodyText"/>
      </w:pPr>
      <w:r>
        <w:rPr>
          <w:i/>
          <w:iCs/>
        </w:rPr>
        <w:t xml:space="preserve">Success criterion:</w:t>
      </w:r>
      <w:r>
        <w:t xml:space="preserve"> </w:t>
      </w:r>
      <w:r>
        <w:t xml:space="preserve">All 17 modules live and in daily use within the delivery roadmap timeline.</w:t>
      </w:r>
    </w:p>
    <w:bookmarkEnd w:id="29"/>
    <w:bookmarkStart w:id="30" w:name="goal-2-financial-integrity"/>
    <w:p>
      <w:pPr>
        <w:pStyle w:val="Heading2"/>
      </w:pPr>
      <w:r>
        <w:t xml:space="preserve">Goal 2: Financial Integrity</w:t>
      </w:r>
    </w:p>
    <w:p>
      <w:pPr>
        <w:pStyle w:val="FirstParagraph"/>
      </w:pPr>
      <w:r>
        <w:t xml:space="preserve">Provide a dual-mode accounting system that tracks PIBID parliamentary budget votes and BIRDC commercial accounts simultaneously. The system shall maintain an immutable, hash-chained General Ledger audit trail meeting Uganda Companies Act and Uganda Income Tax Act 7-year retention requirements, satisfying both OAG audit requirements and ICPAU/IFRS reporting standards.</w:t>
      </w:r>
    </w:p>
    <w:p>
      <w:pPr>
        <w:pStyle w:val="BodyText"/>
      </w:pPr>
      <w:r>
        <w:rPr>
          <w:i/>
          <w:iCs/>
        </w:rPr>
        <w:t xml:space="preserve">Success criterion:</w:t>
      </w:r>
      <w:r>
        <w:t xml:space="preserve"> </w:t>
      </w:r>
      <w:r>
        <w:t xml:space="preserve">The Finance Director can generate a Trial Balance, Profit and Loss statement, and Budget vs. Actual report for both parliamentary and commercial modes at any moment, without period closing. The external auditor requires no manual reconciliation.</w:t>
      </w:r>
    </w:p>
    <w:bookmarkEnd w:id="30"/>
    <w:bookmarkStart w:id="31" w:name="goal-3-agent-accountability"/>
    <w:p>
      <w:pPr>
        <w:pStyle w:val="Heading2"/>
      </w:pPr>
      <w:r>
        <w:t xml:space="preserve">Goal 3: Agent Accountability</w:t>
      </w:r>
    </w:p>
    <w:p>
      <w:pPr>
        <w:pStyle w:val="FirstParagraph"/>
      </w:pPr>
      <w:r>
        <w:t xml:space="preserve">Eliminate the cash accountability gap in BIRDC's 1,071-strong field agent network. The system shall maintain a real-time agent cash balance (total sales proceeds minus verified remittances) for every agent at all times, with automated First In, First Out (FIFO) remittance allocation enforced by stored procedure.</w:t>
      </w:r>
    </w:p>
    <w:p>
      <w:pPr>
        <w:pStyle w:val="BodyText"/>
      </w:pPr>
      <w:r>
        <w:rPr>
          <w:i/>
          <w:iCs/>
        </w:rPr>
        <w:t xml:space="preserve">Success criterion:</w:t>
      </w:r>
      <w:r>
        <w:t xml:space="preserve"> </w:t>
      </w:r>
      <w:r>
        <w:t xml:space="preserve">Every one of the 1,071 agents' cash balances is visible in real time. Agent cash reconciliation requires zero manual calculation.</w:t>
      </w:r>
    </w:p>
    <w:bookmarkEnd w:id="31"/>
    <w:bookmarkStart w:id="32" w:name="goal-4-circular-economy-visibility"/>
    <w:p>
      <w:pPr>
        <w:pStyle w:val="Heading2"/>
      </w:pPr>
      <w:r>
        <w:t xml:space="preserve">Goal 4: Circular Economy Visibility</w:t>
      </w:r>
    </w:p>
    <w:p>
      <w:pPr>
        <w:pStyle w:val="FirstParagraph"/>
      </w:pPr>
      <w:r>
        <w:t xml:space="preserve">Provide the first ERP mass balance for Uganda's banana value chain: every kilogramme of input matooke accounted for across primary products (Tooke flour, chips, juice, fibre), by-products (biogas from peels, bio-slurry fertiliser from waste water), and scrap. The system shall prevent a production order from closing until the mass balance equation is satisfied within a configurable tolerance.</w:t>
      </w:r>
    </w:p>
    <w:p>
      <w:pPr>
        <w:pStyle w:val="BodyText"/>
      </w:pPr>
      <w:r>
        <w:rPr>
          <w:i/>
          <w:iCs/>
        </w:rPr>
        <w:t xml:space="preserve">Success criterion:</w:t>
      </w:r>
      <w:r>
        <w:t xml:space="preserve"> </w:t>
      </w:r>
      <w:r>
        <w:t xml:space="preserve">The Procurement Manager can trace every kilogramme of matooke from farm delivery through processing to finished product sale or by-product disposal. Mass balance reporting is available on demand.</w:t>
      </w:r>
    </w:p>
    <w:bookmarkEnd w:id="32"/>
    <w:bookmarkStart w:id="33" w:name="goal-5-government-replicability"/>
    <w:p>
      <w:pPr>
        <w:pStyle w:val="Heading2"/>
      </w:pPr>
      <w:r>
        <w:t xml:space="preserve">Goal 5: Government Replicability</w:t>
      </w:r>
    </w:p>
    <w:p>
      <w:pPr>
        <w:pStyle w:val="FirstParagraph"/>
      </w:pPr>
      <w:r>
        <w:t xml:space="preserve">Build every BIRDC-specific business rule in configuration tables — not in code — so the system can be redeployed for any Uganda government agro-processing entity without a codebase rebuild. PPDA thresholds, tax bands, commission rates, recipe ingredients, and cooperative structures shall all be administrator-configurable.</w:t>
      </w:r>
    </w:p>
    <w:p>
      <w:pPr>
        <w:pStyle w:val="BodyText"/>
      </w:pPr>
      <w:r>
        <w:rPr>
          <w:i/>
          <w:iCs/>
        </w:rPr>
        <w:t xml:space="preserve">Success criterion:</w:t>
      </w:r>
      <w:r>
        <w:t xml:space="preserve"> </w:t>
      </w:r>
      <w:r>
        <w:t xml:space="preserve">The replication framework is documented and demonstrated to at least one additional Uganda government entity. A qualified IT administrator can redeploy the system for a new entity by changing configuration only.</w:t>
      </w:r>
    </w:p>
    <w:bookmarkEnd w:id="33"/>
    <w:bookmarkEnd w:id="34"/>
    <w:bookmarkStart w:id="45" w:name="section-4-scope"/>
    <w:p>
      <w:pPr>
        <w:pStyle w:val="Heading1"/>
      </w:pPr>
      <w:r>
        <w:t xml:space="preserve">Section 4: Scope</w:t>
      </w:r>
    </w:p>
    <w:bookmarkStart w:id="42" w:name="X3ff954508753373d2c7c2659d8b3fb31620d8b4"/>
    <w:p>
      <w:pPr>
        <w:pStyle w:val="Heading2"/>
      </w:pPr>
      <w:r>
        <w:t xml:space="preserve">4.1 In-Scope: 17 Modules Across 7 Delivery Phases</w:t>
      </w:r>
    </w:p>
    <w:p>
      <w:pPr>
        <w:pStyle w:val="FirstParagraph"/>
      </w:pPr>
      <w:r>
        <w:t xml:space="preserve">The BIRDC ERP system comprises 17 functional modules delivered across 7 phases. Each phase produces a working, testable software increment.</w:t>
      </w:r>
    </w:p>
    <w:bookmarkStart w:id="35" w:name="phase-1--commerce-foundation"/>
    <w:p>
      <w:pPr>
        <w:pStyle w:val="Heading3"/>
      </w:pPr>
      <w:r>
        <w:t xml:space="preserve">Phase 1 — Commerce Foundation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 ID</w:t>
            </w:r>
          </w:p>
        </w:tc>
        <w:tc>
          <w:tcPr/>
          <w:p>
            <w:pPr>
              <w:pStyle w:val="Compact"/>
            </w:pPr>
            <w:r>
              <w:t xml:space="preserve">Module Name</w:t>
            </w:r>
          </w:p>
        </w:tc>
        <w:tc>
          <w:tcPr/>
          <w:p>
            <w:pPr>
              <w:pStyle w:val="Compact"/>
            </w:pPr>
            <w:r>
              <w:t xml:space="preserve">Summary</w:t>
            </w:r>
          </w:p>
        </w:tc>
      </w:tr>
      <w:tr>
        <w:tc>
          <w:tcPr/>
          <w:p>
            <w:pPr>
              <w:pStyle w:val="Compact"/>
            </w:pPr>
            <w:r>
              <w:t xml:space="preserve">F-001</w:t>
            </w:r>
          </w:p>
        </w:tc>
        <w:tc>
          <w:tcPr/>
          <w:p>
            <w:pPr>
              <w:pStyle w:val="Compact"/>
            </w:pPr>
            <w:r>
              <w:t xml:space="preserve">Sales and Distribution</w:t>
            </w:r>
          </w:p>
        </w:tc>
        <w:tc>
          <w:tcPr/>
          <w:p>
            <w:pPr>
              <w:pStyle w:val="Compact"/>
            </w:pPr>
            <w:r>
              <w:t xml:space="preserve">Order-to-cash cycle, EFRIS invoice submission, territory tracking, credit management</w:t>
            </w:r>
          </w:p>
        </w:tc>
      </w:tr>
      <w:tr>
        <w:tc>
          <w:tcPr/>
          <w:p>
            <w:pPr>
              <w:pStyle w:val="Compact"/>
            </w:pPr>
            <w:r>
              <w:t xml:space="preserve">F-002</w:t>
            </w:r>
          </w:p>
        </w:tc>
        <w:tc>
          <w:tcPr/>
          <w:p>
            <w:pPr>
              <w:pStyle w:val="Compact"/>
            </w:pPr>
            <w:r>
              <w:t xml:space="preserve">Point of Sale (POS)</w:t>
            </w:r>
          </w:p>
        </w:tc>
        <w:tc>
          <w:tcPr/>
          <w:p>
            <w:pPr>
              <w:pStyle w:val="Compact"/>
            </w:pPr>
            <w:r>
              <w:t xml:space="preserve">Factory gate, distribution centre, and agent POS; multi-payment; offline POS</w:t>
            </w:r>
          </w:p>
        </w:tc>
      </w:tr>
      <w:tr>
        <w:tc>
          <w:tcPr/>
          <w:p>
            <w:pPr>
              <w:pStyle w:val="Compact"/>
            </w:pPr>
            <w:r>
              <w:t xml:space="preserve">F-003</w:t>
            </w:r>
          </w:p>
        </w:tc>
        <w:tc>
          <w:tcPr/>
          <w:p>
            <w:pPr>
              <w:pStyle w:val="Compact"/>
            </w:pPr>
            <w:r>
              <w:t xml:space="preserve">Inventory and Warehouse Management</w:t>
            </w:r>
          </w:p>
        </w:tc>
        <w:tc>
          <w:tcPr/>
          <w:p>
            <w:pPr>
              <w:pStyle w:val="Compact"/>
            </w:pPr>
            <w:r>
              <w:t xml:space="preserve">Dual-track inventory, FEFO enforcement, batch/lot tracking, stock valuation</w:t>
            </w:r>
          </w:p>
        </w:tc>
      </w:tr>
      <w:tr>
        <w:tc>
          <w:tcPr/>
          <w:p>
            <w:pPr>
              <w:pStyle w:val="Compact"/>
            </w:pPr>
            <w:r>
              <w:t xml:space="preserve">F-004</w:t>
            </w:r>
          </w:p>
        </w:tc>
        <w:tc>
          <w:tcPr/>
          <w:p>
            <w:pPr>
              <w:pStyle w:val="Compact"/>
            </w:pPr>
            <w:r>
              <w:t xml:space="preserve">Agent Distribution Management</w:t>
            </w:r>
          </w:p>
        </w:tc>
        <w:tc>
          <w:tcPr/>
          <w:p>
            <w:pPr>
              <w:pStyle w:val="Compact"/>
            </w:pPr>
            <w:r>
              <w:t xml:space="preserve">Agent registration, real-time cash balance, FIFO remittance, commission calculation</w:t>
            </w:r>
          </w:p>
        </w:tc>
      </w:tr>
    </w:tbl>
    <w:bookmarkEnd w:id="35"/>
    <w:bookmarkStart w:id="36" w:name="phase-2--financial-core"/>
    <w:p>
      <w:pPr>
        <w:pStyle w:val="Heading3"/>
      </w:pPr>
      <w:r>
        <w:t xml:space="preserve">Phase 2 — Financial Core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 ID</w:t>
            </w:r>
          </w:p>
        </w:tc>
        <w:tc>
          <w:tcPr/>
          <w:p>
            <w:pPr>
              <w:pStyle w:val="Compact"/>
            </w:pPr>
            <w:r>
              <w:t xml:space="preserve">Module Name</w:t>
            </w:r>
          </w:p>
        </w:tc>
        <w:tc>
          <w:tcPr/>
          <w:p>
            <w:pPr>
              <w:pStyle w:val="Compact"/>
            </w:pPr>
            <w:r>
              <w:t xml:space="preserve">Summary</w:t>
            </w:r>
          </w:p>
        </w:tc>
      </w:tr>
      <w:tr>
        <w:tc>
          <w:tcPr/>
          <w:p>
            <w:pPr>
              <w:pStyle w:val="Compact"/>
            </w:pPr>
            <w:r>
              <w:t xml:space="preserve">F-005</w:t>
            </w:r>
          </w:p>
        </w:tc>
        <w:tc>
          <w:tcPr/>
          <w:p>
            <w:pPr>
              <w:pStyle w:val="Compact"/>
            </w:pPr>
            <w:r>
              <w:t xml:space="preserve">Financial Accounting and General Ledger</w:t>
            </w:r>
          </w:p>
        </w:tc>
        <w:tc>
          <w:tcPr/>
          <w:p>
            <w:pPr>
              <w:pStyle w:val="Compact"/>
            </w:pPr>
            <w:r>
              <w:t xml:space="preserve">Dual-mode IFRS + parliamentary accounting, hash chain integrity, financial statements on demand</w:t>
            </w:r>
          </w:p>
        </w:tc>
      </w:tr>
      <w:tr>
        <w:tc>
          <w:tcPr/>
          <w:p>
            <w:pPr>
              <w:pStyle w:val="Compact"/>
            </w:pPr>
            <w:r>
              <w:t xml:space="preserve">F-006</w:t>
            </w:r>
          </w:p>
        </w:tc>
        <w:tc>
          <w:tcPr/>
          <w:p>
            <w:pPr>
              <w:pStyle w:val="Compact"/>
            </w:pPr>
            <w:r>
              <w:t xml:space="preserve">Accounts Receivable</w:t>
            </w:r>
          </w:p>
        </w:tc>
        <w:tc>
          <w:tcPr/>
          <w:p>
            <w:pPr>
              <w:pStyle w:val="Compact"/>
            </w:pPr>
            <w:r>
              <w:t xml:space="preserve">AR aging, agent receivable tracking, credit control, payment receipts</w:t>
            </w:r>
          </w:p>
        </w:tc>
      </w:tr>
      <w:tr>
        <w:tc>
          <w:tcPr/>
          <w:p>
            <w:pPr>
              <w:pStyle w:val="Compact"/>
            </w:pPr>
            <w:r>
              <w:t xml:space="preserve">F-007</w:t>
            </w:r>
          </w:p>
        </w:tc>
        <w:tc>
          <w:tcPr/>
          <w:p>
            <w:pPr>
              <w:pStyle w:val="Compact"/>
            </w:pPr>
            <w:r>
              <w:t xml:space="preserve">Accounts Payable</w:t>
            </w:r>
          </w:p>
        </w:tc>
        <w:tc>
          <w:tcPr/>
          <w:p>
            <w:pPr>
              <w:pStyle w:val="Compact"/>
            </w:pPr>
            <w:r>
              <w:t xml:space="preserve">Three-way matching, vendor payments, farmer bulk payment via mobile money</w:t>
            </w:r>
          </w:p>
        </w:tc>
      </w:tr>
      <w:tr>
        <w:tc>
          <w:tcPr/>
          <w:p>
            <w:pPr>
              <w:pStyle w:val="Compact"/>
            </w:pPr>
            <w:r>
              <w:t xml:space="preserve">F-008</w:t>
            </w:r>
          </w:p>
        </w:tc>
        <w:tc>
          <w:tcPr/>
          <w:p>
            <w:pPr>
              <w:pStyle w:val="Compact"/>
            </w:pPr>
            <w:r>
              <w:t xml:space="preserve">Budget Management</w:t>
            </w:r>
          </w:p>
        </w:tc>
        <w:tc>
          <w:tcPr/>
          <w:p>
            <w:pPr>
              <w:pStyle w:val="Compact"/>
            </w:pPr>
            <w:r>
              <w:t xml:space="preserve">Parliamentary vote tracking, commercial budgets, variance alerts</w:t>
            </w:r>
          </w:p>
        </w:tc>
      </w:tr>
    </w:tbl>
    <w:bookmarkEnd w:id="36"/>
    <w:bookmarkStart w:id="37" w:name="phase-3--supply-chain-and-farmers"/>
    <w:p>
      <w:pPr>
        <w:pStyle w:val="Heading3"/>
      </w:pPr>
      <w:r>
        <w:t xml:space="preserve">Phase 3 — Supply Chain and Farmers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 ID</w:t>
            </w:r>
          </w:p>
        </w:tc>
        <w:tc>
          <w:tcPr/>
          <w:p>
            <w:pPr>
              <w:pStyle w:val="Compact"/>
            </w:pPr>
            <w:r>
              <w:t xml:space="preserve">Module Name</w:t>
            </w:r>
          </w:p>
        </w:tc>
        <w:tc>
          <w:tcPr/>
          <w:p>
            <w:pPr>
              <w:pStyle w:val="Compact"/>
            </w:pPr>
            <w:r>
              <w:t xml:space="preserve">Summary</w:t>
            </w:r>
          </w:p>
        </w:tc>
      </w:tr>
      <w:tr>
        <w:tc>
          <w:tcPr/>
          <w:p>
            <w:pPr>
              <w:pStyle w:val="Compact"/>
            </w:pPr>
            <w:r>
              <w:t xml:space="preserve">F-009</w:t>
            </w:r>
          </w:p>
        </w:tc>
        <w:tc>
          <w:tcPr/>
          <w:p>
            <w:pPr>
              <w:pStyle w:val="Compact"/>
            </w:pPr>
            <w:r>
              <w:t xml:space="preserve">Procurement and Purchasing</w:t>
            </w:r>
          </w:p>
        </w:tc>
        <w:tc>
          <w:tcPr/>
          <w:p>
            <w:pPr>
              <w:pStyle w:val="Compact"/>
            </w:pPr>
            <w:r>
              <w:t xml:space="preserve">PPDA-compliant workflow, RFQ, LPO, GRN, 5-stage cooperative farmer procurement</w:t>
            </w:r>
          </w:p>
        </w:tc>
      </w:tr>
      <w:tr>
        <w:tc>
          <w:tcPr/>
          <w:p>
            <w:pPr>
              <w:pStyle w:val="Compact"/>
            </w:pPr>
            <w:r>
              <w:t xml:space="preserve">F-010</w:t>
            </w:r>
          </w:p>
        </w:tc>
        <w:tc>
          <w:tcPr/>
          <w:p>
            <w:pPr>
              <w:pStyle w:val="Compact"/>
            </w:pPr>
            <w:r>
              <w:t xml:space="preserve">Farmer and Cooperative Management</w:t>
            </w:r>
          </w:p>
        </w:tc>
        <w:tc>
          <w:tcPr/>
          <w:p>
            <w:pPr>
              <w:pStyle w:val="Compact"/>
            </w:pPr>
            <w:r>
              <w:t xml:space="preserve">Farmer registration, GPS farm profiling, contribution history, bulk payment</w:t>
            </w:r>
          </w:p>
        </w:tc>
      </w:tr>
    </w:tbl>
    <w:bookmarkEnd w:id="37"/>
    <w:bookmarkStart w:id="38" w:name="phase-4--production-and-quality"/>
    <w:p>
      <w:pPr>
        <w:pStyle w:val="Heading3"/>
      </w:pPr>
      <w:r>
        <w:t xml:space="preserve">Phase 4 — Production and Quality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 ID</w:t>
            </w:r>
          </w:p>
        </w:tc>
        <w:tc>
          <w:tcPr/>
          <w:p>
            <w:pPr>
              <w:pStyle w:val="Compact"/>
            </w:pPr>
            <w:r>
              <w:t xml:space="preserve">Module Name</w:t>
            </w:r>
          </w:p>
        </w:tc>
        <w:tc>
          <w:tcPr/>
          <w:p>
            <w:pPr>
              <w:pStyle w:val="Compact"/>
            </w:pPr>
            <w:r>
              <w:t xml:space="preserve">Summary</w:t>
            </w:r>
          </w:p>
        </w:tc>
      </w:tr>
      <w:tr>
        <w:tc>
          <w:tcPr/>
          <w:p>
            <w:pPr>
              <w:pStyle w:val="Compact"/>
            </w:pPr>
            <w:r>
              <w:t xml:space="preserve">F-011</w:t>
            </w:r>
          </w:p>
        </w:tc>
        <w:tc>
          <w:tcPr/>
          <w:p>
            <w:pPr>
              <w:pStyle w:val="Compact"/>
            </w:pPr>
            <w:r>
              <w:t xml:space="preserve">Manufacturing and Production</w:t>
            </w:r>
          </w:p>
        </w:tc>
        <w:tc>
          <w:tcPr/>
          <w:p>
            <w:pPr>
              <w:pStyle w:val="Compact"/>
            </w:pPr>
            <w:r>
              <w:t xml:space="preserve">Bill of Materials, circular economy recipes, mass balance, production costing</w:t>
            </w:r>
          </w:p>
        </w:tc>
      </w:tr>
      <w:tr>
        <w:tc>
          <w:tcPr/>
          <w:p>
            <w:pPr>
              <w:pStyle w:val="Compact"/>
            </w:pPr>
            <w:r>
              <w:t xml:space="preserve">F-012</w:t>
            </w:r>
          </w:p>
        </w:tc>
        <w:tc>
          <w:tcPr/>
          <w:p>
            <w:pPr>
              <w:pStyle w:val="Compact"/>
            </w:pPr>
            <w:r>
              <w:t xml:space="preserve">Quality Control and Laboratory</w:t>
            </w:r>
          </w:p>
        </w:tc>
        <w:tc>
          <w:tcPr/>
          <w:p>
            <w:pPr>
              <w:pStyle w:val="Compact"/>
            </w:pPr>
            <w:r>
              <w:t xml:space="preserve">Inspection templates, CoA generation (domestic and export-grade), SPC charts, NCR management</w:t>
            </w:r>
          </w:p>
        </w:tc>
      </w:tr>
    </w:tbl>
    <w:bookmarkEnd w:id="38"/>
    <w:bookmarkStart w:id="39" w:name="phase-5--people"/>
    <w:p>
      <w:pPr>
        <w:pStyle w:val="Heading3"/>
      </w:pPr>
      <w:r>
        <w:t xml:space="preserve">Phase 5 — People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 ID</w:t>
            </w:r>
          </w:p>
        </w:tc>
        <w:tc>
          <w:tcPr/>
          <w:p>
            <w:pPr>
              <w:pStyle w:val="Compact"/>
            </w:pPr>
            <w:r>
              <w:t xml:space="preserve">Module Name</w:t>
            </w:r>
          </w:p>
        </w:tc>
        <w:tc>
          <w:tcPr/>
          <w:p>
            <w:pPr>
              <w:pStyle w:val="Compact"/>
            </w:pPr>
            <w:r>
              <w:t xml:space="preserve">Summary</w:t>
            </w:r>
          </w:p>
        </w:tc>
      </w:tr>
      <w:tr>
        <w:tc>
          <w:tcPr/>
          <w:p>
            <w:pPr>
              <w:pStyle w:val="Compact"/>
            </w:pPr>
            <w:r>
              <w:t xml:space="preserve">F-013</w:t>
            </w:r>
          </w:p>
        </w:tc>
        <w:tc>
          <w:tcPr/>
          <w:p>
            <w:pPr>
              <w:pStyle w:val="Compact"/>
            </w:pPr>
            <w:r>
              <w:t xml:space="preserve">Human Resources</w:t>
            </w:r>
          </w:p>
        </w:tc>
        <w:tc>
          <w:tcPr/>
          <w:p>
            <w:pPr>
              <w:pStyle w:val="Compact"/>
            </w:pPr>
            <w:r>
              <w:t xml:space="preserve">Employee lifecycle, ZKTeco biometric integration, leave management, staff loans</w:t>
            </w:r>
          </w:p>
        </w:tc>
      </w:tr>
      <w:tr>
        <w:tc>
          <w:tcPr/>
          <w:p>
            <w:pPr>
              <w:pStyle w:val="Compact"/>
            </w:pPr>
            <w:r>
              <w:t xml:space="preserve">F-014</w:t>
            </w:r>
          </w:p>
        </w:tc>
        <w:tc>
          <w:tcPr/>
          <w:p>
            <w:pPr>
              <w:pStyle w:val="Compact"/>
            </w:pPr>
            <w:r>
              <w:t xml:space="preserve">Payroll</w:t>
            </w:r>
          </w:p>
        </w:tc>
        <w:tc>
          <w:tcPr/>
          <w:p>
            <w:pPr>
              <w:pStyle w:val="Compact"/>
            </w:pPr>
            <w:r>
              <w:t xml:space="preserve">Uganda PAYE, NSSF, LST, payroll lock, bulk mobile money salary disbursement</w:t>
            </w:r>
          </w:p>
        </w:tc>
      </w:tr>
    </w:tbl>
    <w:bookmarkEnd w:id="39"/>
    <w:bookmarkStart w:id="40" w:name="X50f4f1d76b6bcf6bbc520977d3a8c8dab2ae7be"/>
    <w:p>
      <w:pPr>
        <w:pStyle w:val="Heading3"/>
      </w:pPr>
      <w:r>
        <w:t xml:space="preserve">Phase 6 — Research, Administration, and Compliance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 ID</w:t>
            </w:r>
          </w:p>
        </w:tc>
        <w:tc>
          <w:tcPr/>
          <w:p>
            <w:pPr>
              <w:pStyle w:val="Compact"/>
            </w:pPr>
            <w:r>
              <w:t xml:space="preserve">Module Name</w:t>
            </w:r>
          </w:p>
        </w:tc>
        <w:tc>
          <w:tcPr/>
          <w:p>
            <w:pPr>
              <w:pStyle w:val="Compact"/>
            </w:pPr>
            <w:r>
              <w:t xml:space="preserve">Summary</w:t>
            </w:r>
          </w:p>
        </w:tc>
      </w:tr>
      <w:tr>
        <w:tc>
          <w:tcPr/>
          <w:p>
            <w:pPr>
              <w:pStyle w:val="Compact"/>
            </w:pPr>
            <w:r>
              <w:t xml:space="preserve">F-015</w:t>
            </w:r>
          </w:p>
        </w:tc>
        <w:tc>
          <w:tcPr/>
          <w:p>
            <w:pPr>
              <w:pStyle w:val="Compact"/>
            </w:pPr>
            <w:r>
              <w:t xml:space="preserve">Research and Development</w:t>
            </w:r>
          </w:p>
        </w:tc>
        <w:tc>
          <w:tcPr/>
          <w:p>
            <w:pPr>
              <w:pStyle w:val="Compact"/>
            </w:pPr>
            <w:r>
              <w:t xml:space="preserve">Banana variety performance, field trial management, product development register</w:t>
            </w:r>
          </w:p>
        </w:tc>
      </w:tr>
      <w:tr>
        <w:tc>
          <w:tcPr/>
          <w:p>
            <w:pPr>
              <w:pStyle w:val="Compact"/>
            </w:pPr>
            <w:r>
              <w:t xml:space="preserve">F-016</w:t>
            </w:r>
          </w:p>
        </w:tc>
        <w:tc>
          <w:tcPr/>
          <w:p>
            <w:pPr>
              <w:pStyle w:val="Compact"/>
            </w:pPr>
            <w:r>
              <w:t xml:space="preserve">Administration and PPDA Compliance</w:t>
            </w:r>
          </w:p>
        </w:tc>
        <w:tc>
          <w:tcPr/>
          <w:p>
            <w:pPr>
              <w:pStyle w:val="Compact"/>
            </w:pPr>
            <w:r>
              <w:t xml:space="preserve">PPDA documentation management, asset register, vehicle logbook, document management</w:t>
            </w:r>
          </w:p>
        </w:tc>
      </w:tr>
      <w:tr>
        <w:tc>
          <w:tcPr/>
          <w:p>
            <w:pPr>
              <w:pStyle w:val="Compact"/>
            </w:pPr>
            <w:r>
              <w:t xml:space="preserve">F-017</w:t>
            </w:r>
          </w:p>
        </w:tc>
        <w:tc>
          <w:tcPr/>
          <w:p>
            <w:pPr>
              <w:pStyle w:val="Compact"/>
            </w:pPr>
            <w:r>
              <w:t xml:space="preserve">System Administration</w:t>
            </w:r>
          </w:p>
        </w:tc>
        <w:tc>
          <w:tcPr/>
          <w:p>
            <w:pPr>
              <w:pStyle w:val="Compact"/>
            </w:pPr>
            <w:r>
              <w:t xml:space="preserve">User management, 8-layer RBAC, audit log, backup scheduling, integration configuration</w:t>
            </w:r>
          </w:p>
        </w:tc>
      </w:tr>
    </w:tbl>
    <w:bookmarkEnd w:id="40"/>
    <w:bookmarkStart w:id="41" w:name="Xe9e82932283c5fb1c1a0d53151d54e1ef4f8e61"/>
    <w:p>
      <w:pPr>
        <w:pStyle w:val="Heading3"/>
      </w:pPr>
      <w:r>
        <w:t xml:space="preserve">Phase 7 — Integration, Hardening, and Go-Live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 ID</w:t>
            </w:r>
          </w:p>
        </w:tc>
        <w:tc>
          <w:tcPr/>
          <w:p>
            <w:pPr>
              <w:pStyle w:val="Compact"/>
            </w:pPr>
            <w:r>
              <w:t xml:space="preserve">Module Name</w:t>
            </w:r>
          </w:p>
        </w:tc>
        <w:tc>
          <w:tcPr/>
          <w:p>
            <w:pPr>
              <w:pStyle w:val="Compact"/>
            </w:pPr>
            <w:r>
              <w:t xml:space="preserve">Summary</w:t>
            </w:r>
          </w:p>
        </w:tc>
      </w:tr>
      <w:tr>
        <w:tc>
          <w:tcPr/>
          <w:p>
            <w:pPr>
              <w:pStyle w:val="Compact"/>
            </w:pPr>
            <w:r>
              <w:t xml:space="preserve">F-018</w:t>
            </w:r>
          </w:p>
        </w:tc>
        <w:tc>
          <w:tcPr/>
          <w:p>
            <w:pPr>
              <w:pStyle w:val="Compact"/>
            </w:pPr>
            <w:r>
              <w:t xml:space="preserve">EFRIS Full Integration</w:t>
            </w:r>
          </w:p>
        </w:tc>
        <w:tc>
          <w:tcPr/>
          <w:p>
            <w:pPr>
              <w:pStyle w:val="Compact"/>
            </w:pPr>
            <w:r>
              <w:t xml:space="preserve">Full URA EFRIS system-to-system API across all transaction types</w:t>
            </w:r>
          </w:p>
        </w:tc>
      </w:tr>
      <w:tr>
        <w:tc>
          <w:tcPr/>
          <w:p>
            <w:pPr>
              <w:pStyle w:val="Compact"/>
            </w:pPr>
            <w:r>
              <w:t xml:space="preserve">F-019</w:t>
            </w:r>
          </w:p>
        </w:tc>
        <w:tc>
          <w:tcPr/>
          <w:p>
            <w:pPr>
              <w:pStyle w:val="Compact"/>
            </w:pPr>
            <w:r>
              <w:t xml:space="preserve">Security Hardening and Acceptance</w:t>
            </w:r>
          </w:p>
        </w:tc>
        <w:tc>
          <w:tcPr/>
          <w:p>
            <w:pPr>
              <w:pStyle w:val="Compact"/>
            </w:pPr>
            <w:r>
              <w:t xml:space="preserve">OWASP Top 10 remediation, penetration test, load test, regression, staff training, go-live cutover</w:t>
            </w:r>
          </w:p>
        </w:tc>
      </w:tr>
    </w:tbl>
    <w:bookmarkEnd w:id="41"/>
    <w:bookmarkEnd w:id="42"/>
    <w:bookmarkStart w:id="43" w:name="X607955aed1373e45f924ab60e5580d012ae6fd6"/>
    <w:p>
      <w:pPr>
        <w:pStyle w:val="Heading2"/>
      </w:pPr>
      <w:r>
        <w:t xml:space="preserve">4.2 In-Scope: 6 Android Mobile Applications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 Name</w:t>
            </w:r>
          </w:p>
        </w:tc>
        <w:tc>
          <w:tcPr/>
          <w:p>
            <w:pPr>
              <w:pStyle w:val="Compact"/>
            </w:pPr>
            <w:r>
              <w:t xml:space="preserve">Primary Users</w:t>
            </w:r>
          </w:p>
        </w:tc>
        <w:tc>
          <w:tcPr/>
          <w:p>
            <w:pPr>
              <w:pStyle w:val="Compact"/>
            </w:pPr>
            <w:r>
              <w:t xml:space="preserve">Core Capability</w:t>
            </w:r>
          </w:p>
        </w:tc>
      </w:tr>
      <w:tr>
        <w:tc>
          <w:tcPr/>
          <w:p>
            <w:pPr>
              <w:pStyle w:val="Compact"/>
            </w:pPr>
            <w:r>
              <w:t xml:space="preserve">Sales Agent App</w:t>
            </w:r>
          </w:p>
        </w:tc>
        <w:tc>
          <w:tcPr/>
          <w:p>
            <w:pPr>
              <w:pStyle w:val="Compact"/>
            </w:pPr>
            <w:r>
              <w:t xml:space="preserve">1,071 field sales agents</w:t>
            </w:r>
          </w:p>
        </w:tc>
        <w:tc>
          <w:tcPr/>
          <w:p>
            <w:pPr>
              <w:pStyle w:val="Compact"/>
            </w:pPr>
            <w:r>
              <w:t xml:space="preserve">Offline POS, agent stock view, remittance submission, commission statements, Bluetooth thermal printing</w:t>
            </w:r>
          </w:p>
        </w:tc>
      </w:tr>
      <w:tr>
        <w:tc>
          <w:tcPr/>
          <w:p>
            <w:pPr>
              <w:pStyle w:val="Compact"/>
            </w:pPr>
            <w:r>
              <w:t xml:space="preserve">Farmer Delivery App</w:t>
            </w:r>
          </w:p>
        </w:tc>
        <w:tc>
          <w:tcPr/>
          <w:p>
            <w:pPr>
              <w:pStyle w:val="Compact"/>
            </w:pPr>
            <w:r>
              <w:t xml:space="preserve">Field collection officers</w:t>
            </w:r>
          </w:p>
        </w:tc>
        <w:tc>
          <w:tcPr/>
          <w:p>
            <w:pPr>
              <w:pStyle w:val="Compact"/>
            </w:pPr>
            <w:r>
              <w:t xml:space="preserve">Offline farmer registration, GPS farm profiling, individual delivery recording, Bluetooth scale integration</w:t>
            </w:r>
          </w:p>
        </w:tc>
      </w:tr>
      <w:tr>
        <w:tc>
          <w:tcPr/>
          <w:p>
            <w:pPr>
              <w:pStyle w:val="Compact"/>
            </w:pPr>
            <w:r>
              <w:t xml:space="preserve">Warehouse App</w:t>
            </w:r>
          </w:p>
        </w:tc>
        <w:tc>
          <w:tcPr/>
          <w:p>
            <w:pPr>
              <w:pStyle w:val="Compact"/>
            </w:pPr>
            <w:r>
              <w:t xml:space="preserve">Warehouse staff</w:t>
            </w:r>
          </w:p>
        </w:tc>
        <w:tc>
          <w:tcPr/>
          <w:p>
            <w:pPr>
              <w:pStyle w:val="Compact"/>
            </w:pPr>
            <w:r>
              <w:t xml:space="preserve">Barcode scanning for stock receipts, transfers, and physical counts</w:t>
            </w:r>
          </w:p>
        </w:tc>
      </w:tr>
      <w:tr>
        <w:tc>
          <w:tcPr/>
          <w:p>
            <w:pPr>
              <w:pStyle w:val="Compact"/>
            </w:pPr>
            <w:r>
              <w:t xml:space="preserve">Executive Dashboard App</w:t>
            </w:r>
          </w:p>
        </w:tc>
        <w:tc>
          <w:tcPr/>
          <w:p>
            <w:pPr>
              <w:pStyle w:val="Compact"/>
            </w:pPr>
            <w:r>
              <w:t xml:space="preserve">Director, Finance Director</w:t>
            </w:r>
          </w:p>
        </w:tc>
        <w:tc>
          <w:tcPr/>
          <w:p>
            <w:pPr>
              <w:pStyle w:val="Compact"/>
            </w:pPr>
            <w:r>
              <w:t xml:space="preserve">Real-time P&amp;L snapshot, Trial Balance summary, cash position, budget variance push notifications</w:t>
            </w:r>
          </w:p>
        </w:tc>
      </w:tr>
      <w:tr>
        <w:tc>
          <w:tcPr/>
          <w:p>
            <w:pPr>
              <w:pStyle w:val="Compact"/>
            </w:pPr>
            <w:r>
              <w:t xml:space="preserve">HR Self-Service App</w:t>
            </w:r>
          </w:p>
        </w:tc>
        <w:tc>
          <w:tcPr/>
          <w:p>
            <w:pPr>
              <w:pStyle w:val="Compact"/>
            </w:pPr>
            <w:r>
              <w:t xml:space="preserve">All staff (150+)</w:t>
            </w:r>
          </w:p>
        </w:tc>
        <w:tc>
          <w:tcPr/>
          <w:p>
            <w:pPr>
              <w:pStyle w:val="Compact"/>
            </w:pPr>
            <w:r>
              <w:t xml:space="preserve">Leave applications, payslip access, leave balance, attendance view</w:t>
            </w:r>
          </w:p>
        </w:tc>
      </w:tr>
      <w:tr>
        <w:tc>
          <w:tcPr/>
          <w:p>
            <w:pPr>
              <w:pStyle w:val="Compact"/>
            </w:pPr>
            <w:r>
              <w:t xml:space="preserve">Factory Floor App</w:t>
            </w:r>
          </w:p>
        </w:tc>
        <w:tc>
          <w:tcPr/>
          <w:p>
            <w:pPr>
              <w:pStyle w:val="Compact"/>
            </w:pPr>
            <w:r>
              <w:t xml:space="preserve">Production supervisors, QC staff</w:t>
            </w:r>
          </w:p>
        </w:tc>
        <w:tc>
          <w:tcPr/>
          <w:p>
            <w:pPr>
              <w:pStyle w:val="Compact"/>
            </w:pPr>
            <w:r>
              <w:t xml:space="preserve">Active production order monitoring, worker attendance, production completion entry, QC result submission</w:t>
            </w:r>
          </w:p>
        </w:tc>
      </w:tr>
    </w:tbl>
    <w:p>
      <w:pPr>
        <w:pStyle w:val="BodyText"/>
      </w:pPr>
      <w:r>
        <w:t xml:space="preserve">All 6 Android apps require a minimum Android version of 8.0 (API level 26).</w:t>
      </w:r>
    </w:p>
    <w:bookmarkEnd w:id="43"/>
    <w:bookmarkStart w:id="44" w:name="X43731c1a6572d3226de5e60073a3ad35f70dd29"/>
    <w:p>
      <w:pPr>
        <w:pStyle w:val="Heading2"/>
      </w:pPr>
      <w:r>
        <w:t xml:space="preserve">4.3 Three Web Application Panels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Panel</w:t>
            </w:r>
          </w:p>
        </w:tc>
        <w:tc>
          <w:tcPr/>
          <w:p>
            <w:pPr>
              <w:pStyle w:val="Compact"/>
            </w:pPr>
            <w:r>
              <w:t xml:space="preserve">URL Path</w:t>
            </w:r>
          </w:p>
        </w:tc>
        <w:tc>
          <w:tcPr/>
          <w:p>
            <w:pPr>
              <w:pStyle w:val="Compact"/>
            </w:pPr>
            <w:r>
              <w:t xml:space="preserve">Primary Users</w:t>
            </w:r>
          </w:p>
        </w:tc>
      </w:tr>
      <w:tr>
        <w:tc>
          <w:tcPr/>
          <w:p>
            <w:pPr>
              <w:pStyle w:val="Compact"/>
            </w:pPr>
            <w:r>
              <w:t xml:space="preserve">Main ERP Workspace</w:t>
            </w:r>
          </w:p>
        </w:tc>
        <w:tc>
          <w:tcPr/>
          <w:p>
            <w:pPr>
              <w:pStyle w:val="Compact"/>
            </w:pPr>
            <w:r>
              <w:rPr>
                <w:rStyle w:val="VerbatimChar"/>
              </w:rPr>
              <w:t xml:space="preserve">/public/</w:t>
            </w:r>
          </w:p>
        </w:tc>
        <w:tc>
          <w:tcPr/>
          <w:p>
            <w:pPr>
              <w:pStyle w:val="Compact"/>
            </w:pPr>
            <w:r>
              <w:t xml:space="preserve">All BIRDC/PIBID staff</w:t>
            </w:r>
          </w:p>
        </w:tc>
      </w:tr>
      <w:tr>
        <w:tc>
          <w:tcPr/>
          <w:p>
            <w:pPr>
              <w:pStyle w:val="Compact"/>
            </w:pPr>
            <w:r>
              <w:t xml:space="preserve">Sales Agent Portal</w:t>
            </w:r>
          </w:p>
        </w:tc>
        <w:tc>
          <w:tcPr/>
          <w:p>
            <w:pPr>
              <w:pStyle w:val="Compact"/>
            </w:pPr>
            <w:r>
              <w:rPr>
                <w:rStyle w:val="VerbatimChar"/>
              </w:rPr>
              <w:t xml:space="preserve">/public/sales-agents/</w:t>
            </w:r>
          </w:p>
        </w:tc>
        <w:tc>
          <w:tcPr/>
          <w:p>
            <w:pPr>
              <w:pStyle w:val="Compact"/>
            </w:pPr>
            <w:r>
              <w:t xml:space="preserve">1,071 field sales agents</w:t>
            </w:r>
          </w:p>
        </w:tc>
      </w:tr>
      <w:tr>
        <w:tc>
          <w:tcPr/>
          <w:p>
            <w:pPr>
              <w:pStyle w:val="Compact"/>
            </w:pPr>
            <w:r>
              <w:t xml:space="preserve">System Administration</w:t>
            </w:r>
          </w:p>
        </w:tc>
        <w:tc>
          <w:tcPr/>
          <w:p>
            <w:pPr>
              <w:pStyle w:val="Compact"/>
            </w:pPr>
            <w:r>
              <w:rPr>
                <w:rStyle w:val="VerbatimChar"/>
              </w:rPr>
              <w:t xml:space="preserve">/public/admin/</w:t>
            </w:r>
          </w:p>
        </w:tc>
        <w:tc>
          <w:tcPr/>
          <w:p>
            <w:pPr>
              <w:pStyle w:val="Compact"/>
            </w:pPr>
            <w:r>
              <w:t xml:space="preserve">IT administrators and super-users</w:t>
            </w:r>
          </w:p>
        </w:tc>
      </w:tr>
    </w:tbl>
    <w:bookmarkEnd w:id="44"/>
    <w:bookmarkEnd w:id="45"/>
    <w:bookmarkStart w:id="51" w:name="section-5-out-of-scope"/>
    <w:p>
      <w:pPr>
        <w:pStyle w:val="Heading1"/>
      </w:pPr>
      <w:r>
        <w:t xml:space="preserve">Section 5: Out of Scope</w:t>
      </w:r>
    </w:p>
    <w:p>
      <w:pPr>
        <w:pStyle w:val="FirstParagraph"/>
      </w:pPr>
      <w:r>
        <w:t xml:space="preserve">The following items are explicitly excluded from the BIRDC ERP project as currently specified. Items marked as "deferred" may be considered in a future engagement; items marked as "excluded" are outside the project boundary entirely.</w:t>
      </w:r>
    </w:p>
    <w:bookmarkStart w:id="46" w:name="Xc34efb051a81b4c031e8aeaad081619c18067e7"/>
    <w:p>
      <w:pPr>
        <w:pStyle w:val="Heading2"/>
      </w:pPr>
      <w:r>
        <w:t xml:space="preserve">5.1 iOS Mobile Applications (Deferred)</w:t>
      </w:r>
    </w:p>
    <w:p>
      <w:pPr>
        <w:pStyle w:val="FirstParagraph"/>
      </w:pPr>
      <w:r>
        <w:t xml:space="preserve">iOS versions of all 6 mobile applications are deferred. The current specification covers Android-only mobile development. BIRDC's field agent and factory worker population uses Android devices exclusively. iOS development would be scoped as a separate engagement if BIRDC's device landscape changes.</w:t>
      </w:r>
    </w:p>
    <w:p>
      <w:pPr>
        <w:pStyle w:val="BodyText"/>
      </w:pPr>
      <w:r>
        <w:rPr>
          <w:i/>
          <w:iCs/>
        </w:rPr>
        <w:t xml:space="preserve">iOS apps are out of scope for all 7 phases.</w:t>
      </w:r>
    </w:p>
    <w:bookmarkEnd w:id="46"/>
    <w:bookmarkStart w:id="47" w:name="Xbbc0ba47fc8c59e3f87418004c62e1f6680c407"/>
    <w:p>
      <w:pPr>
        <w:pStyle w:val="Heading2"/>
      </w:pPr>
      <w:r>
        <w:t xml:space="preserve">5.2 Phase 8 and Beyond: New Module Categories</w:t>
      </w:r>
    </w:p>
    <w:p>
      <w:pPr>
        <w:pStyle w:val="FirstParagraph"/>
      </w:pPr>
      <w:r>
        <w:t xml:space="preserve">The following module categories are outside the BIRDC ERP scope for the current engagement. They represent potential future expansion but are not part of the current product requirements:</w:t>
      </w:r>
    </w:p>
    <w:p>
      <w:pPr>
        <w:pStyle w:val="Compact"/>
        <w:numPr>
          <w:ilvl w:val="0"/>
          <w:numId w:val="1003"/>
        </w:numPr>
      </w:pPr>
      <w:r>
        <w:t xml:space="preserve">Customer Relationship Management (CRM) with pipeline forecasting</w:t>
      </w:r>
    </w:p>
    <w:p>
      <w:pPr>
        <w:pStyle w:val="Compact"/>
        <w:numPr>
          <w:ilvl w:val="0"/>
          <w:numId w:val="1003"/>
        </w:numPr>
      </w:pPr>
      <w:r>
        <w:t xml:space="preserve">E-commerce or online ordering portal for Tooke products</w:t>
      </w:r>
    </w:p>
    <w:p>
      <w:pPr>
        <w:pStyle w:val="Compact"/>
        <w:numPr>
          <w:ilvl w:val="0"/>
          <w:numId w:val="1003"/>
        </w:numPr>
      </w:pPr>
      <w:r>
        <w:t xml:space="preserve">Third-party logistics (3PL) integration with external shipping carriers</w:t>
      </w:r>
    </w:p>
    <w:p>
      <w:pPr>
        <w:pStyle w:val="Compact"/>
        <w:numPr>
          <w:ilvl w:val="0"/>
          <w:numId w:val="1003"/>
        </w:numPr>
      </w:pPr>
      <w:r>
        <w:t xml:space="preserve">Business Intelligence (BI) platform or data warehouse beyond in-system reports</w:t>
      </w:r>
    </w:p>
    <w:p>
      <w:pPr>
        <w:pStyle w:val="Compact"/>
        <w:numPr>
          <w:ilvl w:val="0"/>
          <w:numId w:val="1003"/>
        </w:numPr>
      </w:pPr>
      <w:r>
        <w:t xml:space="preserve">Integration with any Enterprise Resource Planning system other than URA EFRIS and the specified mobile money APIs</w:t>
      </w:r>
    </w:p>
    <w:bookmarkEnd w:id="47"/>
    <w:bookmarkStart w:id="48" w:name="Xad5a533aa6a9239924d853c274e30214cacae09"/>
    <w:p>
      <w:pPr>
        <w:pStyle w:val="Heading2"/>
      </w:pPr>
      <w:r>
        <w:t xml:space="preserve">5.3 Phase 7 Integration Items: In Scope</w:t>
      </w:r>
    </w:p>
    <w:p>
      <w:pPr>
        <w:pStyle w:val="FirstParagraph"/>
      </w:pPr>
      <w:r>
        <w:t xml:space="preserve">For the avoidance of doubt, the following integration items listed in Phase 7 are</w:t>
      </w:r>
      <w:r>
        <w:t xml:space="preserve"> </w:t>
      </w:r>
      <w:r>
        <w:rPr>
          <w:i/>
          <w:iCs/>
        </w:rPr>
        <w:t xml:space="preserve">in scope</w:t>
      </w:r>
      <w:r>
        <w:t xml:space="preserve">:</w:t>
      </w:r>
    </w:p>
    <w:p>
      <w:pPr>
        <w:pStyle w:val="Compact"/>
        <w:numPr>
          <w:ilvl w:val="0"/>
          <w:numId w:val="1004"/>
        </w:numPr>
      </w:pPr>
      <w:r>
        <w:t xml:space="preserve">URA EFRIS system-to-system API (F-018)</w:t>
      </w:r>
    </w:p>
    <w:p>
      <w:pPr>
        <w:pStyle w:val="Compact"/>
        <w:numPr>
          <w:ilvl w:val="0"/>
          <w:numId w:val="1004"/>
        </w:numPr>
      </w:pPr>
      <w:r>
        <w:t xml:space="preserve">MTN MoMo Business API for agent remittances, farmer payments, and casual worker salary</w:t>
      </w:r>
    </w:p>
    <w:p>
      <w:pPr>
        <w:pStyle w:val="Compact"/>
        <w:numPr>
          <w:ilvl w:val="0"/>
          <w:numId w:val="1004"/>
        </w:numPr>
      </w:pPr>
      <w:r>
        <w:t xml:space="preserve">Airtel Money API (same use cases as MTN MoMo)</w:t>
      </w:r>
    </w:p>
    <w:p>
      <w:pPr>
        <w:pStyle w:val="Compact"/>
        <w:numPr>
          <w:ilvl w:val="0"/>
          <w:numId w:val="1004"/>
        </w:numPr>
      </w:pPr>
      <w:r>
        <w:t xml:space="preserve">ZKTeco biometric device integration for HR attendance</w:t>
      </w:r>
    </w:p>
    <w:p>
      <w:pPr>
        <w:pStyle w:val="Compact"/>
        <w:numPr>
          <w:ilvl w:val="0"/>
          <w:numId w:val="1004"/>
        </w:numPr>
      </w:pPr>
      <w:r>
        <w:t xml:space="preserve">Bluetooth ESC/POS thermal receipt printer integration (Sales Agent App, Farmer Delivery App)</w:t>
      </w:r>
    </w:p>
    <w:p>
      <w:pPr>
        <w:pStyle w:val="Compact"/>
        <w:numPr>
          <w:ilvl w:val="0"/>
          <w:numId w:val="1004"/>
        </w:numPr>
      </w:pPr>
      <w:r>
        <w:t xml:space="preserve">Bluetooth weighing scale integration (Farmer Delivery App)</w:t>
      </w:r>
    </w:p>
    <w:bookmarkEnd w:id="48"/>
    <w:bookmarkStart w:id="49" w:name="X05bac1ad4a25b480f50d22135bc426b7b545e1e"/>
    <w:p>
      <w:pPr>
        <w:pStyle w:val="Heading2"/>
      </w:pPr>
      <w:r>
        <w:t xml:space="preserve">5.4 Data Migration from Legacy Systems</w:t>
      </w:r>
    </w:p>
    <w:p>
      <w:pPr>
        <w:pStyle w:val="FirstParagraph"/>
      </w:pPr>
      <w:r>
        <w:t xml:space="preserve">Data migration from any existing legacy accounting or management system is out of scope for the initial build unless BIRDC provides complete, clean data exports and a funded migration sprint is agreed. [CONTEXT-GAP: GAP-014 — BIRDC's existing accounting software and data migration requirements are unconfirmed. Resolution required before go-live planning.]</w:t>
      </w:r>
    </w:p>
    <w:bookmarkEnd w:id="49"/>
    <w:bookmarkStart w:id="50" w:name="X3e8b0a566a8ebf8bf16bd921d73ae88764f325d"/>
    <w:p>
      <w:pPr>
        <w:pStyle w:val="Heading2"/>
      </w:pPr>
      <w:r>
        <w:t xml:space="preserve">5.5 Hardware Supply</w:t>
      </w:r>
    </w:p>
    <w:p>
      <w:pPr>
        <w:pStyle w:val="FirstParagraph"/>
      </w:pPr>
      <w:r>
        <w:t xml:space="preserve">Supply, procurement, or installation of server hardware, Android devices, thermal printers, barcode scanners, or biometric devices is outside the consultant's scope. BIRDC is responsible for hardware procurement. The consultant will provide hardware specification guidance.</w:t>
      </w:r>
    </w:p>
    <w:bookmarkEnd w:id="50"/>
    <w:bookmarkEnd w:id="51"/>
    <w:bookmarkStart w:id="56" w:name="section-6-key-stakeholders"/>
    <w:p>
      <w:pPr>
        <w:pStyle w:val="Heading1"/>
      </w:pPr>
      <w:r>
        <w:t xml:space="preserve">Section 6: Key Stakeholders</w:t>
      </w:r>
    </w:p>
    <w:bookmarkStart w:id="52" w:name="X055c9a683e9277ad543f04c1a6655f58ba46ba6"/>
    <w:p>
      <w:pPr>
        <w:pStyle w:val="Heading2"/>
      </w:pPr>
      <w:r>
        <w:t xml:space="preserve">6.1 Primary Stakeholders (Decision Makers)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Role</w:t>
            </w:r>
          </w:p>
        </w:tc>
        <w:tc>
          <w:tcPr/>
          <w:p>
            <w:pPr>
              <w:pStyle w:val="Compact"/>
            </w:pPr>
            <w:r>
              <w:t xml:space="preserve">Organisation</w:t>
            </w:r>
          </w:p>
        </w:tc>
        <w:tc>
          <w:tcPr/>
          <w:p>
            <w:pPr>
              <w:pStyle w:val="Compact"/>
            </w:pPr>
            <w:r>
              <w:t xml:space="preserve">Primary Interest</w:t>
            </w:r>
          </w:p>
        </w:tc>
        <w:tc>
          <w:tcPr/>
          <w:p>
            <w:pPr>
              <w:pStyle w:val="Compact"/>
            </w:pPr>
            <w:r>
              <w:t xml:space="preserve">Authority Level</w:t>
            </w:r>
          </w:p>
        </w:tc>
      </w:tr>
      <w:tr>
        <w:tc>
          <w:tcPr/>
          <w:p>
            <w:pPr>
              <w:pStyle w:val="Compact"/>
            </w:pPr>
            <w:r>
              <w:t xml:space="preserve">STK-001</w:t>
            </w:r>
          </w:p>
        </w:tc>
        <w:tc>
          <w:tcPr/>
          <w:p>
            <w:pPr>
              <w:pStyle w:val="Compact"/>
            </w:pPr>
            <w:r>
              <w:t xml:space="preserve">BIRDC Director</w:t>
            </w:r>
          </w:p>
        </w:tc>
        <w:tc>
          <w:tcPr/>
          <w:p>
            <w:pPr>
              <w:pStyle w:val="Compact"/>
            </w:pPr>
            <w:r>
              <w:t xml:space="preserve">BIRDC</w:t>
            </w:r>
          </w:p>
        </w:tc>
        <w:tc>
          <w:tcPr/>
          <w:p>
            <w:pPr>
              <w:pStyle w:val="Compact"/>
            </w:pPr>
            <w:r>
              <w:t xml:space="preserve">System serves all operational needs; government accountability met</w:t>
            </w:r>
          </w:p>
        </w:tc>
        <w:tc>
          <w:tcPr/>
          <w:p>
            <w:pPr>
              <w:pStyle w:val="Compact"/>
            </w:pPr>
            <w:r>
              <w:t xml:space="preserve">Very High — final sign-off authority</w:t>
            </w:r>
          </w:p>
        </w:tc>
      </w:tr>
      <w:tr>
        <w:tc>
          <w:tcPr/>
          <w:p>
            <w:pPr>
              <w:pStyle w:val="Compact"/>
            </w:pPr>
            <w:r>
              <w:t xml:space="preserve">STK-002</w:t>
            </w:r>
          </w:p>
        </w:tc>
        <w:tc>
          <w:tcPr/>
          <w:p>
            <w:pPr>
              <w:pStyle w:val="Compact"/>
            </w:pPr>
            <w:r>
              <w:t xml:space="preserve">Finance Director</w:t>
            </w:r>
          </w:p>
        </w:tc>
        <w:tc>
          <w:tcPr/>
          <w:p>
            <w:pPr>
              <w:pStyle w:val="Compact"/>
            </w:pPr>
            <w:r>
              <w:t xml:space="preserve">BIRDC / PIBID</w:t>
            </w:r>
          </w:p>
        </w:tc>
        <w:tc>
          <w:tcPr/>
          <w:p>
            <w:pPr>
              <w:pStyle w:val="Compact"/>
            </w:pPr>
            <w:r>
              <w:t xml:space="preserve">Dual-mode accounting integrity; ICPAU compliance; audit readiness</w:t>
            </w:r>
          </w:p>
        </w:tc>
        <w:tc>
          <w:tcPr/>
          <w:p>
            <w:pPr>
              <w:pStyle w:val="Compact"/>
            </w:pPr>
            <w:r>
              <w:t xml:space="preserve">Very High — approves all financial module requirements</w:t>
            </w:r>
          </w:p>
        </w:tc>
      </w:tr>
      <w:tr>
        <w:tc>
          <w:tcPr/>
          <w:p>
            <w:pPr>
              <w:pStyle w:val="Compact"/>
            </w:pPr>
            <w:r>
              <w:t xml:space="preserve">STK-003</w:t>
            </w:r>
          </w:p>
        </w:tc>
        <w:tc>
          <w:tcPr/>
          <w:p>
            <w:pPr>
              <w:pStyle w:val="Compact"/>
            </w:pPr>
            <w:r>
              <w:t xml:space="preserve">IT Administrator</w:t>
            </w:r>
          </w:p>
        </w:tc>
        <w:tc>
          <w:tcPr/>
          <w:p>
            <w:pPr>
              <w:pStyle w:val="Compact"/>
            </w:pPr>
            <w:r>
              <w:t xml:space="preserve">BIRDC</w:t>
            </w:r>
          </w:p>
        </w:tc>
        <w:tc>
          <w:tcPr/>
          <w:p>
            <w:pPr>
              <w:pStyle w:val="Compact"/>
            </w:pPr>
            <w:r>
              <w:t xml:space="preserve">System deployable and maintainable on BIRDC infrastructure; security</w:t>
            </w:r>
          </w:p>
        </w:tc>
        <w:tc>
          <w:tcPr/>
          <w:p>
            <w:pPr>
              <w:pStyle w:val="Compact"/>
            </w:pPr>
            <w:r>
              <w:t xml:space="preserve">High — technical sign-off</w:t>
            </w:r>
          </w:p>
        </w:tc>
      </w:tr>
      <w:tr>
        <w:tc>
          <w:tcPr/>
          <w:p>
            <w:pPr>
              <w:pStyle w:val="Compact"/>
            </w:pPr>
            <w:r>
              <w:t xml:space="preserve">STK-004</w:t>
            </w:r>
          </w:p>
        </w:tc>
        <w:tc>
          <w:tcPr/>
          <w:p>
            <w:pPr>
              <w:pStyle w:val="Compact"/>
            </w:pPr>
            <w:r>
              <w:t xml:space="preserve">Parliament Budget Committee</w:t>
            </w:r>
          </w:p>
        </w:tc>
        <w:tc>
          <w:tcPr/>
          <w:p>
            <w:pPr>
              <w:pStyle w:val="Compact"/>
            </w:pPr>
            <w:r>
              <w:t xml:space="preserve">PIBID / Parliament</w:t>
            </w:r>
          </w:p>
        </w:tc>
        <w:tc>
          <w:tcPr/>
          <w:p>
            <w:pPr>
              <w:pStyle w:val="Compact"/>
            </w:pPr>
            <w:r>
              <w:t xml:space="preserve">Parliamentary accountability for UGX 200 billion investment</w:t>
            </w:r>
          </w:p>
        </w:tc>
        <w:tc>
          <w:tcPr/>
          <w:p>
            <w:pPr>
              <w:pStyle w:val="Compact"/>
            </w:pPr>
            <w:r>
              <w:t xml:space="preserve">Very High — ultimate funder; receives OAG audit reports</w:t>
            </w:r>
          </w:p>
        </w:tc>
      </w:tr>
      <w:tr>
        <w:tc>
          <w:tcPr/>
          <w:p>
            <w:pPr>
              <w:pStyle w:val="Compact"/>
            </w:pPr>
            <w:r>
              <w:t xml:space="preserve">STK-005</w:t>
            </w:r>
          </w:p>
        </w:tc>
        <w:tc>
          <w:tcPr/>
          <w:p>
            <w:pPr>
              <w:pStyle w:val="Compact"/>
            </w:pPr>
            <w:r>
              <w:t xml:space="preserve">Peter Bamuhigire</w:t>
            </w:r>
          </w:p>
        </w:tc>
        <w:tc>
          <w:tcPr/>
          <w:p>
            <w:pPr>
              <w:pStyle w:val="Compact"/>
            </w:pPr>
            <w:r>
              <w:t xml:space="preserve">ICT Consultant (techguypeter.com)</w:t>
            </w:r>
          </w:p>
        </w:tc>
        <w:tc>
          <w:tcPr/>
          <w:p>
            <w:pPr>
              <w:pStyle w:val="Compact"/>
            </w:pPr>
            <w:r>
              <w:t xml:space="preserve">Deliver complete, compliant, on-time documentation and specification</w:t>
            </w:r>
          </w:p>
        </w:tc>
        <w:tc>
          <w:tcPr/>
          <w:p>
            <w:pPr>
              <w:pStyle w:val="Compact"/>
            </w:pPr>
            <w:r>
              <w:t xml:space="preserve">High — responsible for all deliverables</w:t>
            </w:r>
          </w:p>
        </w:tc>
      </w:tr>
    </w:tbl>
    <w:bookmarkEnd w:id="52"/>
    <w:bookmarkStart w:id="53" w:name="X608728b2afc4302086d68cb167aade896348c30"/>
    <w:p>
      <w:pPr>
        <w:pStyle w:val="Heading2"/>
      </w:pPr>
      <w:r>
        <w:t xml:space="preserve">6.2 Operational Stakeholders (Department Heads)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Role</w:t>
            </w:r>
          </w:p>
        </w:tc>
        <w:tc>
          <w:tcPr/>
          <w:p>
            <w:pPr>
              <w:pStyle w:val="Compact"/>
            </w:pPr>
            <w:r>
              <w:t xml:space="preserve">Department</w:t>
            </w:r>
          </w:p>
        </w:tc>
        <w:tc>
          <w:tcPr/>
          <w:p>
            <w:pPr>
              <w:pStyle w:val="Compact"/>
            </w:pPr>
            <w:r>
              <w:t xml:space="preserve">Primary Need</w:t>
            </w:r>
          </w:p>
        </w:tc>
      </w:tr>
      <w:tr>
        <w:tc>
          <w:tcPr/>
          <w:p>
            <w:pPr>
              <w:pStyle w:val="Compact"/>
            </w:pPr>
            <w:r>
              <w:t xml:space="preserve">STK-006</w:t>
            </w:r>
          </w:p>
        </w:tc>
        <w:tc>
          <w:tcPr/>
          <w:p>
            <w:pPr>
              <w:pStyle w:val="Compact"/>
            </w:pPr>
            <w:r>
              <w:t xml:space="preserve">Sales and Marketing Manager</w:t>
            </w:r>
          </w:p>
        </w:tc>
        <w:tc>
          <w:tcPr/>
          <w:p>
            <w:pPr>
              <w:pStyle w:val="Compact"/>
            </w:pPr>
            <w:r>
              <w:t xml:space="preserve">Sales</w:t>
            </w:r>
          </w:p>
        </w:tc>
        <w:tc>
          <w:tcPr/>
          <w:p>
            <w:pPr>
              <w:pStyle w:val="Compact"/>
            </w:pPr>
            <w:r>
              <w:t xml:space="preserve">Real-time agent performance, territory revenue, EFRIS compliance, commission accuracy</w:t>
            </w:r>
          </w:p>
        </w:tc>
      </w:tr>
      <w:tr>
        <w:tc>
          <w:tcPr/>
          <w:p>
            <w:pPr>
              <w:pStyle w:val="Compact"/>
            </w:pPr>
            <w:r>
              <w:t xml:space="preserve">STK-007</w:t>
            </w:r>
          </w:p>
        </w:tc>
        <w:tc>
          <w:tcPr/>
          <w:p>
            <w:pPr>
              <w:pStyle w:val="Compact"/>
            </w:pPr>
            <w:r>
              <w:t xml:space="preserve">Procurement Manager</w:t>
            </w:r>
          </w:p>
        </w:tc>
        <w:tc>
          <w:tcPr/>
          <w:p>
            <w:pPr>
              <w:pStyle w:val="Compact"/>
            </w:pPr>
            <w:r>
              <w:t xml:space="preserve">Procurement</w:t>
            </w:r>
          </w:p>
        </w:tc>
        <w:tc>
          <w:tcPr/>
          <w:p>
            <w:pPr>
              <w:pStyle w:val="Compact"/>
            </w:pPr>
            <w:r>
              <w:t xml:space="preserve">PPDA compliance, cooperative farmer procurement workflow, supplier performance</w:t>
            </w:r>
          </w:p>
        </w:tc>
      </w:tr>
      <w:tr>
        <w:tc>
          <w:tcPr/>
          <w:p>
            <w:pPr>
              <w:pStyle w:val="Compact"/>
            </w:pPr>
            <w:r>
              <w:t xml:space="preserve">STK-008</w:t>
            </w:r>
          </w:p>
        </w:tc>
        <w:tc>
          <w:tcPr/>
          <w:p>
            <w:pPr>
              <w:pStyle w:val="Compact"/>
            </w:pPr>
            <w:r>
              <w:t xml:space="preserve">Store Manager</w:t>
            </w:r>
          </w:p>
        </w:tc>
        <w:tc>
          <w:tcPr/>
          <w:p>
            <w:pPr>
              <w:pStyle w:val="Compact"/>
            </w:pPr>
            <w:r>
              <w:t xml:space="preserve">Inventory</w:t>
            </w:r>
          </w:p>
        </w:tc>
        <w:tc>
          <w:tcPr/>
          <w:p>
            <w:pPr>
              <w:pStyle w:val="Compact"/>
            </w:pPr>
            <w:r>
              <w:t xml:space="preserve">Dual-track inventory accuracy, FEFO enforcement, stock valuation</w:t>
            </w:r>
          </w:p>
        </w:tc>
      </w:tr>
      <w:tr>
        <w:tc>
          <w:tcPr/>
          <w:p>
            <w:pPr>
              <w:pStyle w:val="Compact"/>
            </w:pPr>
            <w:r>
              <w:t xml:space="preserve">STK-009</w:t>
            </w:r>
          </w:p>
        </w:tc>
        <w:tc>
          <w:tcPr/>
          <w:p>
            <w:pPr>
              <w:pStyle w:val="Compact"/>
            </w:pPr>
            <w:r>
              <w:t xml:space="preserve">Factory/Production Manager</w:t>
            </w:r>
          </w:p>
        </w:tc>
        <w:tc>
          <w:tcPr/>
          <w:p>
            <w:pPr>
              <w:pStyle w:val="Compact"/>
            </w:pPr>
            <w:r>
              <w:t xml:space="preserve">Manufacturing</w:t>
            </w:r>
          </w:p>
        </w:tc>
        <w:tc>
          <w:tcPr/>
          <w:p>
            <w:pPr>
              <w:pStyle w:val="Compact"/>
            </w:pPr>
            <w:r>
              <w:t xml:space="preserve">Production order management, circular economy mass balance, yield variance tracking</w:t>
            </w:r>
          </w:p>
        </w:tc>
      </w:tr>
      <w:tr>
        <w:tc>
          <w:tcPr/>
          <w:p>
            <w:pPr>
              <w:pStyle w:val="Compact"/>
            </w:pPr>
            <w:r>
              <w:t xml:space="preserve">STK-010</w:t>
            </w:r>
          </w:p>
        </w:tc>
        <w:tc>
          <w:tcPr/>
          <w:p>
            <w:pPr>
              <w:pStyle w:val="Compact"/>
            </w:pPr>
            <w:r>
              <w:t xml:space="preserve">QC Manager / Lab Manager</w:t>
            </w:r>
          </w:p>
        </w:tc>
        <w:tc>
          <w:tcPr/>
          <w:p>
            <w:pPr>
              <w:pStyle w:val="Compact"/>
            </w:pPr>
            <w:r>
              <w:t xml:space="preserve">Quality Control</w:t>
            </w:r>
          </w:p>
        </w:tc>
        <w:tc>
          <w:tcPr/>
          <w:p>
            <w:pPr>
              <w:pStyle w:val="Compact"/>
            </w:pPr>
            <w:r>
              <w:t xml:space="preserve">Inspection template management, export-grade CoA generation, SPC charts</w:t>
            </w:r>
          </w:p>
        </w:tc>
      </w:tr>
      <w:tr>
        <w:tc>
          <w:tcPr/>
          <w:p>
            <w:pPr>
              <w:pStyle w:val="Compact"/>
            </w:pPr>
            <w:r>
              <w:t xml:space="preserve">STK-011</w:t>
            </w:r>
          </w:p>
        </w:tc>
        <w:tc>
          <w:tcPr/>
          <w:p>
            <w:pPr>
              <w:pStyle w:val="Compact"/>
            </w:pPr>
            <w:r>
              <w:t xml:space="preserve">HR Manager</w:t>
            </w:r>
          </w:p>
        </w:tc>
        <w:tc>
          <w:tcPr/>
          <w:p>
            <w:pPr>
              <w:pStyle w:val="Compact"/>
            </w:pPr>
            <w:r>
              <w:t xml:space="preserve">Human Resources</w:t>
            </w:r>
          </w:p>
        </w:tc>
        <w:tc>
          <w:tcPr/>
          <w:p>
            <w:pPr>
              <w:pStyle w:val="Compact"/>
            </w:pPr>
            <w:r>
              <w:t xml:space="preserve">Employee lifecycle management, biometric attendance integration, leave management</w:t>
            </w:r>
          </w:p>
        </w:tc>
      </w:tr>
      <w:tr>
        <w:tc>
          <w:tcPr/>
          <w:p>
            <w:pPr>
              <w:pStyle w:val="Compact"/>
            </w:pPr>
            <w:r>
              <w:t xml:space="preserve">STK-012</w:t>
            </w:r>
          </w:p>
        </w:tc>
        <w:tc>
          <w:tcPr/>
          <w:p>
            <w:pPr>
              <w:pStyle w:val="Compact"/>
            </w:pPr>
            <w:r>
              <w:t xml:space="preserve">Payroll Officer</w:t>
            </w:r>
          </w:p>
        </w:tc>
        <w:tc>
          <w:tcPr/>
          <w:p>
            <w:pPr>
              <w:pStyle w:val="Compact"/>
            </w:pPr>
            <w:r>
              <w:t xml:space="preserve">Payroll</w:t>
            </w:r>
          </w:p>
        </w:tc>
        <w:tc>
          <w:tcPr/>
          <w:p>
            <w:pPr>
              <w:pStyle w:val="Compact"/>
            </w:pPr>
            <w:r>
              <w:t xml:space="preserve">Accurate PAYE/NSSF/LST computation, payroll lock integrity, payslip delivery</w:t>
            </w:r>
          </w:p>
        </w:tc>
      </w:tr>
      <w:tr>
        <w:tc>
          <w:tcPr/>
          <w:p>
            <w:pPr>
              <w:pStyle w:val="Compact"/>
            </w:pPr>
            <w:r>
              <w:t xml:space="preserve">STK-013</w:t>
            </w:r>
          </w:p>
        </w:tc>
        <w:tc>
          <w:tcPr/>
          <w:p>
            <w:pPr>
              <w:pStyle w:val="Compact"/>
            </w:pPr>
            <w:r>
              <w:t xml:space="preserve">Research Coordinator</w:t>
            </w:r>
          </w:p>
        </w:tc>
        <w:tc>
          <w:tcPr/>
          <w:p>
            <w:pPr>
              <w:pStyle w:val="Compact"/>
            </w:pPr>
            <w:r>
              <w:t xml:space="preserve">Research</w:t>
            </w:r>
          </w:p>
        </w:tc>
        <w:tc>
          <w:tcPr/>
          <w:p>
            <w:pPr>
              <w:pStyle w:val="Compact"/>
            </w:pPr>
            <w:r>
              <w:t xml:space="preserve">Banana variety performance database, field trial management</w:t>
            </w:r>
          </w:p>
        </w:tc>
      </w:tr>
      <w:tr>
        <w:tc>
          <w:tcPr/>
          <w:p>
            <w:pPr>
              <w:pStyle w:val="Compact"/>
            </w:pPr>
            <w:r>
              <w:t xml:space="preserve">STK-014</w:t>
            </w:r>
          </w:p>
        </w:tc>
        <w:tc>
          <w:tcPr/>
          <w:p>
            <w:pPr>
              <w:pStyle w:val="Compact"/>
            </w:pPr>
            <w:r>
              <w:t xml:space="preserve">Administration Officer</w:t>
            </w:r>
          </w:p>
        </w:tc>
        <w:tc>
          <w:tcPr/>
          <w:p>
            <w:pPr>
              <w:pStyle w:val="Compact"/>
            </w:pPr>
            <w:r>
              <w:t xml:space="preserve">Administration</w:t>
            </w:r>
          </w:p>
        </w:tc>
        <w:tc>
          <w:tcPr/>
          <w:p>
            <w:pPr>
              <w:pStyle w:val="Compact"/>
            </w:pPr>
            <w:r>
              <w:t xml:space="preserve">PPDA document management, asset register, vehicle logbook</w:t>
            </w:r>
          </w:p>
        </w:tc>
      </w:tr>
    </w:tbl>
    <w:bookmarkEnd w:id="53"/>
    <w:bookmarkStart w:id="54" w:name="X9530a1c347241621b63958b5166ed45ca9b2787"/>
    <w:p>
      <w:pPr>
        <w:pStyle w:val="Heading2"/>
      </w:pPr>
      <w:r>
        <w:t xml:space="preserve">6.3 End Users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Role</w:t>
            </w:r>
          </w:p>
        </w:tc>
        <w:tc>
          <w:tcPr/>
          <w:p>
            <w:pPr>
              <w:pStyle w:val="Compact"/>
            </w:pPr>
            <w:r>
              <w:t xml:space="preserve">Approximate Count</w:t>
            </w:r>
          </w:p>
        </w:tc>
        <w:tc>
          <w:tcPr/>
          <w:p>
            <w:pPr>
              <w:pStyle w:val="Compact"/>
            </w:pPr>
            <w:r>
              <w:t xml:space="preserve">Primary System Touchpoint</w:t>
            </w:r>
          </w:p>
        </w:tc>
      </w:tr>
      <w:tr>
        <w:tc>
          <w:tcPr/>
          <w:p>
            <w:pPr>
              <w:pStyle w:val="Compact"/>
            </w:pPr>
            <w:r>
              <w:t xml:space="preserve">STK-015</w:t>
            </w:r>
          </w:p>
        </w:tc>
        <w:tc>
          <w:tcPr/>
          <w:p>
            <w:pPr>
              <w:pStyle w:val="Compact"/>
            </w:pPr>
            <w:r>
              <w:t xml:space="preserve">Field Sales Agents</w:t>
            </w:r>
          </w:p>
        </w:tc>
        <w:tc>
          <w:tcPr/>
          <w:p>
            <w:pPr>
              <w:pStyle w:val="Compact"/>
            </w:pPr>
            <w:r>
              <w:t xml:space="preserve">1,071</w:t>
            </w:r>
          </w:p>
        </w:tc>
        <w:tc>
          <w:tcPr/>
          <w:p>
            <w:pPr>
              <w:pStyle w:val="Compact"/>
            </w:pPr>
            <w:r>
              <w:t xml:space="preserve">Sales Agent App (Android) — POS, remittance, commission</w:t>
            </w:r>
          </w:p>
        </w:tc>
      </w:tr>
      <w:tr>
        <w:tc>
          <w:tcPr/>
          <w:p>
            <w:pPr>
              <w:pStyle w:val="Compact"/>
            </w:pPr>
            <w:r>
              <w:t xml:space="preserve">STK-016</w:t>
            </w:r>
          </w:p>
        </w:tc>
        <w:tc>
          <w:tcPr/>
          <w:p>
            <w:pPr>
              <w:pStyle w:val="Compact"/>
            </w:pPr>
            <w:r>
              <w:t xml:space="preserve">Factory Floor Workers/Supervisors</w:t>
            </w:r>
          </w:p>
        </w:tc>
        <w:tc>
          <w:tcPr/>
          <w:p>
            <w:pPr>
              <w:pStyle w:val="Compact"/>
            </w:pPr>
            <w:r>
              <w:t xml:space="preserve">~80</w:t>
            </w:r>
          </w:p>
        </w:tc>
        <w:tc>
          <w:tcPr/>
          <w:p>
            <w:pPr>
              <w:pStyle w:val="Compact"/>
            </w:pPr>
            <w:r>
              <w:t xml:space="preserve">Factory Floor App (Android); production orders, attendance</w:t>
            </w:r>
          </w:p>
        </w:tc>
      </w:tr>
      <w:tr>
        <w:tc>
          <w:tcPr/>
          <w:p>
            <w:pPr>
              <w:pStyle w:val="Compact"/>
            </w:pPr>
            <w:r>
              <w:t xml:space="preserve">STK-017</w:t>
            </w:r>
          </w:p>
        </w:tc>
        <w:tc>
          <w:tcPr/>
          <w:p>
            <w:pPr>
              <w:pStyle w:val="Compact"/>
            </w:pPr>
            <w:r>
              <w:t xml:space="preserve">Warehouse Staff</w:t>
            </w:r>
          </w:p>
        </w:tc>
        <w:tc>
          <w:tcPr/>
          <w:p>
            <w:pPr>
              <w:pStyle w:val="Compact"/>
            </w:pPr>
            <w:r>
              <w:t xml:space="preserve">~15</w:t>
            </w:r>
          </w:p>
        </w:tc>
        <w:tc>
          <w:tcPr/>
          <w:p>
            <w:pPr>
              <w:pStyle w:val="Compact"/>
            </w:pPr>
            <w:r>
              <w:t xml:space="preserve">Warehouse App (Android); stock receipt, transfers, stock counts</w:t>
            </w:r>
          </w:p>
        </w:tc>
      </w:tr>
      <w:tr>
        <w:tc>
          <w:tcPr/>
          <w:p>
            <w:pPr>
              <w:pStyle w:val="Compact"/>
            </w:pPr>
            <w:r>
              <w:t xml:space="preserve">STK-018</w:t>
            </w:r>
          </w:p>
        </w:tc>
        <w:tc>
          <w:tcPr/>
          <w:p>
            <w:pPr>
              <w:pStyle w:val="Compact"/>
            </w:pPr>
            <w:r>
              <w:t xml:space="preserve">Accounts Assistants</w:t>
            </w:r>
          </w:p>
        </w:tc>
        <w:tc>
          <w:tcPr/>
          <w:p>
            <w:pPr>
              <w:pStyle w:val="Compact"/>
            </w:pPr>
            <w:r>
              <w:t xml:space="preserve">~8</w:t>
            </w:r>
          </w:p>
        </w:tc>
        <w:tc>
          <w:tcPr/>
          <w:p>
            <w:pPr>
              <w:pStyle w:val="Compact"/>
            </w:pPr>
            <w:r>
              <w:t xml:space="preserve">Web ERP — AR, AP, journal entries</w:t>
            </w:r>
          </w:p>
        </w:tc>
      </w:tr>
      <w:tr>
        <w:tc>
          <w:tcPr/>
          <w:p>
            <w:pPr>
              <w:pStyle w:val="Compact"/>
            </w:pPr>
            <w:r>
              <w:t xml:space="preserve">STK-019</w:t>
            </w:r>
          </w:p>
        </w:tc>
        <w:tc>
          <w:tcPr/>
          <w:p>
            <w:pPr>
              <w:pStyle w:val="Compact"/>
            </w:pPr>
            <w:r>
              <w:t xml:space="preserve">Cashiers (Factory Gate/Showroom)</w:t>
            </w:r>
          </w:p>
        </w:tc>
        <w:tc>
          <w:tcPr/>
          <w:p>
            <w:pPr>
              <w:pStyle w:val="Compact"/>
            </w:pPr>
            <w:r>
              <w:t xml:space="preserve">~5</w:t>
            </w:r>
          </w:p>
        </w:tc>
        <w:tc>
          <w:tcPr/>
          <w:p>
            <w:pPr>
              <w:pStyle w:val="Compact"/>
            </w:pPr>
            <w:r>
              <w:t xml:space="preserve">Web ERP POS terminal</w:t>
            </w:r>
          </w:p>
        </w:tc>
      </w:tr>
      <w:tr>
        <w:tc>
          <w:tcPr/>
          <w:p>
            <w:pPr>
              <w:pStyle w:val="Compact"/>
            </w:pPr>
            <w:r>
              <w:t xml:space="preserve">STK-020</w:t>
            </w:r>
          </w:p>
        </w:tc>
        <w:tc>
          <w:tcPr/>
          <w:p>
            <w:pPr>
              <w:pStyle w:val="Compact"/>
            </w:pPr>
            <w:r>
              <w:t xml:space="preserve">Cooperative Farmers</w:t>
            </w:r>
          </w:p>
        </w:tc>
        <w:tc>
          <w:tcPr/>
          <w:p>
            <w:pPr>
              <w:pStyle w:val="Compact"/>
            </w:pPr>
            <w:r>
              <w:t xml:space="preserve">6,440+</w:t>
            </w:r>
          </w:p>
        </w:tc>
        <w:tc>
          <w:tcPr/>
          <w:p>
            <w:pPr>
              <w:pStyle w:val="Compact"/>
            </w:pPr>
            <w:r>
              <w:t xml:space="preserve">Farmer Delivery App (field officer) + SMS payment notifications</w:t>
            </w:r>
          </w:p>
        </w:tc>
      </w:tr>
      <w:tr>
        <w:tc>
          <w:tcPr/>
          <w:p>
            <w:pPr>
              <w:pStyle w:val="Compact"/>
            </w:pPr>
            <w:r>
              <w:t xml:space="preserve">STK-021</w:t>
            </w:r>
          </w:p>
        </w:tc>
        <w:tc>
          <w:tcPr/>
          <w:p>
            <w:pPr>
              <w:pStyle w:val="Compact"/>
            </w:pPr>
            <w:r>
              <w:t xml:space="preserve">All Staff</w:t>
            </w:r>
          </w:p>
        </w:tc>
        <w:tc>
          <w:tcPr/>
          <w:p>
            <w:pPr>
              <w:pStyle w:val="Compact"/>
            </w:pPr>
            <w:r>
              <w:t xml:space="preserve">150+</w:t>
            </w:r>
          </w:p>
        </w:tc>
        <w:tc>
          <w:tcPr/>
          <w:p>
            <w:pPr>
              <w:pStyle w:val="Compact"/>
            </w:pPr>
            <w:r>
              <w:t xml:space="preserve">HR Self-Service App (Android) — leave, payslips, attendance</w:t>
            </w:r>
          </w:p>
        </w:tc>
      </w:tr>
    </w:tbl>
    <w:bookmarkEnd w:id="54"/>
    <w:bookmarkStart w:id="55" w:name="X66a7daf8042c07b7fb27f83bfeadd6a0e000671"/>
    <w:p>
      <w:pPr>
        <w:pStyle w:val="Heading2"/>
      </w:pPr>
      <w:r>
        <w:t xml:space="preserve">6.4 External Stakeholders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Role</w:t>
            </w:r>
          </w:p>
        </w:tc>
        <w:tc>
          <w:tcPr/>
          <w:p>
            <w:pPr>
              <w:pStyle w:val="Compact"/>
            </w:pPr>
            <w:r>
              <w:t xml:space="preserve">Primary Interface</w:t>
            </w:r>
          </w:p>
        </w:tc>
      </w:tr>
      <w:tr>
        <w:tc>
          <w:tcPr/>
          <w:p>
            <w:pPr>
              <w:pStyle w:val="Compact"/>
            </w:pPr>
            <w:r>
              <w:t xml:space="preserve">STK-022</w:t>
            </w:r>
          </w:p>
        </w:tc>
        <w:tc>
          <w:tcPr/>
          <w:p>
            <w:pPr>
              <w:pStyle w:val="Compact"/>
            </w:pPr>
            <w:r>
              <w:t xml:space="preserve">Uganda Revenue Authority (URA)</w:t>
            </w:r>
          </w:p>
        </w:tc>
        <w:tc>
          <w:tcPr/>
          <w:p>
            <w:pPr>
              <w:pStyle w:val="Compact"/>
            </w:pPr>
            <w:r>
              <w:t xml:space="preserve">EFRIS API — real-time fiscal document submission</w:t>
            </w:r>
          </w:p>
        </w:tc>
      </w:tr>
      <w:tr>
        <w:tc>
          <w:tcPr/>
          <w:p>
            <w:pPr>
              <w:pStyle w:val="Compact"/>
            </w:pPr>
            <w:r>
              <w:t xml:space="preserve">STK-023</w:t>
            </w:r>
          </w:p>
        </w:tc>
        <w:tc>
          <w:tcPr/>
          <w:p>
            <w:pPr>
              <w:pStyle w:val="Compact"/>
            </w:pPr>
            <w:r>
              <w:t xml:space="preserve">MTN Uganda / Airtel Uganda</w:t>
            </w:r>
          </w:p>
        </w:tc>
        <w:tc>
          <w:tcPr/>
          <w:p>
            <w:pPr>
              <w:pStyle w:val="Compact"/>
            </w:pPr>
            <w:r>
              <w:t xml:space="preserve">Mobile money bulk payment API — farmer payments, agent remittances, salary</w:t>
            </w:r>
          </w:p>
        </w:tc>
      </w:tr>
      <w:tr>
        <w:tc>
          <w:tcPr/>
          <w:p>
            <w:pPr>
              <w:pStyle w:val="Compact"/>
            </w:pPr>
            <w:r>
              <w:t xml:space="preserve">STK-024</w:t>
            </w:r>
          </w:p>
        </w:tc>
        <w:tc>
          <w:tcPr/>
          <w:p>
            <w:pPr>
              <w:pStyle w:val="Compact"/>
            </w:pPr>
            <w:r>
              <w:t xml:space="preserve">Export Market Buyers (South Korea, Saudi Arabia, Qatar, Italy, USA)</w:t>
            </w:r>
          </w:p>
        </w:tc>
        <w:tc>
          <w:tcPr/>
          <w:p>
            <w:pPr>
              <w:pStyle w:val="Compact"/>
            </w:pPr>
            <w:r>
              <w:t xml:space="preserve">Certificate of Analysis documents</w:t>
            </w:r>
          </w:p>
        </w:tc>
      </w:tr>
      <w:tr>
        <w:tc>
          <w:tcPr/>
          <w:p>
            <w:pPr>
              <w:pStyle w:val="Compact"/>
            </w:pPr>
            <w:r>
              <w:t xml:space="preserve">STK-025</w:t>
            </w:r>
          </w:p>
        </w:tc>
        <w:tc>
          <w:tcPr/>
          <w:p>
            <w:pPr>
              <w:pStyle w:val="Compact"/>
            </w:pPr>
            <w:r>
              <w:t xml:space="preserve">NSSF Uganda</w:t>
            </w:r>
          </w:p>
        </w:tc>
        <w:tc>
          <w:tcPr/>
          <w:p>
            <w:pPr>
              <w:pStyle w:val="Compact"/>
            </w:pPr>
            <w:r>
              <w:t xml:space="preserve">NSSF contribution schedule in required format</w:t>
            </w:r>
          </w:p>
        </w:tc>
      </w:tr>
      <w:tr>
        <w:tc>
          <w:tcPr/>
          <w:p>
            <w:pPr>
              <w:pStyle w:val="Compact"/>
            </w:pPr>
            <w:r>
              <w:t xml:space="preserve">STK-026</w:t>
            </w:r>
          </w:p>
        </w:tc>
        <w:tc>
          <w:tcPr/>
          <w:p>
            <w:pPr>
              <w:pStyle w:val="Compact"/>
            </w:pPr>
            <w:r>
              <w:t xml:space="preserve">Office of the Auditor General (OAG Uganda)</w:t>
            </w:r>
          </w:p>
        </w:tc>
        <w:tc>
          <w:tcPr/>
          <w:p>
            <w:pPr>
              <w:pStyle w:val="Compact"/>
            </w:pPr>
            <w:r>
              <w:t xml:space="preserve">Audit trail, financial statements, GL hash chain integrity report</w:t>
            </w:r>
          </w:p>
        </w:tc>
      </w:tr>
      <w:tr>
        <w:tc>
          <w:tcPr/>
          <w:p>
            <w:pPr>
              <w:pStyle w:val="Compact"/>
            </w:pPr>
            <w:r>
              <w:t xml:space="preserve">STK-027</w:t>
            </w:r>
          </w:p>
        </w:tc>
        <w:tc>
          <w:tcPr/>
          <w:p>
            <w:pPr>
              <w:pStyle w:val="Compact"/>
            </w:pPr>
            <w:r>
              <w:t xml:space="preserve">PPDA</w:t>
            </w:r>
          </w:p>
        </w:tc>
        <w:tc>
          <w:tcPr/>
          <w:p>
            <w:pPr>
              <w:pStyle w:val="Compact"/>
            </w:pPr>
            <w:r>
              <w:t xml:space="preserve">Procurement documentation and compliance records</w:t>
            </w:r>
          </w:p>
        </w:tc>
      </w:tr>
      <w:tr>
        <w:tc>
          <w:tcPr/>
          <w:p>
            <w:pPr>
              <w:pStyle w:val="Compact"/>
            </w:pPr>
            <w:r>
              <w:t xml:space="preserve">STK-028</w:t>
            </w:r>
          </w:p>
        </w:tc>
        <w:tc>
          <w:tcPr/>
          <w:p>
            <w:pPr>
              <w:pStyle w:val="Compact"/>
            </w:pPr>
            <w:r>
              <w:t xml:space="preserve">ZKTeco (Biometric Device Vendor)</w:t>
            </w:r>
          </w:p>
        </w:tc>
        <w:tc>
          <w:tcPr/>
          <w:p>
            <w:pPr>
              <w:pStyle w:val="Compact"/>
            </w:pPr>
            <w:r>
              <w:t xml:space="preserve">Biometric attendance device API integration</w:t>
            </w:r>
          </w:p>
        </w:tc>
      </w:tr>
      <w:tr>
        <w:tc>
          <w:tcPr/>
          <w:p>
            <w:pPr>
              <w:pStyle w:val="Compact"/>
            </w:pPr>
            <w:r>
              <w:t xml:space="preserve">STK-029</w:t>
            </w:r>
          </w:p>
        </w:tc>
        <w:tc>
          <w:tcPr/>
          <w:p>
            <w:pPr>
              <w:pStyle w:val="Compact"/>
            </w:pPr>
            <w:r>
              <w:t xml:space="preserve">BIRDC Cooperative Farmers' Unions</w:t>
            </w:r>
          </w:p>
        </w:tc>
        <w:tc>
          <w:tcPr/>
          <w:p>
            <w:pPr>
              <w:pStyle w:val="Compact"/>
            </w:pPr>
            <w:r>
              <w:t xml:space="preserve">Cooperative aggregation reporting, farmer payment statements</w:t>
            </w:r>
          </w:p>
        </w:tc>
      </w:tr>
    </w:tbl>
    <w:bookmarkEnd w:id="55"/>
    <w:bookmarkEnd w:id="56"/>
    <w:bookmarkStart w:id="64" w:name="section-7-critical-success-factors"/>
    <w:p>
      <w:pPr>
        <w:pStyle w:val="Heading1"/>
      </w:pPr>
      <w:r>
        <w:t xml:space="preserve">Section 7: Critical Success Factors</w:t>
      </w:r>
    </w:p>
    <w:p>
      <w:pPr>
        <w:pStyle w:val="FirstParagraph"/>
      </w:pPr>
      <w:r>
        <w:t xml:space="preserve">The following criteria define "done" for the BIRDC ERP project. Each criterion is deterministic: it has a clear pass/fail state and does not require subjective judgement.</w:t>
      </w:r>
    </w:p>
    <w:bookmarkStart w:id="57" w:name="X0314c5eac0b8780a214624b05a8b5de3c0eb3fe"/>
    <w:p>
      <w:pPr>
        <w:pStyle w:val="Heading2"/>
      </w:pPr>
      <w:r>
        <w:t xml:space="preserve">7.1 Module Adoption</w:t>
      </w:r>
    </w:p>
    <w:p>
      <w:pPr>
        <w:pStyle w:val="FirstParagraph"/>
      </w:pPr>
      <w:r>
        <w:t xml:space="preserve">The system shall be accepted as complete only when all 17 modules are live and in daily operational use by the respective department users, within the agreed delivery roadmap timeline.</w:t>
      </w:r>
    </w:p>
    <w:bookmarkEnd w:id="57"/>
    <w:bookmarkStart w:id="58" w:name="Xae146b69eaead176ff2022c0477d92ac27e3408"/>
    <w:p>
      <w:pPr>
        <w:pStyle w:val="Heading2"/>
      </w:pPr>
      <w:r>
        <w:t xml:space="preserve">7.2 Financial Reporting Readiness</w:t>
      </w:r>
    </w:p>
    <w:p>
      <w:pPr>
        <w:pStyle w:val="FirstParagraph"/>
      </w:pPr>
      <w:r>
        <w:t xml:space="preserve">The Finance Director shall be able to generate a Trial Balance, Profit and Loss statement, Balance Sheet, and Budget vs. Actual report — for both parliamentary (PIBID) and commercial (BIRDC IFRS) modes — at any moment without closing an accounting period. These reports shall require zero manual data assembly from sources outside the system.</w:t>
      </w:r>
    </w:p>
    <w:bookmarkEnd w:id="58"/>
    <w:bookmarkStart w:id="59" w:name="X67eeb55c49a7c5e29ca612e0b508693f3b1aad3"/>
    <w:p>
      <w:pPr>
        <w:pStyle w:val="Heading2"/>
      </w:pPr>
      <w:r>
        <w:t xml:space="preserve">7.3 Agent Cash Balance Visibility</w:t>
      </w:r>
    </w:p>
    <w:p>
      <w:pPr>
        <w:pStyle w:val="FirstParagraph"/>
      </w:pPr>
      <w:r>
        <w:t xml:space="preserve">Every one of the 1,071 agents' real-time cash balances shall be visible in the system at all times. The cash balance for each agent shall equal the sum of all invoices issued to the agent's customers minus the sum of all verified remittances, computed automatically. Zero manual calculation shall be required.</w:t>
      </w:r>
    </w:p>
    <w:bookmarkEnd w:id="59"/>
    <w:bookmarkStart w:id="60" w:name="X4d38c5bbc96a552ec43e2e1ee39f6cda5641079"/>
    <w:p>
      <w:pPr>
        <w:pStyle w:val="Heading2"/>
      </w:pPr>
      <w:r>
        <w:t xml:space="preserve">7.4 Supply Chain Traceability</w:t>
      </w:r>
    </w:p>
    <w:p>
      <w:pPr>
        <w:pStyle w:val="FirstParagraph"/>
      </w:pPr>
      <w:r>
        <w:t xml:space="preserve">The Procurement Manager shall be able to trace every kilogramme of matooke from farm delivery (individual farmer name and NIN) through factory processing to finished product sale or by-product output — within the system, without reference to any external record.</w:t>
      </w:r>
    </w:p>
    <w:bookmarkEnd w:id="60"/>
    <w:bookmarkStart w:id="61" w:name="Xb4a3774e84c552f7bebbc8d129444e1e60610a4"/>
    <w:p>
      <w:pPr>
        <w:pStyle w:val="Heading2"/>
      </w:pPr>
      <w:r>
        <w:t xml:space="preserve">7.5 OAG Audit Self-Sufficiency</w:t>
      </w:r>
    </w:p>
    <w:p>
      <w:pPr>
        <w:pStyle w:val="FirstParagraph"/>
      </w:pPr>
      <w:r>
        <w:t xml:space="preserve">The external auditor (OAG Uganda) shall be able to conduct a full annual audit using data and reports from the BIRDC ERP system alone. The audit shall require no manual reconciliation and no data reconstruction from paper records. The GL hash chain integrity report shall demonstrate tamper-evident records meeting Uganda Companies Act requirements.</w:t>
      </w:r>
    </w:p>
    <w:bookmarkEnd w:id="61"/>
    <w:bookmarkStart w:id="62" w:name="X4532f0e39ae29e88380d46e9a02168d9aa726c2"/>
    <w:p>
      <w:pPr>
        <w:pStyle w:val="Heading2"/>
      </w:pPr>
      <w:r>
        <w:t xml:space="preserve">7.6 PPDA Compliance</w:t>
      </w:r>
    </w:p>
    <w:p>
      <w:pPr>
        <w:pStyle w:val="FirstParagraph"/>
      </w:pPr>
      <w:r>
        <w:t xml:space="preserve">Every procurement transaction in the system shall carry a complete PPDA classification and the full set of required supporting documents. A PPDA procurement documentation compliance review shall find zero missing required documents on completed transactions.</w:t>
      </w:r>
    </w:p>
    <w:bookmarkEnd w:id="62"/>
    <w:bookmarkStart w:id="63" w:name="X6d4ccea0bbc7fc518576412be3c018019c9ef7d"/>
    <w:p>
      <w:pPr>
        <w:pStyle w:val="Heading2"/>
      </w:pPr>
      <w:r>
        <w:t xml:space="preserve">7.7 Government Replication Readiness</w:t>
      </w:r>
    </w:p>
    <w:p>
      <w:pPr>
        <w:pStyle w:val="FirstParagraph"/>
      </w:pPr>
      <w:r>
        <w:t xml:space="preserve">The replication framework shall be documented in a separate technical guide. The system shall be demonstrable — by configuration change alone, with no code modification — to at least one additional Uganda government agro-processing entity within 6 months of go-live.</w:t>
      </w:r>
    </w:p>
    <w:bookmarkEnd w:id="63"/>
    <w:bookmarkEnd w:id="64"/>
    <w:bookmarkStart w:id="74" w:name="section-8-constraints"/>
    <w:p>
      <w:pPr>
        <w:pStyle w:val="Heading1"/>
      </w:pPr>
      <w:r>
        <w:t xml:space="preserve">Section 8: Constraints</w:t>
      </w:r>
    </w:p>
    <w:p>
      <w:pPr>
        <w:pStyle w:val="FirstParagraph"/>
      </w:pPr>
      <w:r>
        <w:t xml:space="preserve">The following constraints are binding. No requirement, architecture decision, or implementation choice may violate any constraint in this section without written sign-off from the BIRDC Director and Finance Director.</w:t>
      </w:r>
    </w:p>
    <w:bookmarkStart w:id="65" w:name="X89f52fd0d505553b2b21a7dc58c4022e01735ce"/>
    <w:p>
      <w:pPr>
        <w:pStyle w:val="Heading2"/>
      </w:pPr>
      <w:r>
        <w:t xml:space="preserve">8.1 Deployment: On-Premise Only</w:t>
      </w:r>
    </w:p>
    <w:p>
      <w:pPr>
        <w:pStyle w:val="FirstParagraph"/>
      </w:pPr>
      <w:r>
        <w:t xml:space="preserve">The system shall be deployed exclusively on BIRDC-owned server hardware at Nyaruzinga, Bushenyi. No component of the system — application server, database, file storage, or backup — shall reside on any cloud platform, SaaS provider, or third-party hosted infrastructure. This constraint implements Design Covenant DC-006 (Data Sovereignty).</w:t>
      </w:r>
    </w:p>
    <w:bookmarkEnd w:id="65"/>
    <w:bookmarkStart w:id="66" w:name="X553bf2e1853ff881960469a48e08d1bf8fabce4"/>
    <w:p>
      <w:pPr>
        <w:pStyle w:val="Heading2"/>
      </w:pPr>
      <w:r>
        <w:t xml:space="preserve">8.2 Technology Stack: PHP/MySQL</w:t>
      </w:r>
    </w:p>
    <w:p>
      <w:pPr>
        <w:pStyle w:val="FirstParagraph"/>
      </w:pPr>
      <w:r>
        <w:t xml:space="preserve">The web application backend shall be built in PHP 8.3+ with</w:t>
      </w:r>
      <w:r>
        <w:t xml:space="preserve"> </w:t>
      </w:r>
      <w:r>
        <w:rPr>
          <w:rStyle w:val="VerbatimChar"/>
        </w:rPr>
        <w:t xml:space="preserve">declare(strict_types=1)</w:t>
      </w:r>
      <w:r>
        <w:t xml:space="preserve"> </w:t>
      </w:r>
      <w:r>
        <w:t xml:space="preserve">on every file, PSR-4 autoloading, and PSR-12 coding standard, using a Service/Repository architecture pattern with PHP-DI dependency injection. The database shall be MySQL 9.1 InnoDB with utf8mb4 character set. No other server-side language or database engine is permitted without Director-level written approval.</w:t>
      </w:r>
    </w:p>
    <w:bookmarkEnd w:id="66"/>
    <w:bookmarkStart w:id="67" w:name="X09c5a73c5149d6bb648529b33fd713ebf61ff1c"/>
    <w:p>
      <w:pPr>
        <w:pStyle w:val="Heading2"/>
      </w:pPr>
      <w:r>
        <w:t xml:space="preserve">8.3 Mobile: Android Only (iOS Deferred)</w:t>
      </w:r>
    </w:p>
    <w:p>
      <w:pPr>
        <w:pStyle w:val="FirstParagraph"/>
      </w:pPr>
      <w:r>
        <w:t xml:space="preserve">All 6 mobile applications shall target Android 8.0 (API level 26) as the minimum supported version. iOS development is deferred and is not part of this engagement.</w:t>
      </w:r>
    </w:p>
    <w:bookmarkEnd w:id="67"/>
    <w:bookmarkStart w:id="68" w:name="X22118c312c43b2674d78d0477c8834b6e5b6aa2"/>
    <w:p>
      <w:pPr>
        <w:pStyle w:val="Heading2"/>
      </w:pPr>
      <w:r>
        <w:t xml:space="preserve">8.4 PPDA Compliance</w:t>
      </w:r>
    </w:p>
    <w:p>
      <w:pPr>
        <w:pStyle w:val="FirstParagraph"/>
      </w:pPr>
      <w:r>
        <w:t xml:space="preserve">All procurement workflows must comply with the Uganda Public Procurement and Disposal of Public Assets Act and PPDA regulations applicable to PIBID/BIRDC as a government entity. The PPDA approval matrix (BR-005) is a binding business rule. [CONTEXT-GAP: GAP-007 — Exact current PPDA procurement threshold values in UGX must be confirmed with BIRDC Administration before the procurement approval matrix is configured.]</w:t>
      </w:r>
    </w:p>
    <w:bookmarkEnd w:id="68"/>
    <w:bookmarkStart w:id="69" w:name="X392cc03ee32d8ca83c36b5435c7bf7ac6d47c90"/>
    <w:p>
      <w:pPr>
        <w:pStyle w:val="Heading2"/>
      </w:pPr>
      <w:r>
        <w:t xml:space="preserve">8.5 EFRIS Compliance</w:t>
      </w:r>
    </w:p>
    <w:p>
      <w:pPr>
        <w:pStyle w:val="FirstParagraph"/>
      </w:pPr>
      <w:r>
        <w:t xml:space="preserve">All commercial invoices, credit notes, and POS receipts shall be submitted in real time to Uganda Revenue Authority via the EFRIS system-to-system REST API. The system shall store the Fiscal Document Number (FDN) and QR code against every successfully submitted transaction and print them on all fiscal documents. [CONTEXT-GAP: GAP-001 — URA EFRIS API sandbox credentials required before Phase 1 invoice testing.]</w:t>
      </w:r>
    </w:p>
    <w:bookmarkEnd w:id="69"/>
    <w:bookmarkStart w:id="70" w:name="X7b58063c492676155accded3db5fdf8fdd4ddc6"/>
    <w:p>
      <w:pPr>
        <w:pStyle w:val="Heading2"/>
      </w:pPr>
      <w:r>
        <w:t xml:space="preserve">8.6 Data Sovereignty</w:t>
      </w:r>
    </w:p>
    <w:p>
      <w:pPr>
        <w:pStyle w:val="FirstParagraph"/>
      </w:pPr>
      <w:r>
        <w:t xml:space="preserve">All BIRDC data — farmer records, financial accounts, production records, employee records, and audit logs — shall be stored on BIRDC-owned servers in Uganda. No data shall be transmitted to or stored on any server outside Uganda except via the EFRIS API (URA), MTN MoMo API, and Airtel Money API, which are Ugandan regulatory interfaces.</w:t>
      </w:r>
    </w:p>
    <w:bookmarkEnd w:id="70"/>
    <w:bookmarkStart w:id="71" w:name="Xc0db2394405f6984206ae8ccf7a11506bae705c"/>
    <w:p>
      <w:pPr>
        <w:pStyle w:val="Heading2"/>
      </w:pPr>
      <w:r>
        <w:t xml:space="preserve">8.7 7-Year Audit Retention</w:t>
      </w:r>
    </w:p>
    <w:p>
      <w:pPr>
        <w:pStyle w:val="FirstParagraph"/>
      </w:pPr>
      <w:r>
        <w:t xml:space="preserve">All financial records, audit trail entries, and payroll records shall be retained in the system for a minimum of 7 years, in compliance with the Uganda Companies Act and Uganda Income Tax Act. Deletion of records within the retention period is not permitted for any user role.</w:t>
      </w:r>
    </w:p>
    <w:bookmarkEnd w:id="71"/>
    <w:bookmarkStart w:id="72" w:name="Xaf48bfc2b74154927a0e94b1ac886f57d444a01"/>
    <w:p>
      <w:pPr>
        <w:pStyle w:val="Heading2"/>
      </w:pPr>
      <w:r>
        <w:t xml:space="preserve">8.8 Segregation of Duties</w:t>
      </w:r>
    </w:p>
    <w:p>
      <w:pPr>
        <w:pStyle w:val="FirstParagraph"/>
      </w:pPr>
      <w:r>
        <w:t xml:space="preserve">The system shall enforce segregation of duties (BR-003) at the API layer for all financial approvals, procurement approvals, remittance verification, payroll approval, and stock adjustments. UI-level enforcement alone is not sufficient; the API endpoint must reject the transaction if the requester is the same user who created it.</w:t>
      </w:r>
    </w:p>
    <w:bookmarkEnd w:id="72"/>
    <w:bookmarkStart w:id="73" w:name="Xe58d337a8dcc5b5d2a07a3efd22a3dba94ce1e2"/>
    <w:p>
      <w:pPr>
        <w:pStyle w:val="Heading2"/>
      </w:pPr>
      <w:r>
        <w:t xml:space="preserve">8.9 Offline-First Mobile Operations</w:t>
      </w:r>
    </w:p>
    <w:p>
      <w:pPr>
        <w:pStyle w:val="FirstParagraph"/>
      </w:pPr>
      <w:r>
        <w:t xml:space="preserve">The Sales Agent App (POS), Farmer Delivery App, and Warehouse App shall function completely offline. All transactions recorded offline shall be stored in local SQLite (Room) and synchronised to the server when connectivity is restored. Loss of internet connectivity at Nyaruzinga must not halt operations in these three applications.</w:t>
      </w:r>
    </w:p>
    <w:bookmarkEnd w:id="73"/>
    <w:bookmarkEnd w:id="74"/>
    <w:bookmarkStart w:id="77" w:name="section-9-assumptions-and-open-items"/>
    <w:p>
      <w:pPr>
        <w:pStyle w:val="Heading1"/>
      </w:pPr>
      <w:r>
        <w:t xml:space="preserve">Section 9: Assumptions and Open Items</w:t>
      </w:r>
    </w:p>
    <w:p>
      <w:pPr>
        <w:pStyle w:val="FirstParagraph"/>
      </w:pPr>
      <w:r>
        <w:t xml:space="preserve">The following assumptions underpin this Product Requirements Document. Each assumption corresponds to a known information gap (from the project Gap Analysis). If any assumption is invalidated, the affected module specifications must be revised before development of that module begins.</w:t>
      </w:r>
    </w:p>
    <w:p>
      <w:pPr>
        <w:pStyle w:val="BodyText"/>
      </w:pPr>
      <w:r>
        <w:t xml:space="preserve">The gap owner is responsible for resolution. The consultant (Peter Bamuhigire) will update the relevant specification section when each gap is closed.</w:t>
      </w:r>
    </w:p>
    <w:bookmarkStart w:id="75" w:name="Xb682a32c6fbf0bae1ba4a2ecf85d70df982ebe2"/>
    <w:p>
      <w:pPr>
        <w:pStyle w:val="Heading2"/>
      </w:pPr>
      <w:r>
        <w:t xml:space="preserve">9.1 Open Item Register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GAP ID</w:t>
            </w:r>
          </w:p>
        </w:tc>
        <w:tc>
          <w:tcPr/>
          <w:p>
            <w:pPr>
              <w:pStyle w:val="Compact"/>
            </w:pPr>
            <w:r>
              <w:t xml:space="preserve">Assumption (if unresolved)</w:t>
            </w:r>
          </w:p>
        </w:tc>
        <w:tc>
          <w:tcPr/>
          <w:p>
            <w:pPr>
              <w:pStyle w:val="Compact"/>
            </w:pPr>
            <w:r>
              <w:t xml:space="preserve">Severity</w:t>
            </w:r>
          </w:p>
        </w:tc>
        <w:tc>
          <w:tcPr/>
          <w:p>
            <w:pPr>
              <w:pStyle w:val="Compact"/>
            </w:pPr>
            <w:r>
              <w:t xml:space="preserve">Owner</w:t>
            </w:r>
          </w:p>
        </w:tc>
        <w:tc>
          <w:tcPr/>
          <w:p>
            <w:pPr>
              <w:pStyle w:val="Compact"/>
            </w:pPr>
            <w:r>
              <w:t xml:space="preserve">Resolution Trigger</w:t>
            </w:r>
          </w:p>
        </w:tc>
      </w:tr>
      <w:tr>
        <w:tc>
          <w:tcPr/>
          <w:p>
            <w:pPr>
              <w:pStyle w:val="Compact"/>
            </w:pPr>
            <w:r>
              <w:t xml:space="preserve">GAP-001</w:t>
            </w:r>
          </w:p>
        </w:tc>
        <w:tc>
          <w:tcPr/>
          <w:p>
            <w:pPr>
              <w:pStyle w:val="Compact"/>
            </w:pPr>
            <w:r>
              <w:t xml:space="preserve">EFRIS API sandbox credentials will be provided by BIRDC IT before Phase 1 invoice testing commences. Until provided, EFRIS integration is designed against the URA EFRIS public API specification only.</w:t>
            </w:r>
          </w:p>
        </w:tc>
        <w:tc>
          <w:tcPr/>
          <w:p>
            <w:pPr>
              <w:pStyle w:val="Compact"/>
            </w:pPr>
            <w:r>
              <w:t xml:space="preserve">High</w:t>
            </w:r>
          </w:p>
        </w:tc>
        <w:tc>
          <w:tcPr/>
          <w:p>
            <w:pPr>
              <w:pStyle w:val="Compact"/>
            </w:pPr>
            <w:r>
              <w:t xml:space="preserve">BIRDC IT / Peter</w:t>
            </w:r>
          </w:p>
        </w:tc>
        <w:tc>
          <w:tcPr/>
          <w:p>
            <w:pPr>
              <w:pStyle w:val="Compact"/>
            </w:pPr>
            <w:r>
              <w:t xml:space="preserve">Required before Phase 1 invoice testing</w:t>
            </w:r>
          </w:p>
        </w:tc>
      </w:tr>
      <w:tr>
        <w:tc>
          <w:tcPr/>
          <w:p>
            <w:pPr>
              <w:pStyle w:val="Compact"/>
            </w:pPr>
            <w:r>
              <w:t xml:space="preserve">GAP-002</w:t>
            </w:r>
          </w:p>
        </w:tc>
        <w:tc>
          <w:tcPr/>
          <w:p>
            <w:pPr>
              <w:pStyle w:val="Compact"/>
            </w:pPr>
            <w:r>
              <w:t xml:space="preserve">MTN MoMo Business API sandbox credentials will be provided by BIRDC Finance before agent remittance and farmer payment testing.</w:t>
            </w:r>
          </w:p>
        </w:tc>
        <w:tc>
          <w:tcPr/>
          <w:p>
            <w:pPr>
              <w:pStyle w:val="Compact"/>
            </w:pPr>
            <w:r>
              <w:t xml:space="preserve">High</w:t>
            </w:r>
          </w:p>
        </w:tc>
        <w:tc>
          <w:tcPr/>
          <w:p>
            <w:pPr>
              <w:pStyle w:val="Compact"/>
            </w:pPr>
            <w:r>
              <w:t xml:space="preserve">Peter / BIRDC Finance</w:t>
            </w:r>
          </w:p>
        </w:tc>
        <w:tc>
          <w:tcPr/>
          <w:p>
            <w:pPr>
              <w:pStyle w:val="Compact"/>
            </w:pPr>
            <w:r>
              <w:t xml:space="preserve">Required before agent remittance testing</w:t>
            </w:r>
          </w:p>
        </w:tc>
      </w:tr>
      <w:tr>
        <w:tc>
          <w:tcPr/>
          <w:p>
            <w:pPr>
              <w:pStyle w:val="Compact"/>
            </w:pPr>
            <w:r>
              <w:t xml:space="preserve">GAP-003</w:t>
            </w:r>
          </w:p>
        </w:tc>
        <w:tc>
          <w:tcPr/>
          <w:p>
            <w:pPr>
              <w:pStyle w:val="Compact"/>
            </w:pPr>
            <w:r>
              <w:t xml:space="preserve">Airtel Money API sandbox credentials will be provided before Airtel payment testing. MTN MoMo is higher priority and will be integrated first.</w:t>
            </w:r>
          </w:p>
        </w:tc>
        <w:tc>
          <w:tcPr/>
          <w:p>
            <w:pPr>
              <w:pStyle w:val="Compact"/>
            </w:pPr>
            <w:r>
              <w:t xml:space="preserve">Medium</w:t>
            </w:r>
          </w:p>
        </w:tc>
        <w:tc>
          <w:tcPr/>
          <w:p>
            <w:pPr>
              <w:pStyle w:val="Compact"/>
            </w:pPr>
            <w:r>
              <w:t xml:space="preserve">Peter / BIRDC Finance</w:t>
            </w:r>
          </w:p>
        </w:tc>
        <w:tc>
          <w:tcPr/>
          <w:p>
            <w:pPr>
              <w:pStyle w:val="Compact"/>
            </w:pPr>
            <w:r>
              <w:t xml:space="preserve">Required before Airtel payment testing</w:t>
            </w:r>
          </w:p>
        </w:tc>
      </w:tr>
      <w:tr>
        <w:tc>
          <w:tcPr/>
          <w:p>
            <w:pPr>
              <w:pStyle w:val="Compact"/>
            </w:pPr>
            <w:r>
              <w:t xml:space="preserve">GAP-004</w:t>
            </w:r>
          </w:p>
        </w:tc>
        <w:tc>
          <w:tcPr/>
          <w:p>
            <w:pPr>
              <w:pStyle w:val="Compact"/>
            </w:pPr>
            <w:r>
              <w:t xml:space="preserve">BIRDC will obtain a legal review of farmer data collection (GPS coordinates, NIN, photo, mobile money number) under the Uganda Data Protection and Privacy Act 2019 before go-live. The Farmer Registration module is specified on the assumption that this review confirms compliance.</w:t>
            </w:r>
          </w:p>
        </w:tc>
        <w:tc>
          <w:tcPr/>
          <w:p>
            <w:pPr>
              <w:pStyle w:val="Compact"/>
            </w:pPr>
            <w:r>
              <w:t xml:space="preserve">Critical</w:t>
            </w:r>
          </w:p>
        </w:tc>
        <w:tc>
          <w:tcPr/>
          <w:p>
            <w:pPr>
              <w:pStyle w:val="Compact"/>
            </w:pPr>
            <w:r>
              <w:t xml:space="preserve">BIRDC Legal / Peter</w:t>
            </w:r>
          </w:p>
        </w:tc>
        <w:tc>
          <w:tcPr/>
          <w:p>
            <w:pPr>
              <w:pStyle w:val="Compact"/>
            </w:pPr>
            <w:r>
              <w:t xml:space="preserve">Required before go-live with farmer registration</w:t>
            </w:r>
          </w:p>
        </w:tc>
      </w:tr>
      <w:tr>
        <w:tc>
          <w:tcPr/>
          <w:p>
            <w:pPr>
              <w:pStyle w:val="Compact"/>
            </w:pPr>
            <w:r>
              <w:t xml:space="preserve">GAP-005</w:t>
            </w:r>
          </w:p>
        </w:tc>
        <w:tc>
          <w:tcPr/>
          <w:p>
            <w:pPr>
              <w:pStyle w:val="Compact"/>
            </w:pPr>
            <w:r>
              <w:t xml:space="preserve">The ZKTeco biometric devices deployed at BIRDC use a standard ZKTeco SDK API compatible with direct MySQL import. The exact device model numbers will be confirmed by BIRDC IT before HR biometric integration is finalised.</w:t>
            </w:r>
          </w:p>
        </w:tc>
        <w:tc>
          <w:tcPr/>
          <w:p>
            <w:pPr>
              <w:pStyle w:val="Compact"/>
            </w:pPr>
            <w:r>
              <w:t xml:space="preserve">Medium</w:t>
            </w:r>
          </w:p>
        </w:tc>
        <w:tc>
          <w:tcPr/>
          <w:p>
            <w:pPr>
              <w:pStyle w:val="Compact"/>
            </w:pPr>
            <w:r>
              <w:t xml:space="preserve">BIRDC IT</w:t>
            </w:r>
          </w:p>
        </w:tc>
        <w:tc>
          <w:tcPr/>
          <w:p>
            <w:pPr>
              <w:pStyle w:val="Compact"/>
            </w:pPr>
            <w:r>
              <w:t xml:space="preserve">Required before HR biometric integration design</w:t>
            </w:r>
          </w:p>
        </w:tc>
      </w:tr>
      <w:tr>
        <w:tc>
          <w:tcPr/>
          <w:p>
            <w:pPr>
              <w:pStyle w:val="Compact"/>
            </w:pPr>
            <w:r>
              <w:t xml:space="preserve">GAP-006</w:t>
            </w:r>
          </w:p>
        </w:tc>
        <w:tc>
          <w:tcPr/>
          <w:p>
            <w:pPr>
              <w:pStyle w:val="Compact"/>
            </w:pPr>
            <w:r>
              <w:t xml:space="preserve">BIRDC's bank accepts a standard Uganda ACH/EFT bulk credit transfer file format. The exact format will be confirmed with BIRDC Finance before the payroll bank transfer file specification is finalised.</w:t>
            </w:r>
          </w:p>
        </w:tc>
        <w:tc>
          <w:tcPr/>
          <w:p>
            <w:pPr>
              <w:pStyle w:val="Compact"/>
            </w:pPr>
            <w:r>
              <w:t xml:space="preserve">Medium</w:t>
            </w:r>
          </w:p>
        </w:tc>
        <w:tc>
          <w:tcPr/>
          <w:p>
            <w:pPr>
              <w:pStyle w:val="Compact"/>
            </w:pPr>
            <w:r>
              <w:t xml:space="preserve">BIRDC Finance</w:t>
            </w:r>
          </w:p>
        </w:tc>
        <w:tc>
          <w:tcPr/>
          <w:p>
            <w:pPr>
              <w:pStyle w:val="Compact"/>
            </w:pPr>
            <w:r>
              <w:t xml:space="preserve">Required before payroll bank transfer specification</w:t>
            </w:r>
          </w:p>
        </w:tc>
      </w:tr>
      <w:tr>
        <w:tc>
          <w:tcPr/>
          <w:p>
            <w:pPr>
              <w:pStyle w:val="Compact"/>
            </w:pPr>
            <w:r>
              <w:t xml:space="preserve">GAP-007</w:t>
            </w:r>
          </w:p>
        </w:tc>
        <w:tc>
          <w:tcPr/>
          <w:p>
            <w:pPr>
              <w:pStyle w:val="Compact"/>
            </w:pPr>
            <w:r>
              <w:t xml:space="preserve">The PPDA procurement threshold values (UGX amounts for micro, small, large, and restricted categories) applicable to PIBID/BIRDC as a government entity will be confirmed with BIRDC Administration. The procurement approval matrix (BR-005) is designed around these thresholds and will be updated when confirmed.</w:t>
            </w:r>
          </w:p>
        </w:tc>
        <w:tc>
          <w:tcPr/>
          <w:p>
            <w:pPr>
              <w:pStyle w:val="Compact"/>
            </w:pPr>
            <w:r>
              <w:t xml:space="preserve">High</w:t>
            </w:r>
          </w:p>
        </w:tc>
        <w:tc>
          <w:tcPr/>
          <w:p>
            <w:pPr>
              <w:pStyle w:val="Compact"/>
            </w:pPr>
            <w:r>
              <w:t xml:space="preserve">BIRDC Administration / Peter</w:t>
            </w:r>
          </w:p>
        </w:tc>
        <w:tc>
          <w:tcPr/>
          <w:p>
            <w:pPr>
              <w:pStyle w:val="Compact"/>
            </w:pPr>
            <w:r>
              <w:t xml:space="preserve">Required before procurement approval matrix is configured</w:t>
            </w:r>
          </w:p>
        </w:tc>
      </w:tr>
      <w:tr>
        <w:tc>
          <w:tcPr/>
          <w:p>
            <w:pPr>
              <w:pStyle w:val="Compact"/>
            </w:pPr>
            <w:r>
              <w:t xml:space="preserve">GAP-008</w:t>
            </w:r>
          </w:p>
        </w:tc>
        <w:tc>
          <w:tcPr/>
          <w:p>
            <w:pPr>
              <w:pStyle w:val="Compact"/>
            </w:pPr>
            <w:r>
              <w:t xml:space="preserve">Uganda PAYE tax bands are assumed to be the 2024/25 URA-published rates. If URA has published updated bands, BIRDC's Finance Director will provide the updated schedule before payroll module specification is finalised.</w:t>
            </w:r>
          </w:p>
        </w:tc>
        <w:tc>
          <w:tcPr/>
          <w:p>
            <w:pPr>
              <w:pStyle w:val="Compact"/>
            </w:pPr>
            <w:r>
              <w:t xml:space="preserve">High</w:t>
            </w:r>
          </w:p>
        </w:tc>
        <w:tc>
          <w:tcPr/>
          <w:p>
            <w:pPr>
              <w:pStyle w:val="Compact"/>
            </w:pPr>
            <w:r>
              <w:t xml:space="preserve">Peter</w:t>
            </w:r>
          </w:p>
        </w:tc>
        <w:tc>
          <w:tcPr/>
          <w:p>
            <w:pPr>
              <w:pStyle w:val="Compact"/>
            </w:pPr>
            <w:r>
              <w:t xml:space="preserve">Confirm before payroll calculation specification</w:t>
            </w:r>
          </w:p>
        </w:tc>
      </w:tr>
      <w:tr>
        <w:tc>
          <w:tcPr/>
          <w:p>
            <w:pPr>
              <w:pStyle w:val="Compact"/>
            </w:pPr>
            <w:r>
              <w:t xml:space="preserve">GAP-009</w:t>
            </w:r>
          </w:p>
        </w:tc>
        <w:tc>
          <w:tcPr/>
          <w:p>
            <w:pPr>
              <w:pStyle w:val="Compact"/>
            </w:pPr>
            <w:r>
              <w:t xml:space="preserve">The NSSF contribution schedule format required by NSSF Uganda for employer remittance will be provided by BIRDC HR. The payroll module NSSF export is designed around the standard NSSF Uganda employer format and will be updated when the exact template is confirmed.</w:t>
            </w:r>
          </w:p>
        </w:tc>
        <w:tc>
          <w:tcPr/>
          <w:p>
            <w:pPr>
              <w:pStyle w:val="Compact"/>
            </w:pPr>
            <w:r>
              <w:t xml:space="preserve">Medium</w:t>
            </w:r>
          </w:p>
        </w:tc>
        <w:tc>
          <w:tcPr/>
          <w:p>
            <w:pPr>
              <w:pStyle w:val="Compact"/>
            </w:pPr>
            <w:r>
              <w:t xml:space="preserve">BIRDC HR</w:t>
            </w:r>
          </w:p>
        </w:tc>
        <w:tc>
          <w:tcPr/>
          <w:p>
            <w:pPr>
              <w:pStyle w:val="Compact"/>
            </w:pPr>
            <w:r>
              <w:t xml:space="preserve">Required before payroll NSSF export specification</w:t>
            </w:r>
          </w:p>
        </w:tc>
      </w:tr>
      <w:tr>
        <w:tc>
          <w:tcPr/>
          <w:p>
            <w:pPr>
              <w:pStyle w:val="Compact"/>
            </w:pPr>
            <w:r>
              <w:t xml:space="preserve">GAP-010</w:t>
            </w:r>
          </w:p>
        </w:tc>
        <w:tc>
          <w:tcPr/>
          <w:p>
            <w:pPr>
              <w:pStyle w:val="Compact"/>
            </w:pPr>
            <w:r>
              <w:t xml:space="preserve">Export CoA parameter requirements (specific test parameters and limits for South Korea, EU/Italy, Saudi Arabia, Qatar, and USA import inspection) will be provided by the BIRDC QC Manager. Export CoA templates are specified as configurable; the default parameter sets will be finalised when market requirements are confirmed.</w:t>
            </w:r>
          </w:p>
        </w:tc>
        <w:tc>
          <w:tcPr/>
          <w:p>
            <w:pPr>
              <w:pStyle w:val="Compact"/>
            </w:pPr>
            <w:r>
              <w:t xml:space="preserve">High</w:t>
            </w:r>
          </w:p>
        </w:tc>
        <w:tc>
          <w:tcPr/>
          <w:p>
            <w:pPr>
              <w:pStyle w:val="Compact"/>
            </w:pPr>
            <w:r>
              <w:t xml:space="preserve">BIRDC QC Manager</w:t>
            </w:r>
          </w:p>
        </w:tc>
        <w:tc>
          <w:tcPr/>
          <w:p>
            <w:pPr>
              <w:pStyle w:val="Compact"/>
            </w:pPr>
            <w:r>
              <w:t xml:space="preserve">Required before export CoA template design</w:t>
            </w:r>
          </w:p>
        </w:tc>
      </w:tr>
      <w:tr>
        <w:tc>
          <w:tcPr/>
          <w:p>
            <w:pPr>
              <w:pStyle w:val="Compact"/>
            </w:pPr>
            <w:r>
              <w:t xml:space="preserve">GAP-011</w:t>
            </w:r>
          </w:p>
        </w:tc>
        <w:tc>
          <w:tcPr/>
          <w:p>
            <w:pPr>
              <w:pStyle w:val="Compact"/>
            </w:pPr>
            <w:r>
              <w:t xml:space="preserve">The Bluetooth weighing scale at cooperative collection points uses a standard Bluetooth serial/BLE protocol compatible with Android Bluetooth API. The exact model will be confirmed by BIRDC Procurement before the Farmer Delivery App hardware specification is finalised.</w:t>
            </w:r>
          </w:p>
        </w:tc>
        <w:tc>
          <w:tcPr/>
          <w:p>
            <w:pPr>
              <w:pStyle w:val="Compact"/>
            </w:pPr>
            <w:r>
              <w:t xml:space="preserve">Medium</w:t>
            </w:r>
          </w:p>
        </w:tc>
        <w:tc>
          <w:tcPr/>
          <w:p>
            <w:pPr>
              <w:pStyle w:val="Compact"/>
            </w:pPr>
            <w:r>
              <w:t xml:space="preserve">BIRDC Procurement</w:t>
            </w:r>
          </w:p>
        </w:tc>
        <w:tc>
          <w:tcPr/>
          <w:p>
            <w:pPr>
              <w:pStyle w:val="Compact"/>
            </w:pPr>
            <w:r>
              <w:t xml:space="preserve">Required before Farmer Delivery App hardware specification</w:t>
            </w:r>
          </w:p>
        </w:tc>
      </w:tr>
      <w:tr>
        <w:tc>
          <w:tcPr/>
          <w:p>
            <w:pPr>
              <w:pStyle w:val="Compact"/>
            </w:pPr>
            <w:r>
              <w:t xml:space="preserve">GAP-012</w:t>
            </w:r>
          </w:p>
        </w:tc>
        <w:tc>
          <w:tcPr/>
          <w:p>
            <w:pPr>
              <w:pStyle w:val="Compact"/>
            </w:pPr>
            <w:r>
              <w:t xml:space="preserve">BIRDC holds an existing Chart of Accounts. If the 1,307-account chart referenced in the feature specification does not exist, the Finance Director will lead a chart-of-accounts design workshop with the consultant before the GL module database design is finalised.</w:t>
            </w:r>
          </w:p>
        </w:tc>
        <w:tc>
          <w:tcPr/>
          <w:p>
            <w:pPr>
              <w:pStyle w:val="Compact"/>
            </w:pPr>
            <w:r>
              <w:t xml:space="preserve">High</w:t>
            </w:r>
          </w:p>
        </w:tc>
        <w:tc>
          <w:tcPr/>
          <w:p>
            <w:pPr>
              <w:pStyle w:val="Compact"/>
            </w:pPr>
            <w:r>
              <w:t xml:space="preserve">BIRDC Finance Director</w:t>
            </w:r>
          </w:p>
        </w:tc>
        <w:tc>
          <w:tcPr/>
          <w:p>
            <w:pPr>
              <w:pStyle w:val="Compact"/>
            </w:pPr>
            <w:r>
              <w:t xml:space="preserve">Required before GL module database design</w:t>
            </w:r>
          </w:p>
        </w:tc>
      </w:tr>
      <w:tr>
        <w:tc>
          <w:tcPr/>
          <w:p>
            <w:pPr>
              <w:pStyle w:val="Compact"/>
            </w:pPr>
            <w:r>
              <w:t xml:space="preserve">GAP-013</w:t>
            </w:r>
          </w:p>
        </w:tc>
        <w:tc>
          <w:tcPr/>
          <w:p>
            <w:pPr>
              <w:pStyle w:val="Compact"/>
            </w:pPr>
            <w:r>
              <w:t xml:space="preserve">BIRDC's server hardware at Nyaruzinga meets minimum specifications for the system. BIRDC IT will provide server specifications (RAM, storage, OS version) before the deployment guide is written.</w:t>
            </w:r>
          </w:p>
        </w:tc>
        <w:tc>
          <w:tcPr/>
          <w:p>
            <w:pPr>
              <w:pStyle w:val="Compact"/>
            </w:pPr>
            <w:r>
              <w:t xml:space="preserve">Medium</w:t>
            </w:r>
          </w:p>
        </w:tc>
        <w:tc>
          <w:tcPr/>
          <w:p>
            <w:pPr>
              <w:pStyle w:val="Compact"/>
            </w:pPr>
            <w:r>
              <w:t xml:space="preserve">BIRDC IT</w:t>
            </w:r>
          </w:p>
        </w:tc>
        <w:tc>
          <w:tcPr/>
          <w:p>
            <w:pPr>
              <w:pStyle w:val="Compact"/>
            </w:pPr>
            <w:r>
              <w:t xml:space="preserve">Required before deployment guide</w:t>
            </w:r>
          </w:p>
        </w:tc>
      </w:tr>
      <w:tr>
        <w:tc>
          <w:tcPr/>
          <w:p>
            <w:pPr>
              <w:pStyle w:val="Compact"/>
            </w:pPr>
            <w:r>
              <w:t xml:space="preserve">GAP-014</w:t>
            </w:r>
          </w:p>
        </w:tc>
        <w:tc>
          <w:tcPr/>
          <w:p>
            <w:pPr>
              <w:pStyle w:val="Compact"/>
            </w:pPr>
            <w:r>
              <w:t xml:space="preserve">If BIRDC uses an existing accounting system, data migration will be scoped as a separate engagement. The current specification assumes a greenfield go-live. If historical data migration is required, it must be agreed and funded as an additional sprint.</w:t>
            </w:r>
          </w:p>
        </w:tc>
        <w:tc>
          <w:tcPr/>
          <w:p>
            <w:pPr>
              <w:pStyle w:val="Compact"/>
            </w:pPr>
            <w:r>
              <w:t xml:space="preserve">High</w:t>
            </w:r>
          </w:p>
        </w:tc>
        <w:tc>
          <w:tcPr/>
          <w:p>
            <w:pPr>
              <w:pStyle w:val="Compact"/>
            </w:pPr>
            <w:r>
              <w:t xml:space="preserve">BIRDC Finance / Peter</w:t>
            </w:r>
          </w:p>
        </w:tc>
        <w:tc>
          <w:tcPr/>
          <w:p>
            <w:pPr>
              <w:pStyle w:val="Compact"/>
            </w:pPr>
            <w:r>
              <w:t xml:space="preserve">Required before go-live strategy is confirmed</w:t>
            </w:r>
          </w:p>
        </w:tc>
      </w:tr>
    </w:tbl>
    <w:bookmarkEnd w:id="75"/>
    <w:bookmarkStart w:id="76" w:name="X2ddff20c8f01d71a483cadbfe5c05e86bc604ec"/>
    <w:p>
      <w:pPr>
        <w:pStyle w:val="Heading2"/>
      </w:pPr>
      <w:r>
        <w:t xml:space="preserve">9.2 Assumption Management</w:t>
      </w:r>
    </w:p>
    <w:p>
      <w:pPr>
        <w:pStyle w:val="FirstParagraph"/>
      </w:pPr>
      <w:r>
        <w:t xml:space="preserve">When a gap is resolved:</w:t>
      </w:r>
    </w:p>
    <w:p>
      <w:pPr>
        <w:pStyle w:val="Compact"/>
        <w:numPr>
          <w:ilvl w:val="0"/>
          <w:numId w:val="1005"/>
        </w:numPr>
      </w:pPr>
      <w:r>
        <w:t xml:space="preserve">The gap owner notifies Peter Bamuhigire with the confirmed information.</w:t>
      </w:r>
    </w:p>
    <w:p>
      <w:pPr>
        <w:pStyle w:val="Compact"/>
        <w:numPr>
          <w:ilvl w:val="0"/>
          <w:numId w:val="1005"/>
        </w:numPr>
      </w:pPr>
      <w:r>
        <w:t xml:space="preserve">The consultant updates the relevant</w:t>
      </w:r>
      <w:r>
        <w:t xml:space="preserve"> </w:t>
      </w:r>
      <w:r>
        <w:rPr>
          <w:rStyle w:val="VerbatimChar"/>
        </w:rPr>
        <w:t xml:space="preserve">_context/</w:t>
      </w:r>
      <w:r>
        <w:t xml:space="preserve"> </w:t>
      </w:r>
      <w:r>
        <w:t xml:space="preserve">file and affected specification section.</w:t>
      </w:r>
    </w:p>
    <w:p>
      <w:pPr>
        <w:pStyle w:val="Compact"/>
        <w:numPr>
          <w:ilvl w:val="0"/>
          <w:numId w:val="1005"/>
        </w:numPr>
      </w:pPr>
      <w:r>
        <w:t xml:space="preserve">The updated section is marked with the gap closure date and the gap status is updated to "Resolved" in the gap analysis register.</w:t>
      </w:r>
    </w:p>
    <w:p>
      <w:pPr>
        <w:pStyle w:val="Compact"/>
        <w:numPr>
          <w:ilvl w:val="0"/>
          <w:numId w:val="1005"/>
        </w:numPr>
      </w:pPr>
      <w:r>
        <w:t xml:space="preserve">No development work on a module affected by an unresolved Critical or High severity gap shall commence until that gap is resolved.</w:t>
      </w:r>
    </w:p>
    <w:bookmarkEnd w:id="76"/>
    <w:bookmarkEnd w:id="77"/>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 BIRDC ERP</dc:title>
  <dc:creator>Peter Bamuhigire, ICT Consultant (techguypeter.com) for PIBID/BIRDC</dc:creator>
  <cp:keywords/>
  <dcterms:created xsi:type="dcterms:W3CDTF">2026-04-05T16:39:24Z</dcterms:created>
  <dcterms:modified xsi:type="dcterms:W3CDTF">2026-04-05T16:39:24Z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ubtitle">
    <vt:lpwstr>Banana Industrial Research and Development Centre Enterprise Resource Planning System</vt:lpwstr>
  </property>
  <property fmtid="{D5CDD505-2E9C-101B-9397-08002B2CF9AE}" pid="4" name="version">
    <vt:lpwstr>1.0 — Draft for Review</vt:lpwstr>
  </property>
</Properties>
</file>