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Strategy — BIRDC ERP</w:t>
      </w:r>
    </w:p>
    <w:p>
      <w:pPr>
        <w:pStyle w:val="Subtitle"/>
      </w:pPr>
      <w:r>
        <w:t xml:space="preserve">IEEE 829 / IEEE 1012 Compliant Test Strategy</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test-strategy--birdc-erp"/>
    <w:p>
      <w:pPr>
        <w:pStyle w:val="Heading1"/>
      </w:pPr>
      <w:r>
        <w:t xml:space="preserve">Test Strategy — BIRDC ERP</w:t>
      </w:r>
    </w:p>
    <w:p>
      <w:pPr>
        <w:pStyle w:val="FirstParagraph"/>
      </w:pPr>
      <w:r>
        <w:rPr>
          <w:b/>
          <w:bCs/>
        </w:rPr>
        <w:t xml:space="preserve">Project:</w:t>
      </w:r>
      <w:r>
        <w:t xml:space="preserve"> </w:t>
      </w:r>
      <w:r>
        <w:t xml:space="preserve">BIRDC ERP — Purpose-Built Enterprise Resource Planning System</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Standard:</w:t>
      </w:r>
      <w:r>
        <w:t xml:space="preserve"> </w:t>
      </w:r>
      <w:r>
        <w:t xml:space="preserve">IEEE 829-2008 (Software Test Documentation) / IEEE 1012-2016 (Software Verification and Validation)</w:t>
      </w:r>
    </w:p>
    <w:p>
      <w:r>
        <w:pict>
          <v:rect style="width:0;height:1.5pt" o:hralign="center" o:hrstd="t" o:hr="t"/>
        </w:pict>
      </w:r>
    </w:p>
    <w:bookmarkStart w:id="22" w:name="X4666c8db187a468bd7c4d1efd69e1ca31a62544"/>
    <w:p>
      <w:pPr>
        <w:pStyle w:val="Heading2"/>
      </w:pPr>
      <w:r>
        <w:t xml:space="preserve">1. Purpose and Scope</w:t>
      </w:r>
    </w:p>
    <w:bookmarkStart w:id="19" w:name="Xe94c4103db6bb764aa3b798144b782dac27f424"/>
    <w:p>
      <w:pPr>
        <w:pStyle w:val="Heading3"/>
      </w:pPr>
      <w:r>
        <w:t xml:space="preserve">1.1 Purpose</w:t>
      </w:r>
    </w:p>
    <w:p>
      <w:pPr>
        <w:pStyle w:val="FirstParagraph"/>
      </w:pPr>
      <w:r>
        <w:t xml:space="preserve">This Test Strategy defines the overarching approach, principles, and standards that govern all verification and validation activities for the BIRDC ERP system. It establishes the test levels, priorities, environments, roles, responsibilities, defect classification scheme, and entry/exit criteria that apply across all 7 delivery phases. Every downstream Test Plan, Test Case specification, and Test Report for this project must conform to this strategy.</w:t>
      </w:r>
    </w:p>
    <w:bookmarkEnd w:id="19"/>
    <w:bookmarkStart w:id="20" w:name="X3378fde8998068a01e48267892e5cd923e9bc15"/>
    <w:p>
      <w:pPr>
        <w:pStyle w:val="Heading3"/>
      </w:pPr>
      <w:r>
        <w:t xml:space="preserve">1.2 Scope</w:t>
      </w:r>
    </w:p>
    <w:p>
      <w:pPr>
        <w:pStyle w:val="FirstParagraph"/>
      </w:pPr>
      <w:r>
        <w:t xml:space="preserve">Testing covers:</w:t>
      </w:r>
    </w:p>
    <w:p>
      <w:pPr>
        <w:pStyle w:val="Compact"/>
        <w:numPr>
          <w:ilvl w:val="0"/>
          <w:numId w:val="1001"/>
        </w:numPr>
      </w:pPr>
      <w:r>
        <w:t xml:space="preserve">All 17 functional modules: Sales &amp; Distribution (F-001), Point of Sale (F-002), Inventory &amp; Warehouse Management (F-003), Agent Distribution Management (F-004), Financial Accounting &amp; General Ledger (F-005), Accounts Receivable (F-006), Accounts Payable (F-007), Budget Management (F-008), Procurement &amp; Purchasing (F-009), Farmer &amp; Cooperative Management (F-010), Manufacturing &amp; Production (F-011), Quality Control &amp; Laboratory (F-012), Human Resources (F-013), Payroll (F-014), Research &amp; Development (F-015), Administration &amp; PPDA Compliance (F-016), and System Administration / IT (F-017).</w:t>
      </w:r>
    </w:p>
    <w:p>
      <w:pPr>
        <w:pStyle w:val="Compact"/>
        <w:numPr>
          <w:ilvl w:val="0"/>
          <w:numId w:val="1001"/>
        </w:numPr>
      </w:pPr>
      <w:r>
        <w:t xml:space="preserve">3 web application panels: Main ERP Workspace (</w:t>
      </w:r>
      <w:r>
        <w:rPr>
          <w:rStyle w:val="VerbatimChar"/>
        </w:rPr>
        <w:t xml:space="preserve">/public/</w:t>
      </w:r>
      <w:r>
        <w:t xml:space="preserve">), Sales Agent Portal (</w:t>
      </w:r>
      <w:r>
        <w:rPr>
          <w:rStyle w:val="VerbatimChar"/>
        </w:rPr>
        <w:t xml:space="preserve">/public/sales-agents/</w:t>
      </w:r>
      <w:r>
        <w:t xml:space="preserve">), System Administration (</w:t>
      </w:r>
      <w:r>
        <w:rPr>
          <w:rStyle w:val="VerbatimChar"/>
        </w:rPr>
        <w:t xml:space="preserve">/public/admin/</w:t>
      </w:r>
      <w:r>
        <w:t xml:space="preserve">).</w:t>
      </w:r>
    </w:p>
    <w:p>
      <w:pPr>
        <w:pStyle w:val="Compact"/>
        <w:numPr>
          <w:ilvl w:val="0"/>
          <w:numId w:val="1001"/>
        </w:numPr>
      </w:pPr>
      <w:r>
        <w:t xml:space="preserve">6 Android mobile applications: Sales Agent App, Farmer Delivery App, Warehouse App, Executive Dashboard App, HR Self-Service App, and Factory Floor App.</w:t>
      </w:r>
    </w:p>
    <w:p>
      <w:pPr>
        <w:pStyle w:val="Compact"/>
        <w:numPr>
          <w:ilvl w:val="0"/>
          <w:numId w:val="1001"/>
        </w:numPr>
      </w:pPr>
      <w:r>
        <w:t xml:space="preserve">External integrations: URA EFRIS system-to-system API, MTN MoMo Business API, Airtel Money API, and ZKTeco biometric fingerprint device integration.</w:t>
      </w:r>
    </w:p>
    <w:p>
      <w:pPr>
        <w:pStyle w:val="Compact"/>
        <w:numPr>
          <w:ilvl w:val="0"/>
          <w:numId w:val="1001"/>
        </w:numPr>
      </w:pPr>
      <w:r>
        <w:t xml:space="preserve">All 18 business rules (BR-001 through BR-018) and all 7 Design Covenants (DC-001 through DC-007).</w:t>
      </w:r>
    </w:p>
    <w:p>
      <w:pPr>
        <w:pStyle w:val="Compact"/>
        <w:numPr>
          <w:ilvl w:val="0"/>
          <w:numId w:val="1001"/>
        </w:numPr>
      </w:pPr>
      <w:r>
        <w:t xml:space="preserve">Non-functional requirements: performance, security, availability, offline operation, and data integrity.</w:t>
      </w:r>
    </w:p>
    <w:bookmarkEnd w:id="20"/>
    <w:bookmarkStart w:id="21" w:name="X5b1e8fe06ea8ed16a325bcb7e441b47b10ea1cd"/>
    <w:p>
      <w:pPr>
        <w:pStyle w:val="Heading3"/>
      </w:pPr>
      <w:r>
        <w:t xml:space="preserve">1.3 Out of Scope</w:t>
      </w:r>
    </w:p>
    <w:p>
      <w:pPr>
        <w:pStyle w:val="Compact"/>
        <w:numPr>
          <w:ilvl w:val="0"/>
          <w:numId w:val="1002"/>
        </w:numPr>
      </w:pPr>
      <w:r>
        <w:t xml:space="preserve">iOS applications (deferred per project scope decision).</w:t>
      </w:r>
    </w:p>
    <w:p>
      <w:pPr>
        <w:pStyle w:val="Compact"/>
        <w:numPr>
          <w:ilvl w:val="0"/>
          <w:numId w:val="1002"/>
        </w:numPr>
      </w:pPr>
      <w:r>
        <w:t xml:space="preserve">URA EFRIS production environment testing prior to go-live (sandbox only until Phase 7).</w:t>
      </w:r>
    </w:p>
    <w:p>
      <w:pPr>
        <w:pStyle w:val="Compact"/>
        <w:numPr>
          <w:ilvl w:val="0"/>
          <w:numId w:val="1002"/>
        </w:numPr>
      </w:pPr>
      <w:r>
        <w:t xml:space="preserve">Third-party vendor internal systems beyond their published API contracts.</w:t>
      </w:r>
    </w:p>
    <w:bookmarkEnd w:id="21"/>
    <w:bookmarkEnd w:id="22"/>
    <w:bookmarkStart w:id="31" w:name="X1855d7164a9e0ab1e6cf7609160512e6c19529a"/>
    <w:p>
      <w:pPr>
        <w:pStyle w:val="Heading2"/>
      </w:pPr>
      <w:r>
        <w:t xml:space="preserve">2. Test Levels</w:t>
      </w:r>
    </w:p>
    <w:bookmarkStart w:id="23" w:name="X39cee05d79f4816ffbdef6fd742b08e61ced7c4"/>
    <w:p>
      <w:pPr>
        <w:pStyle w:val="Heading3"/>
      </w:pPr>
      <w:r>
        <w:t xml:space="preserve">2.1 Unit Testing</w:t>
      </w:r>
    </w:p>
    <w:p>
      <w:pPr>
        <w:pStyle w:val="FirstParagraph"/>
      </w:pPr>
      <w:r>
        <w:rPr>
          <w:b/>
          <w:bCs/>
        </w:rPr>
        <w:t xml:space="preserve">Objective:</w:t>
      </w:r>
      <w:r>
        <w:t xml:space="preserve"> </w:t>
      </w:r>
      <w:r>
        <w:t xml:space="preserve">Verify that individual functions, methods, and stored procedures produce correct outputs for all valid and invalid inputs.</w:t>
      </w:r>
    </w:p>
    <w:p>
      <w:pPr>
        <w:pStyle w:val="BodyText"/>
      </w:pPr>
      <w:r>
        <w:rPr>
          <w:b/>
          <w:bCs/>
        </w:rPr>
        <w:t xml:space="preserve">Technology:</w:t>
      </w:r>
      <w:r>
        <w:t xml:space="preserve"> </w:t>
      </w:r>
      <w:r>
        <w:t xml:space="preserve">PHPUnit (PHP 8.3 backend services); JUnit with Kotlin test framework (Android apps).</w:t>
      </w:r>
    </w:p>
    <w:p>
      <w:pPr>
        <w:pStyle w:val="BodyText"/>
      </w:pPr>
      <w:r>
        <w:rPr>
          <w:b/>
          <w:bCs/>
        </w:rPr>
        <w:t xml:space="preserve">Coverage requirement:</w:t>
      </w:r>
      <w:r>
        <w:t xml:space="preserve"> </w:t>
      </w:r>
      <w:r>
        <w:t xml:space="preserve">Minimum 80% line coverage for all financial services: GL posting engine, PAYE/NSSF/LST payroll calculation, commission calculation engine, FIFO remittance allocation stored procedure</w:t>
      </w:r>
      <w:r>
        <w:t xml:space="preserve"> </w:t>
      </w:r>
      <w:r>
        <w:rPr>
          <w:rStyle w:val="VerbatimChar"/>
        </w:rPr>
        <w:t xml:space="preserve">sp_apply_remittance_to_invoices</w:t>
      </w:r>
      <w:r>
        <w:t xml:space="preserve">, mass balance verification, and hash chain computation. All other modules: minimum 60% line coverage.</w:t>
      </w:r>
    </w:p>
    <w:p>
      <w:pPr>
        <w:pStyle w:val="BodyText"/>
      </w:pPr>
      <w:r>
        <w:rPr>
          <w:b/>
          <w:bCs/>
        </w:rPr>
        <w:t xml:space="preserve">Responsibility:</w:t>
      </w:r>
      <w:r>
        <w:t xml:space="preserve"> </w:t>
      </w:r>
      <w:r>
        <w:t xml:space="preserve">Hired developers; Peter Bamuhigire reviews financial service unit test assertions.</w:t>
      </w:r>
    </w:p>
    <w:p>
      <w:pPr>
        <w:pStyle w:val="BodyText"/>
      </w:pPr>
      <w:r>
        <w:rPr>
          <w:b/>
          <w:bCs/>
        </w:rPr>
        <w:t xml:space="preserve">Entry criteria:</w:t>
      </w:r>
    </w:p>
    <w:p>
      <w:pPr>
        <w:pStyle w:val="Compact"/>
        <w:numPr>
          <w:ilvl w:val="0"/>
          <w:numId w:val="1003"/>
        </w:numPr>
      </w:pPr>
      <w:r>
        <w:t xml:space="preserve">Feature branch code compiles without errors.</w:t>
      </w:r>
    </w:p>
    <w:p>
      <w:pPr>
        <w:pStyle w:val="Compact"/>
        <w:numPr>
          <w:ilvl w:val="0"/>
          <w:numId w:val="1003"/>
        </w:numPr>
      </w:pPr>
      <w:r>
        <w:t xml:space="preserve">Developer has written tests for the function under test before committing.</w:t>
      </w:r>
    </w:p>
    <w:p>
      <w:pPr>
        <w:pStyle w:val="FirstParagraph"/>
      </w:pPr>
      <w:r>
        <w:rPr>
          <w:b/>
          <w:bCs/>
        </w:rPr>
        <w:t xml:space="preserve">Exit criteria:</w:t>
      </w:r>
    </w:p>
    <w:p>
      <w:pPr>
        <w:pStyle w:val="Compact"/>
        <w:numPr>
          <w:ilvl w:val="0"/>
          <w:numId w:val="1004"/>
        </w:numPr>
      </w:pPr>
      <w:r>
        <w:t xml:space="preserve">Coverage thresholds met per module.</w:t>
      </w:r>
    </w:p>
    <w:p>
      <w:pPr>
        <w:pStyle w:val="Compact"/>
        <w:numPr>
          <w:ilvl w:val="0"/>
          <w:numId w:val="1004"/>
        </w:numPr>
      </w:pPr>
      <w:r>
        <w:t xml:space="preserve">Zero failing unit tests in the CI pipeline on the feature branch.</w:t>
      </w:r>
    </w:p>
    <w:p>
      <w:pPr>
        <w:pStyle w:val="Compact"/>
        <w:numPr>
          <w:ilvl w:val="0"/>
          <w:numId w:val="1004"/>
        </w:numPr>
      </w:pPr>
      <w:r>
        <w:t xml:space="preserve">All financial calculation tests use exact-value oracles (no approximate assertions for monetary values).</w:t>
      </w:r>
    </w:p>
    <w:p>
      <w:r>
        <w:pict>
          <v:rect style="width:0;height:1.5pt" o:hralign="center" o:hrstd="t" o:hr="t"/>
        </w:pict>
      </w:r>
    </w:p>
    <w:bookmarkEnd w:id="23"/>
    <w:bookmarkStart w:id="24" w:name="Xe1c151ef328db5cec67fb0fba9c927f2caaeb8c"/>
    <w:p>
      <w:pPr>
        <w:pStyle w:val="Heading3"/>
      </w:pPr>
      <w:r>
        <w:t xml:space="preserve">2.2 Integration Testing</w:t>
      </w:r>
    </w:p>
    <w:p>
      <w:pPr>
        <w:pStyle w:val="FirstParagraph"/>
      </w:pPr>
      <w:r>
        <w:rPr>
          <w:b/>
          <w:bCs/>
        </w:rPr>
        <w:t xml:space="preserve">Objective:</w:t>
      </w:r>
      <w:r>
        <w:t xml:space="preserve"> </w:t>
      </w:r>
      <w:r>
        <w:t xml:space="preserve">Verify correct data exchange and contract adherence between internal services and between the system and external APIs.</w:t>
      </w:r>
    </w:p>
    <w:p>
      <w:pPr>
        <w:pStyle w:val="BodyText"/>
      </w:pPr>
      <w:r>
        <w:rPr>
          <w:b/>
          <w:bCs/>
        </w:rPr>
        <w:t xml:space="preserve">Sub-levels:</w:t>
      </w:r>
    </w:p>
    <w:p>
      <w:pPr>
        <w:pStyle w:val="Compact"/>
        <w:numPr>
          <w:ilvl w:val="0"/>
          <w:numId w:val="1005"/>
        </w:numPr>
      </w:pPr>
      <w:r>
        <w:rPr>
          <w:i/>
          <w:iCs/>
        </w:rPr>
        <w:t xml:space="preserve">Service-to-service integration</w:t>
      </w:r>
      <w:r>
        <w:t xml:space="preserve"> </w:t>
      </w:r>
      <w:r>
        <w:t xml:space="preserve">— verify that module boundaries honour the service/repository pattern: e.g., SalesService correctly invokes GLPostingService and the resulting journal entry appears in</w:t>
      </w:r>
      <w:r>
        <w:t xml:space="preserve"> </w:t>
      </w:r>
      <w:r>
        <w:rPr>
          <w:rStyle w:val="VerbatimChar"/>
        </w:rPr>
        <w:t xml:space="preserve">tbl_gl_entries</w:t>
      </w:r>
      <w:r>
        <w:t xml:space="preserve"> </w:t>
      </w:r>
      <w:r>
        <w:t xml:space="preserve">with the expected debit/credit split.</w:t>
      </w:r>
    </w:p>
    <w:p>
      <w:pPr>
        <w:pStyle w:val="Compact"/>
        <w:numPr>
          <w:ilvl w:val="0"/>
          <w:numId w:val="1005"/>
        </w:numPr>
      </w:pPr>
      <w:r>
        <w:rPr>
          <w:i/>
          <w:iCs/>
        </w:rPr>
        <w:t xml:space="preserve">Database integration</w:t>
      </w:r>
      <w:r>
        <w:t xml:space="preserve"> </w:t>
      </w:r>
      <w:r>
        <w:t xml:space="preserve">— verify stored procedures, triggers, and foreign key constraints behave correctly under concurrent writes. Specifically:</w:t>
      </w:r>
      <w:r>
        <w:t xml:space="preserve"> </w:t>
      </w:r>
      <w:r>
        <w:rPr>
          <w:rStyle w:val="VerbatimChar"/>
        </w:rPr>
        <w:t xml:space="preserve">sp_apply_remittance_to_invoices</w:t>
      </w:r>
      <w:r>
        <w:t xml:space="preserve"> </w:t>
      </w:r>
      <w:r>
        <w:t xml:space="preserve">under concurrent remittance posts; hash chain trigger under rapid sequential GL inserts.</w:t>
      </w:r>
    </w:p>
    <w:p>
      <w:pPr>
        <w:pStyle w:val="Compact"/>
        <w:numPr>
          <w:ilvl w:val="0"/>
          <w:numId w:val="1005"/>
        </w:numPr>
      </w:pPr>
      <w:r>
        <w:rPr>
          <w:i/>
          <w:iCs/>
        </w:rPr>
        <w:t xml:space="preserve">API contract testing</w:t>
      </w:r>
      <w:r>
        <w:t xml:space="preserve"> </w:t>
      </w:r>
      <w:r>
        <w:t xml:space="preserve">— verify the EFRIS REST API integration correctly serialises fiscal documents, handles HTTP 200/400/500 responses, and enqueues retries on failure. Verify MTN MoMo and Airtel Money payment initiation and callback handling. Verify the mobile API JWT token lifecycle: issuance, refresh, expiry, and rejection of tampered tokens.</w:t>
      </w:r>
    </w:p>
    <w:p>
      <w:pPr>
        <w:pStyle w:val="Compact"/>
        <w:numPr>
          <w:ilvl w:val="0"/>
          <w:numId w:val="1005"/>
        </w:numPr>
      </w:pPr>
      <w:r>
        <w:rPr>
          <w:i/>
          <w:iCs/>
        </w:rPr>
        <w:t xml:space="preserve">Biometric device integration</w:t>
      </w:r>
      <w:r>
        <w:t xml:space="preserve"> </w:t>
      </w:r>
      <w:r>
        <w:t xml:space="preserve">— verify ZKTeco attendance data is imported without duplication, without loss, and is mapped to the correct employee records.</w:t>
      </w:r>
    </w:p>
    <w:p>
      <w:pPr>
        <w:pStyle w:val="FirstParagraph"/>
      </w:pPr>
      <w:r>
        <w:rPr>
          <w:b/>
          <w:bCs/>
        </w:rPr>
        <w:t xml:space="preserve">Responsibility:</w:t>
      </w:r>
      <w:r>
        <w:t xml:space="preserve"> </w:t>
      </w:r>
      <w:r>
        <w:t xml:space="preserve">Hired developers under Peter Bamuhigire's technical review.</w:t>
      </w:r>
    </w:p>
    <w:p>
      <w:pPr>
        <w:pStyle w:val="BodyText"/>
      </w:pPr>
      <w:r>
        <w:rPr>
          <w:b/>
          <w:bCs/>
        </w:rPr>
        <w:t xml:space="preserve">Entry criteria:</w:t>
      </w:r>
    </w:p>
    <w:p>
      <w:pPr>
        <w:pStyle w:val="Compact"/>
        <w:numPr>
          <w:ilvl w:val="0"/>
          <w:numId w:val="1006"/>
        </w:numPr>
      </w:pPr>
      <w:r>
        <w:t xml:space="preserve">All unit tests pass.</w:t>
      </w:r>
    </w:p>
    <w:p>
      <w:pPr>
        <w:pStyle w:val="Compact"/>
        <w:numPr>
          <w:ilvl w:val="0"/>
          <w:numId w:val="1006"/>
        </w:numPr>
      </w:pPr>
      <w:r>
        <w:t xml:space="preserve">Staging environment is provisioned with integrated services available (EFRIS sandbox, MoMo sandbox).</w:t>
      </w:r>
    </w:p>
    <w:p>
      <w:pPr>
        <w:pStyle w:val="FirstParagraph"/>
      </w:pPr>
      <w:r>
        <w:rPr>
          <w:b/>
          <w:bCs/>
        </w:rPr>
        <w:t xml:space="preserve">Exit criteria:</w:t>
      </w:r>
    </w:p>
    <w:p>
      <w:pPr>
        <w:pStyle w:val="Compact"/>
        <w:numPr>
          <w:ilvl w:val="0"/>
          <w:numId w:val="1007"/>
        </w:numPr>
      </w:pPr>
      <w:r>
        <w:t xml:space="preserve">All integration test cases pass against the staging environment.</w:t>
      </w:r>
    </w:p>
    <w:p>
      <w:pPr>
        <w:pStyle w:val="Compact"/>
        <w:numPr>
          <w:ilvl w:val="0"/>
          <w:numId w:val="1007"/>
        </w:numPr>
      </w:pPr>
      <w:r>
        <w:t xml:space="preserve">No unhandled exception propagates across a service boundary.</w:t>
      </w:r>
    </w:p>
    <w:p>
      <w:pPr>
        <w:pStyle w:val="Compact"/>
        <w:numPr>
          <w:ilvl w:val="0"/>
          <w:numId w:val="1007"/>
        </w:numPr>
      </w:pPr>
      <w:r>
        <w:t xml:space="preserve">EFRIS sandbox submission returns a valid FDN for a test invoice.</w:t>
      </w:r>
    </w:p>
    <w:p>
      <w:r>
        <w:pict>
          <v:rect style="width:0;height:1.5pt" o:hralign="center" o:hrstd="t" o:hr="t"/>
        </w:pict>
      </w:r>
    </w:p>
    <w:bookmarkEnd w:id="24"/>
    <w:bookmarkStart w:id="25" w:name="Xc78375d174d24935d870b0942bba214ca09e7ce"/>
    <w:p>
      <w:pPr>
        <w:pStyle w:val="Heading3"/>
      </w:pPr>
      <w:r>
        <w:t xml:space="preserve">2.3 System Testing</w:t>
      </w:r>
    </w:p>
    <w:p>
      <w:pPr>
        <w:pStyle w:val="FirstParagraph"/>
      </w:pPr>
      <w:r>
        <w:rPr>
          <w:b/>
          <w:bCs/>
        </w:rPr>
        <w:t xml:space="preserve">Objective:</w:t>
      </w:r>
      <w:r>
        <w:t xml:space="preserve"> </w:t>
      </w:r>
      <w:r>
        <w:t xml:space="preserve">Verify end-to-end user journeys across module boundaries, simulating real BIRDC operational workflows.</w:t>
      </w:r>
    </w:p>
    <w:p>
      <w:pPr>
        <w:pStyle w:val="BodyText"/>
      </w:pPr>
      <w:r>
        <w:rPr>
          <w:b/>
          <w:bCs/>
        </w:rPr>
        <w:t xml:space="preserve">Key journeys under test:</w:t>
      </w:r>
    </w:p>
    <w:p>
      <w:pPr>
        <w:pStyle w:val="Compact"/>
        <w:numPr>
          <w:ilvl w:val="0"/>
          <w:numId w:val="1008"/>
        </w:numPr>
      </w:pPr>
      <w:r>
        <w:t xml:space="preserve">Factory gate sale → EFRIS submission → GL auto-post → AR update → agent cash balance update.</w:t>
      </w:r>
    </w:p>
    <w:p>
      <w:pPr>
        <w:pStyle w:val="Compact"/>
        <w:numPr>
          <w:ilvl w:val="0"/>
          <w:numId w:val="1008"/>
        </w:numPr>
      </w:pPr>
      <w:r>
        <w:t xml:space="preserve">Agent remittance submission → FIFO allocation via</w:t>
      </w:r>
      <w:r>
        <w:t xml:space="preserve"> </w:t>
      </w:r>
      <w:r>
        <w:rPr>
          <w:rStyle w:val="VerbatimChar"/>
        </w:rPr>
        <w:t xml:space="preserve">sp_apply_remittance_to_invoices</w:t>
      </w:r>
      <w:r>
        <w:t xml:space="preserve"> </w:t>
      </w:r>
      <w:r>
        <w:t xml:space="preserve">→ AR cleared → commission accrual → GL post.</w:t>
      </w:r>
    </w:p>
    <w:p>
      <w:pPr>
        <w:pStyle w:val="Compact"/>
        <w:numPr>
          <w:ilvl w:val="0"/>
          <w:numId w:val="1008"/>
        </w:numPr>
      </w:pPr>
      <w:r>
        <w:t xml:space="preserve">Matooke delivery (Farmer Delivery App offline) → sync → 5-stage procurement workflow → farmer contribution breakdown → stock receipt → GL post.</w:t>
      </w:r>
    </w:p>
    <w:p>
      <w:pPr>
        <w:pStyle w:val="Compact"/>
        <w:numPr>
          <w:ilvl w:val="0"/>
          <w:numId w:val="1008"/>
        </w:numPr>
      </w:pPr>
      <w:r>
        <w:t xml:space="preserve">Production order → material requisition → WIP posting → QC inspection → CoA issuance → finished goods transfer → inventory available for sale.</w:t>
      </w:r>
    </w:p>
    <w:p>
      <w:pPr>
        <w:pStyle w:val="Compact"/>
        <w:numPr>
          <w:ilvl w:val="0"/>
          <w:numId w:val="1008"/>
        </w:numPr>
      </w:pPr>
      <w:r>
        <w:t xml:space="preserve">Payroll run → PAYE/NSSF/LST calculation → payroll lock → GL auto-post → bank file generation → bulk mobile money payment file.</w:t>
      </w:r>
    </w:p>
    <w:p>
      <w:pPr>
        <w:pStyle w:val="Compact"/>
        <w:numPr>
          <w:ilvl w:val="0"/>
          <w:numId w:val="1008"/>
        </w:numPr>
      </w:pPr>
      <w:r>
        <w:t xml:space="preserve">Budget vote expenditure → 80% threshold alert → 95% alert → over-budget override attempt blocked without Director approval.</w:t>
      </w:r>
    </w:p>
    <w:p>
      <w:pPr>
        <w:pStyle w:val="Compact"/>
        <w:numPr>
          <w:ilvl w:val="0"/>
          <w:numId w:val="1008"/>
        </w:numPr>
      </w:pPr>
      <w:r>
        <w:t xml:space="preserve">Parliamentary budget report and IFRS P&amp;L generated simultaneously from the same system.</w:t>
      </w:r>
    </w:p>
    <w:p>
      <w:pPr>
        <w:pStyle w:val="FirstParagraph"/>
      </w:pPr>
      <w:r>
        <w:rPr>
          <w:b/>
          <w:bCs/>
        </w:rPr>
        <w:t xml:space="preserve">Responsibility:</w:t>
      </w:r>
      <w:r>
        <w:t xml:space="preserve"> </w:t>
      </w:r>
      <w:r>
        <w:t xml:space="preserve">Peter Bamuhigire (test execution oversight); hired developers (execution support).</w:t>
      </w:r>
    </w:p>
    <w:p>
      <w:pPr>
        <w:pStyle w:val="BodyText"/>
      </w:pPr>
      <w:r>
        <w:rPr>
          <w:b/>
          <w:bCs/>
        </w:rPr>
        <w:t xml:space="preserve">Entry criteria:</w:t>
      </w:r>
    </w:p>
    <w:p>
      <w:pPr>
        <w:pStyle w:val="Compact"/>
        <w:numPr>
          <w:ilvl w:val="0"/>
          <w:numId w:val="1009"/>
        </w:numPr>
      </w:pPr>
      <w:r>
        <w:t xml:space="preserve">Integration tests pass.</w:t>
      </w:r>
    </w:p>
    <w:p>
      <w:pPr>
        <w:pStyle w:val="Compact"/>
        <w:numPr>
          <w:ilvl w:val="0"/>
          <w:numId w:val="1009"/>
        </w:numPr>
      </w:pPr>
      <w:r>
        <w:t xml:space="preserve">Staging database seeded with representative BIRDC data (test farmer names, agents, chart of accounts matching the 1,307-account configuration).</w:t>
      </w:r>
    </w:p>
    <w:p>
      <w:pPr>
        <w:pStyle w:val="FirstParagraph"/>
      </w:pPr>
      <w:r>
        <w:rPr>
          <w:b/>
          <w:bCs/>
        </w:rPr>
        <w:t xml:space="preserve">Exit criteria:</w:t>
      </w:r>
    </w:p>
    <w:p>
      <w:pPr>
        <w:pStyle w:val="Compact"/>
        <w:numPr>
          <w:ilvl w:val="0"/>
          <w:numId w:val="1010"/>
        </w:numPr>
      </w:pPr>
      <w:r>
        <w:t xml:space="preserve">All system test journeys complete without errors.</w:t>
      </w:r>
    </w:p>
    <w:p>
      <w:pPr>
        <w:pStyle w:val="Compact"/>
        <w:numPr>
          <w:ilvl w:val="0"/>
          <w:numId w:val="1010"/>
        </w:numPr>
      </w:pPr>
      <w:r>
        <w:t xml:space="preserve">All GL auto-postings balance (total debits = total credits for every journey).</w:t>
      </w:r>
    </w:p>
    <w:p>
      <w:pPr>
        <w:pStyle w:val="Compact"/>
        <w:numPr>
          <w:ilvl w:val="0"/>
          <w:numId w:val="1010"/>
        </w:numPr>
      </w:pPr>
      <w:r>
        <w:t xml:space="preserve">EFRIS FDN returned and stored for every fiscal document in journey 1.</w:t>
      </w:r>
    </w:p>
    <w:p>
      <w:r>
        <w:pict>
          <v:rect style="width:0;height:1.5pt" o:hralign="center" o:hrstd="t" o:hr="t"/>
        </w:pict>
      </w:r>
    </w:p>
    <w:bookmarkEnd w:id="25"/>
    <w:bookmarkStart w:id="26" w:name="X94fbeeec8867a9049a0f9dbb439fb54e4c003f7"/>
    <w:p>
      <w:pPr>
        <w:pStyle w:val="Heading3"/>
      </w:pPr>
      <w:r>
        <w:t xml:space="preserve">2.4 User Acceptance Testing (UAT)</w:t>
      </w:r>
    </w:p>
    <w:p>
      <w:pPr>
        <w:pStyle w:val="FirstParagraph"/>
      </w:pPr>
      <w:r>
        <w:rPr>
          <w:b/>
          <w:bCs/>
        </w:rPr>
        <w:t xml:space="preserve">Objective:</w:t>
      </w:r>
      <w:r>
        <w:t xml:space="preserve"> </w:t>
      </w:r>
      <w:r>
        <w:t xml:space="preserve">Confirm that the delivered system meets BIRDC's operational requirements as judged by domain-expert BIRDC staff.</w:t>
      </w:r>
    </w:p>
    <w:p>
      <w:pPr>
        <w:pStyle w:val="BodyText"/>
      </w:pPr>
      <w:r>
        <w:rPr>
          <w:b/>
          <w:bCs/>
        </w:rPr>
        <w:t xml:space="preserve">UAT owners by module group: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Group</w:t>
            </w:r>
          </w:p>
        </w:tc>
        <w:tc>
          <w:tcPr/>
          <w:p>
            <w:pPr>
              <w:pStyle w:val="Compact"/>
            </w:pPr>
            <w:r>
              <w:t xml:space="preserve">UAT Owner</w:t>
            </w:r>
          </w:p>
        </w:tc>
      </w:tr>
      <w:tr>
        <w:tc>
          <w:tcPr/>
          <w:p>
            <w:pPr>
              <w:pStyle w:val="Compact"/>
            </w:pPr>
            <w:r>
              <w:t xml:space="preserve">Financial modules (GL, AR, AP, Budget, Payroll)</w:t>
            </w:r>
          </w:p>
        </w:tc>
        <w:tc>
          <w:tcPr/>
          <w:p>
            <w:pPr>
              <w:pStyle w:val="Compact"/>
            </w:pPr>
            <w:r>
              <w:t xml:space="preserve">Finance Director</w:t>
            </w:r>
          </w:p>
        </w:tc>
      </w:tr>
      <w:tr>
        <w:tc>
          <w:tcPr/>
          <w:p>
            <w:pPr>
              <w:pStyle w:val="Compact"/>
            </w:pPr>
            <w:r>
              <w:t xml:space="preserve">Sales, Agent Distribution, POS</w:t>
            </w:r>
          </w:p>
        </w:tc>
        <w:tc>
          <w:tcPr/>
          <w:p>
            <w:pPr>
              <w:pStyle w:val="Compact"/>
            </w:pPr>
            <w:r>
              <w:t xml:space="preserve">Sales Manager</w:t>
            </w:r>
          </w:p>
        </w:tc>
      </w:tr>
      <w:tr>
        <w:tc>
          <w:tcPr/>
          <w:p>
            <w:pPr>
              <w:pStyle w:val="Compact"/>
            </w:pPr>
            <w:r>
              <w:t xml:space="preserve">Quality Control, Manufacturing</w:t>
            </w:r>
          </w:p>
        </w:tc>
        <w:tc>
          <w:tcPr/>
          <w:p>
            <w:pPr>
              <w:pStyle w:val="Compact"/>
            </w:pPr>
            <w:r>
              <w:t xml:space="preserve">QC Manager</w:t>
            </w:r>
          </w:p>
        </w:tc>
      </w:tr>
      <w:tr>
        <w:tc>
          <w:tcPr/>
          <w:p>
            <w:pPr>
              <w:pStyle w:val="Compact"/>
            </w:pPr>
            <w:r>
              <w:t xml:space="preserve">Procurement, Farmer Management</w:t>
            </w:r>
          </w:p>
        </w:tc>
        <w:tc>
          <w:tcPr/>
          <w:p>
            <w:pPr>
              <w:pStyle w:val="Compact"/>
            </w:pPr>
            <w:r>
              <w:t xml:space="preserve">Procurement/Administration Officer</w:t>
            </w:r>
          </w:p>
        </w:tc>
      </w:tr>
      <w:tr>
        <w:tc>
          <w:tcPr/>
          <w:p>
            <w:pPr>
              <w:pStyle w:val="Compact"/>
            </w:pPr>
            <w:r>
              <w:t xml:space="preserve">HR, Payroll self-service</w:t>
            </w:r>
          </w:p>
        </w:tc>
        <w:tc>
          <w:tcPr/>
          <w:p>
            <w:pPr>
              <w:pStyle w:val="Compact"/>
            </w:pPr>
            <w:r>
              <w:t xml:space="preserve">HR Manager</w:t>
            </w:r>
          </w:p>
        </w:tc>
      </w:tr>
      <w:tr>
        <w:tc>
          <w:tcPr/>
          <w:p>
            <w:pPr>
              <w:pStyle w:val="Compact"/>
            </w:pPr>
            <w:r>
              <w:t xml:space="preserve">System Administration</w:t>
            </w:r>
          </w:p>
        </w:tc>
        <w:tc>
          <w:tcPr/>
          <w:p>
            <w:pPr>
              <w:pStyle w:val="Compact"/>
            </w:pPr>
            <w:r>
              <w:t xml:space="preserve">IT Administrator</w:t>
            </w:r>
          </w:p>
        </w:tc>
      </w:tr>
    </w:tbl>
    <w:p>
      <w:pPr>
        <w:pStyle w:val="BodyText"/>
      </w:pPr>
      <w:r>
        <w:rPr>
          <w:b/>
          <w:bCs/>
        </w:rPr>
        <w:t xml:space="preserve">Format:</w:t>
      </w:r>
      <w:r>
        <w:t xml:space="preserve"> </w:t>
      </w:r>
      <w:r>
        <w:t xml:space="preserve">UAT sessions are script-guided (from the Test Plan) but the UAT owner performs all actions independently. Peter Bamuhigire observes and records outcomes.</w:t>
      </w:r>
    </w:p>
    <w:p>
      <w:pPr>
        <w:pStyle w:val="BodyText"/>
      </w:pPr>
      <w:r>
        <w:rPr>
          <w:b/>
          <w:bCs/>
        </w:rPr>
        <w:t xml:space="preserve">Entry criteria:</w:t>
      </w:r>
    </w:p>
    <w:p>
      <w:pPr>
        <w:pStyle w:val="Compact"/>
        <w:numPr>
          <w:ilvl w:val="0"/>
          <w:numId w:val="1011"/>
        </w:numPr>
      </w:pPr>
      <w:r>
        <w:t xml:space="preserve">System tests pass for the phase under UAT.</w:t>
      </w:r>
    </w:p>
    <w:p>
      <w:pPr>
        <w:pStyle w:val="Compact"/>
        <w:numPr>
          <w:ilvl w:val="0"/>
          <w:numId w:val="1011"/>
        </w:numPr>
      </w:pPr>
      <w:r>
        <w:t xml:space="preserve">UAT environment loaded with a representative dataset approved by BIRDC management.</w:t>
      </w:r>
    </w:p>
    <w:p>
      <w:pPr>
        <w:pStyle w:val="Compact"/>
        <w:numPr>
          <w:ilvl w:val="0"/>
          <w:numId w:val="1011"/>
        </w:numPr>
      </w:pPr>
      <w:r>
        <w:t xml:space="preserve">UAT owners have received a one-page Quick Reference Card for their module group.</w:t>
      </w:r>
    </w:p>
    <w:p>
      <w:pPr>
        <w:pStyle w:val="FirstParagraph"/>
      </w:pPr>
      <w:r>
        <w:rPr>
          <w:b/>
          <w:bCs/>
        </w:rPr>
        <w:t xml:space="preserve">Exit criteria:</w:t>
      </w:r>
    </w:p>
    <w:p>
      <w:pPr>
        <w:pStyle w:val="Compact"/>
        <w:numPr>
          <w:ilvl w:val="0"/>
          <w:numId w:val="1012"/>
        </w:numPr>
      </w:pPr>
      <w:r>
        <w:t xml:space="preserve">UAT owner signs the Phase Gate acceptance form.</w:t>
      </w:r>
    </w:p>
    <w:p>
      <w:pPr>
        <w:pStyle w:val="Compact"/>
        <w:numPr>
          <w:ilvl w:val="0"/>
          <w:numId w:val="1012"/>
        </w:numPr>
      </w:pPr>
      <w:r>
        <w:t xml:space="preserve">Zero Critical defects open.</w:t>
      </w:r>
    </w:p>
    <w:p>
      <w:pPr>
        <w:pStyle w:val="Compact"/>
        <w:numPr>
          <w:ilvl w:val="0"/>
          <w:numId w:val="1012"/>
        </w:numPr>
      </w:pPr>
      <w:r>
        <w:t xml:space="preserve">Zero High defects open that affect the UAT owner's primary workflow.</w:t>
      </w:r>
    </w:p>
    <w:p>
      <w:pPr>
        <w:pStyle w:val="Compact"/>
        <w:numPr>
          <w:ilvl w:val="0"/>
          <w:numId w:val="1012"/>
        </w:numPr>
      </w:pPr>
      <w:r>
        <w:t xml:space="preserve">All Medium defects acknowledged and scheduled for resolution.</w:t>
      </w:r>
    </w:p>
    <w:p>
      <w:r>
        <w:pict>
          <v:rect style="width:0;height:1.5pt" o:hralign="center" o:hrstd="t" o:hr="t"/>
        </w:pict>
      </w:r>
    </w:p>
    <w:bookmarkEnd w:id="26"/>
    <w:bookmarkStart w:id="27" w:name="Xca83ece2844c5e90eb91568b5b868c740a93bc8"/>
    <w:p>
      <w:pPr>
        <w:pStyle w:val="Heading3"/>
      </w:pPr>
      <w:r>
        <w:t xml:space="preserve">2.5 Performance Testing</w:t>
      </w:r>
    </w:p>
    <w:p>
      <w:pPr>
        <w:pStyle w:val="FirstParagraph"/>
      </w:pPr>
      <w:r>
        <w:rPr>
          <w:b/>
          <w:bCs/>
        </w:rPr>
        <w:t xml:space="preserve">Objective:</w:t>
      </w:r>
      <w:r>
        <w:t xml:space="preserve"> </w:t>
      </w:r>
      <w:r>
        <w:t xml:space="preserve">Verify the system meets all performance thresholds defined in</w:t>
      </w:r>
      <w:r>
        <w:t xml:space="preserve"> </w:t>
      </w:r>
      <w:r>
        <w:rPr>
          <w:rStyle w:val="VerbatimChar"/>
        </w:rPr>
        <w:t xml:space="preserve">_context/metrics.md</w:t>
      </w:r>
      <w:r>
        <w:t xml:space="preserve"> </w:t>
      </w:r>
      <w:r>
        <w:t xml:space="preserve">under realistic and peak load conditions.</w:t>
      </w:r>
    </w:p>
    <w:p>
      <w:pPr>
        <w:pStyle w:val="BodyText"/>
      </w:pPr>
      <w:r>
        <w:rPr>
          <w:b/>
          <w:bCs/>
        </w:rPr>
        <w:t xml:space="preserve">Scenarios:</w:t>
      </w:r>
    </w:p>
    <w:p>
      <w:pPr>
        <w:pStyle w:val="Compact"/>
        <w:numPr>
          <w:ilvl w:val="0"/>
          <w:numId w:val="1013"/>
        </w:numPr>
      </w:pPr>
      <w:r>
        <w:rPr>
          <w:i/>
          <w:iCs/>
        </w:rPr>
        <w:t xml:space="preserve">Concurrent user load</w:t>
      </w:r>
      <w:r>
        <w:t xml:space="preserve"> </w:t>
      </w:r>
      <w:r>
        <w:t xml:space="preserve">— simulate 50 simultaneous authenticated web users performing mixed operations (report generation, invoice posting, stock queries). Measure response times at P95.</w:t>
      </w:r>
    </w:p>
    <w:p>
      <w:pPr>
        <w:pStyle w:val="Compact"/>
        <w:numPr>
          <w:ilvl w:val="0"/>
          <w:numId w:val="1013"/>
        </w:numPr>
      </w:pPr>
      <w:r>
        <w:rPr>
          <w:i/>
          <w:iCs/>
        </w:rPr>
        <w:t xml:space="preserve">Peak production scenario</w:t>
      </w:r>
      <w:r>
        <w:t xml:space="preserve"> </w:t>
      </w:r>
      <w:r>
        <w:t xml:space="preserve">— simulate the 140 MT/day peak production load: 1,071 agents simultaneously submitting POS transactions, concurrent remittances, and stock queries.</w:t>
      </w:r>
    </w:p>
    <w:p>
      <w:pPr>
        <w:pStyle w:val="Compact"/>
        <w:numPr>
          <w:ilvl w:val="0"/>
          <w:numId w:val="1013"/>
        </w:numPr>
      </w:pPr>
      <w:r>
        <w:rPr>
          <w:i/>
          <w:iCs/>
        </w:rPr>
        <w:t xml:space="preserve">Report generation</w:t>
      </w:r>
      <w:r>
        <w:t xml:space="preserve"> </w:t>
      </w:r>
      <w:r>
        <w:t xml:space="preserve">— generate Trial Balance, P&amp;L, and Budget vs. Actual for a 12-month period. Target: ≤ 10 seconds.</w:t>
      </w:r>
    </w:p>
    <w:p>
      <w:pPr>
        <w:pStyle w:val="Compact"/>
        <w:numPr>
          <w:ilvl w:val="0"/>
          <w:numId w:val="1013"/>
        </w:numPr>
      </w:pPr>
      <w:r>
        <w:rPr>
          <w:i/>
          <w:iCs/>
        </w:rPr>
        <w:t xml:space="preserve">Trial Balance</w:t>
      </w:r>
      <w:r>
        <w:t xml:space="preserve"> </w:t>
      </w:r>
      <w:r>
        <w:t xml:space="preserve">— generate on demand. Target: ≤ 5 seconds.</w:t>
      </w:r>
    </w:p>
    <w:p>
      <w:pPr>
        <w:pStyle w:val="Compact"/>
        <w:numPr>
          <w:ilvl w:val="0"/>
          <w:numId w:val="1013"/>
        </w:numPr>
      </w:pPr>
      <w:r>
        <w:rPr>
          <w:i/>
          <w:iCs/>
        </w:rPr>
        <w:t xml:space="preserve">Farmer contribution breakdown</w:t>
      </w:r>
      <w:r>
        <w:t xml:space="preserve"> </w:t>
      </w:r>
      <w:r>
        <w:t xml:space="preserve">— process a batch of 100+ farmers. Target: ≤ 3 seconds.</w:t>
      </w:r>
    </w:p>
    <w:p>
      <w:pPr>
        <w:pStyle w:val="Compact"/>
        <w:numPr>
          <w:ilvl w:val="0"/>
          <w:numId w:val="1013"/>
        </w:numPr>
      </w:pPr>
      <w:r>
        <w:rPr>
          <w:i/>
          <w:iCs/>
        </w:rPr>
        <w:t xml:space="preserve">Audit trail query</w:t>
      </w:r>
      <w:r>
        <w:t xml:space="preserve"> </w:t>
      </w:r>
      <w:r>
        <w:t xml:space="preserve">— query any 30-day period for any user. Target: ≤ 5 seconds.</w:t>
      </w:r>
    </w:p>
    <w:p>
      <w:pPr>
        <w:pStyle w:val="Compact"/>
        <w:numPr>
          <w:ilvl w:val="0"/>
          <w:numId w:val="1013"/>
        </w:numPr>
      </w:pPr>
      <w:r>
        <w:rPr>
          <w:i/>
          <w:iCs/>
        </w:rPr>
        <w:t xml:space="preserve">Product search</w:t>
      </w:r>
      <w:r>
        <w:t xml:space="preserve"> </w:t>
      </w:r>
      <w:r>
        <w:t xml:space="preserve">— barcode scan or text search. Target: ≤ 500 ms at P95.</w:t>
      </w:r>
    </w:p>
    <w:p>
      <w:pPr>
        <w:pStyle w:val="FirstParagraph"/>
      </w:pPr>
      <w:r>
        <w:rPr>
          <w:b/>
          <w:bCs/>
        </w:rPr>
        <w:t xml:space="preserve">Tools:</w:t>
      </w:r>
      <w:r>
        <w:t xml:space="preserve"> </w:t>
      </w:r>
      <w:r>
        <w:t xml:space="preserve">Apache JMeter or k6 (web); Android Profiler (mobile).</w:t>
      </w:r>
    </w:p>
    <w:p>
      <w:pPr>
        <w:pStyle w:val="BodyText"/>
      </w:pPr>
      <w:r>
        <w:rPr>
          <w:b/>
          <w:bCs/>
        </w:rPr>
        <w:t xml:space="preserve">Entry criteria:</w:t>
      </w:r>
      <w:r>
        <w:t xml:space="preserve"> </w:t>
      </w:r>
      <w:r>
        <w:t xml:space="preserve">System tests pass; staging server hardware matches production specification.</w:t>
      </w:r>
    </w:p>
    <w:p>
      <w:pPr>
        <w:pStyle w:val="BodyText"/>
      </w:pPr>
      <w:r>
        <w:rPr>
          <w:b/>
          <w:bCs/>
        </w:rPr>
        <w:t xml:space="preserve">Exit criteria:</w:t>
      </w:r>
      <w:r>
        <w:t xml:space="preserve"> </w:t>
      </w:r>
      <w:r>
        <w:t xml:space="preserve">All thresholds in</w:t>
      </w:r>
      <w:r>
        <w:t xml:space="preserve"> </w:t>
      </w:r>
      <w:r>
        <w:rPr>
          <w:rStyle w:val="VerbatimChar"/>
        </w:rPr>
        <w:t xml:space="preserve">_context/metrics.md</w:t>
      </w:r>
      <w:r>
        <w:t xml:space="preserve"> </w:t>
      </w:r>
      <w:r>
        <w:t xml:space="preserve">met or exceeded under the 50-concurrent-user load scenario. Peak scenario (140 MT/day) completes without errors.</w:t>
      </w:r>
    </w:p>
    <w:p>
      <w:r>
        <w:pict>
          <v:rect style="width:0;height:1.5pt" o:hralign="center" o:hrstd="t" o:hr="t"/>
        </w:pict>
      </w:r>
    </w:p>
    <w:bookmarkEnd w:id="27"/>
    <w:bookmarkStart w:id="28" w:name="X0509bd23d5bff321f87d87de599da738c12bfc2"/>
    <w:p>
      <w:pPr>
        <w:pStyle w:val="Heading3"/>
      </w:pPr>
      <w:r>
        <w:t xml:space="preserve">2.6 Security Testing</w:t>
      </w:r>
    </w:p>
    <w:p>
      <w:pPr>
        <w:pStyle w:val="FirstParagraph"/>
      </w:pPr>
      <w:r>
        <w:rPr>
          <w:b/>
          <w:bCs/>
        </w:rPr>
        <w:t xml:space="preserve">Objective:</w:t>
      </w:r>
      <w:r>
        <w:t xml:space="preserve"> </w:t>
      </w:r>
      <w:r>
        <w:t xml:space="preserve">Verify the system is free from vulnerabilities in the OWASP Mobile Top 10 and OWASP Web Top 10 categories.</w:t>
      </w:r>
    </w:p>
    <w:p>
      <w:pPr>
        <w:pStyle w:val="BodyText"/>
      </w:pPr>
      <w:r>
        <w:rPr>
          <w:b/>
          <w:bCs/>
        </w:rPr>
        <w:t xml:space="preserve">Scope:</w:t>
      </w:r>
    </w:p>
    <w:p>
      <w:pPr>
        <w:pStyle w:val="Compact"/>
        <w:numPr>
          <w:ilvl w:val="0"/>
          <w:numId w:val="1014"/>
        </w:numPr>
      </w:pPr>
      <w:r>
        <w:rPr>
          <w:i/>
          <w:iCs/>
        </w:rPr>
        <w:t xml:space="preserve">Web application:</w:t>
      </w:r>
      <w:r>
        <w:t xml:space="preserve"> </w:t>
      </w:r>
      <w:r>
        <w:t xml:space="preserve">OWASP Top 10 (2021) — injection, broken authentication, sensitive data exposure, XML/EFRIS external entities, broken access control, security misconfiguration, XSS, insecure deserialisation, components with known vulnerabilities, logging/monitoring failures.</w:t>
      </w:r>
    </w:p>
    <w:p>
      <w:pPr>
        <w:pStyle w:val="Compact"/>
        <w:numPr>
          <w:ilvl w:val="0"/>
          <w:numId w:val="1014"/>
        </w:numPr>
      </w:pPr>
      <w:r>
        <w:rPr>
          <w:i/>
          <w:iCs/>
        </w:rPr>
        <w:t xml:space="preserve">Mobile application:</w:t>
      </w:r>
      <w:r>
        <w:t xml:space="preserve"> </w:t>
      </w:r>
      <w:r>
        <w:t xml:space="preserve">OWASP Mobile Top 10 (2024) — improper credential usage, inadequate supply chain security, insecure authentication/authorisation, insufficient input/output validation, insecure communication, inadequate privacy controls, insufficient binary protections, security misconfiguration, insecure data storage, insufficient cryptography.</w:t>
      </w:r>
    </w:p>
    <w:p>
      <w:pPr>
        <w:pStyle w:val="Compact"/>
        <w:numPr>
          <w:ilvl w:val="0"/>
          <w:numId w:val="1014"/>
        </w:numPr>
      </w:pPr>
      <w:r>
        <w:rPr>
          <w:i/>
          <w:iCs/>
        </w:rPr>
        <w:t xml:space="preserve">Specific controls:</w:t>
      </w:r>
      <w:r>
        <w:t xml:space="preserve"> </w:t>
      </w:r>
      <w:r>
        <w:t xml:space="preserve">8-layer RBAC enforcement at the API layer (not just UI); SOD enforcement — verify a user cannot approve their own transaction via direct API call; JWT token replay attack resistance; SQL injection resistance (100% PDO prepared statements); CSRF token validation; account lockout after 5 failed attempts; 2FA enforcement for Director, Finance Director, and IT Administrator roles; bcrypt/Argon2id password hash verification; TLS 1.3 in transit; GL hash chain tamper detection.</w:t>
      </w:r>
    </w:p>
    <w:p>
      <w:pPr>
        <w:pStyle w:val="FirstParagraph"/>
      </w:pPr>
      <w:r>
        <w:rPr>
          <w:b/>
          <w:bCs/>
        </w:rPr>
        <w:t xml:space="preserve">Approach:</w:t>
      </w:r>
      <w:r>
        <w:t xml:space="preserve"> </w:t>
      </w:r>
      <w:r>
        <w:t xml:space="preserve">Combination of automated SAST scanning (static), DAST scanning (dynamic against staging), and manual penetration testing for critical paths (authentication bypass, privilege escalation, FIFO manipulation, payroll record modification).</w:t>
      </w:r>
    </w:p>
    <w:p>
      <w:pPr>
        <w:pStyle w:val="BodyText"/>
      </w:pPr>
      <w:r>
        <w:rPr>
          <w:b/>
          <w:bCs/>
        </w:rPr>
        <w:t xml:space="preserve">Entry criteria:</w:t>
      </w:r>
      <w:r>
        <w:t xml:space="preserve"> </w:t>
      </w:r>
      <w:r>
        <w:t xml:space="preserve">System tests pass; security hardening checklist completed by developer.</w:t>
      </w:r>
    </w:p>
    <w:p>
      <w:pPr>
        <w:pStyle w:val="BodyText"/>
      </w:pPr>
      <w:r>
        <w:rPr>
          <w:b/>
          <w:bCs/>
        </w:rPr>
        <w:t xml:space="preserve">Exit criteria:</w:t>
      </w:r>
      <w:r>
        <w:t xml:space="preserve"> </w:t>
      </w:r>
      <w:r>
        <w:t xml:space="preserve">Zero Critical or High OWASP findings open. All Medium findings remediated or formally accepted with documented rationale. Penetration test report signed off.</w:t>
      </w:r>
    </w:p>
    <w:p>
      <w:r>
        <w:pict>
          <v:rect style="width:0;height:1.5pt" o:hralign="center" o:hrstd="t" o:hr="t"/>
        </w:pict>
      </w:r>
    </w:p>
    <w:bookmarkEnd w:id="28"/>
    <w:bookmarkStart w:id="29" w:name="X5daa93d44a6a8b570a9fe15a4b5a1c06d196fcd"/>
    <w:p>
      <w:pPr>
        <w:pStyle w:val="Heading3"/>
      </w:pPr>
      <w:r>
        <w:t xml:space="preserve">2.7 Offline / Sync Testing</w:t>
      </w:r>
    </w:p>
    <w:p>
      <w:pPr>
        <w:pStyle w:val="FirstParagraph"/>
      </w:pPr>
      <w:r>
        <w:rPr>
          <w:b/>
          <w:bCs/>
        </w:rPr>
        <w:t xml:space="preserve">Objective:</w:t>
      </w:r>
      <w:r>
        <w:t xml:space="preserve"> </w:t>
      </w:r>
      <w:r>
        <w:t xml:space="preserve">Verify that all Android apps that must operate offline (Sales Agent App, Farmer Delivery App, Warehouse App) do so without data loss, and that sync on reconnect is complete, consistent, and conflict-free.</w:t>
      </w:r>
    </w:p>
    <w:p>
      <w:pPr>
        <w:pStyle w:val="BodyText"/>
      </w:pPr>
      <w:r>
        <w:rPr>
          <w:b/>
          <w:bCs/>
        </w:rPr>
        <w:t xml:space="preserve">Scenarios:</w:t>
      </w:r>
    </w:p>
    <w:p>
      <w:pPr>
        <w:pStyle w:val="Compact"/>
        <w:numPr>
          <w:ilvl w:val="0"/>
          <w:numId w:val="1015"/>
        </w:numPr>
      </w:pPr>
      <w:r>
        <w:t xml:space="preserve">Sales Agent App — 50 POS transactions recorded with network completely off; reconnect; verify all 50 transactions synced to server, GL posted, agent cash balance updated.</w:t>
      </w:r>
    </w:p>
    <w:p>
      <w:pPr>
        <w:pStyle w:val="Compact"/>
        <w:numPr>
          <w:ilvl w:val="0"/>
          <w:numId w:val="1015"/>
        </w:numPr>
      </w:pPr>
      <w:r>
        <w:t xml:space="preserve">Farmer Delivery App — register 5 new farmers offline, record 20 deliveries offline; reconnect; verify all farmer records and deliveries appear on server.</w:t>
      </w:r>
    </w:p>
    <w:p>
      <w:pPr>
        <w:pStyle w:val="Compact"/>
        <w:numPr>
          <w:ilvl w:val="0"/>
          <w:numId w:val="1015"/>
        </w:numPr>
      </w:pPr>
      <w:r>
        <w:t xml:space="preserve">Warehouse App — complete a physical stock count offline; reconnect; verify count data synced correctly.</w:t>
      </w:r>
    </w:p>
    <w:p>
      <w:pPr>
        <w:pStyle w:val="Compact"/>
        <w:numPr>
          <w:ilvl w:val="0"/>
          <w:numId w:val="1015"/>
        </w:numPr>
      </w:pPr>
      <w:r>
        <w:t xml:space="preserve">Conflict scenario — same agent stock item modified offline on the device and online on the server simultaneously; verify conflict logged, server timestamp wins, conflict visible in review queue.</w:t>
      </w:r>
    </w:p>
    <w:p>
      <w:pPr>
        <w:pStyle w:val="Compact"/>
        <w:numPr>
          <w:ilvl w:val="0"/>
          <w:numId w:val="1015"/>
        </w:numPr>
      </w:pPr>
      <w:r>
        <w:t xml:space="preserve">Partial sync — simulate sync interrupted mid-way; reconnect; verify sync resumes and completes without duplicate records.</w:t>
      </w:r>
    </w:p>
    <w:p>
      <w:pPr>
        <w:pStyle w:val="FirstParagraph"/>
      </w:pPr>
      <w:r>
        <w:rPr>
          <w:b/>
          <w:bCs/>
        </w:rPr>
        <w:t xml:space="preserve">Entry criteria:</w:t>
      </w:r>
      <w:r>
        <w:t xml:space="preserve"> </w:t>
      </w:r>
      <w:r>
        <w:t xml:space="preserve">Android apps built with Room (SQLite) offline storage; WorkManager sync jobs configured.</w:t>
      </w:r>
    </w:p>
    <w:p>
      <w:pPr>
        <w:pStyle w:val="BodyText"/>
      </w:pPr>
      <w:r>
        <w:rPr>
          <w:b/>
          <w:bCs/>
        </w:rPr>
        <w:t xml:space="preserve">Exit criteria:</w:t>
      </w:r>
      <w:r>
        <w:t xml:space="preserve"> </w:t>
      </w:r>
      <w:r>
        <w:t xml:space="preserve">Zero transaction loss across all offline scenarios. Sync completes within 60 seconds for a typical day's transactions (≤ 200 records). All conflicts logged in the review queue.</w:t>
      </w:r>
    </w:p>
    <w:p>
      <w:r>
        <w:pict>
          <v:rect style="width:0;height:1.5pt" o:hralign="center" o:hrstd="t" o:hr="t"/>
        </w:pict>
      </w:r>
    </w:p>
    <w:bookmarkEnd w:id="29"/>
    <w:bookmarkStart w:id="30" w:name="X735d75654aefb6466c4d1ad07217041cb9e587c"/>
    <w:p>
      <w:pPr>
        <w:pStyle w:val="Heading3"/>
      </w:pPr>
      <w:r>
        <w:t xml:space="preserve">2.8 Regression Testing</w:t>
      </w:r>
    </w:p>
    <w:p>
      <w:pPr>
        <w:pStyle w:val="FirstParagraph"/>
      </w:pPr>
      <w:r>
        <w:rPr>
          <w:b/>
          <w:bCs/>
        </w:rPr>
        <w:t xml:space="preserve">Objective:</w:t>
      </w:r>
      <w:r>
        <w:t xml:space="preserve"> </w:t>
      </w:r>
      <w:r>
        <w:t xml:space="preserve">Verify that new code changes do not break previously passing functionality.</w:t>
      </w:r>
    </w:p>
    <w:p>
      <w:pPr>
        <w:pStyle w:val="BodyText"/>
      </w:pPr>
      <w:r>
        <w:rPr>
          <w:b/>
          <w:bCs/>
        </w:rPr>
        <w:t xml:space="preserve">Trigger:</w:t>
      </w:r>
      <w:r>
        <w:t xml:space="preserve"> </w:t>
      </w:r>
      <w:r>
        <w:t xml:space="preserve">Regression suite runs automatically on every pull request merge to the</w:t>
      </w:r>
      <w:r>
        <w:t xml:space="preserve"> </w:t>
      </w:r>
      <w:r>
        <w:rPr>
          <w:rStyle w:val="VerbatimChar"/>
        </w:rPr>
        <w:t xml:space="preserve">main</w:t>
      </w:r>
      <w:r>
        <w:t xml:space="preserve"> </w:t>
      </w:r>
      <w:r>
        <w:t xml:space="preserve">branch via GitHub Actions CI/CD pipeline. Full regression suite also runs manually before each Phase Gate sign-off.</w:t>
      </w:r>
    </w:p>
    <w:p>
      <w:pPr>
        <w:pStyle w:val="BodyText"/>
      </w:pPr>
      <w:r>
        <w:rPr>
          <w:b/>
          <w:bCs/>
        </w:rPr>
        <w:t xml:space="preserve">Suite composition:</w:t>
      </w:r>
      <w:r>
        <w:t xml:space="preserve"> </w:t>
      </w:r>
      <w:r>
        <w:t xml:space="preserve">All unit tests + all integration tests + the critical-path system test cases for modules already in production.</w:t>
      </w:r>
    </w:p>
    <w:p>
      <w:pPr>
        <w:pStyle w:val="BodyText"/>
      </w:pPr>
      <w:r>
        <w:rPr>
          <w:b/>
          <w:bCs/>
        </w:rPr>
        <w:t xml:space="preserve">Entry criteria:</w:t>
      </w:r>
      <w:r>
        <w:t xml:space="preserve"> </w:t>
      </w:r>
      <w:r>
        <w:t xml:space="preserve">Developer has merged feature branch to</w:t>
      </w:r>
      <w:r>
        <w:t xml:space="preserve"> </w:t>
      </w:r>
      <w:r>
        <w:rPr>
          <w:rStyle w:val="VerbatimChar"/>
        </w:rPr>
        <w:t xml:space="preserve">main</w:t>
      </w:r>
      <w:r>
        <w:t xml:space="preserve">.</w:t>
      </w:r>
    </w:p>
    <w:p>
      <w:pPr>
        <w:pStyle w:val="BodyText"/>
      </w:pPr>
      <w:r>
        <w:rPr>
          <w:b/>
          <w:bCs/>
        </w:rPr>
        <w:t xml:space="preserve">Exit criteria:</w:t>
      </w:r>
      <w:r>
        <w:t xml:space="preserve"> </w:t>
      </w:r>
      <w:r>
        <w:t xml:space="preserve">Zero regressions (no previously passing test now fails). If a regression is detected, the merge is blocked until the root cause is identified and fixed.</w:t>
      </w:r>
    </w:p>
    <w:bookmarkEnd w:id="30"/>
    <w:bookmarkEnd w:id="31"/>
    <w:bookmarkStart w:id="32" w:name="X86334e6a84e2d8fafee39755819853a7eec7df1"/>
    <w:p>
      <w:pPr>
        <w:pStyle w:val="Heading2"/>
      </w:pPr>
      <w:r>
        <w:t xml:space="preserve">3. Test Priorities</w:t>
      </w:r>
    </w:p>
    <w:p>
      <w:pPr>
        <w:pStyle w:val="FirstParagraph"/>
      </w:pPr>
      <w:r>
        <w:t xml:space="preserve">Test items are ranked by combined risk score:</w:t>
      </w:r>
      <w:r>
        <w:t xml:space="preserve"> </w:t>
      </w:r>
      <w:r>
        <w:rPr>
          <w:i/>
          <w:iCs/>
        </w:rPr>
        <w:t xml:space="preserve">probability of defect × severity of impact</w:t>
      </w:r>
      <w:r>
        <w:t xml:space="preserve">. Items ranked highest receive the most test coverage, the strictest exit criteria, and are tested earliest in each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Test Item</w:t>
            </w:r>
          </w:p>
        </w:tc>
        <w:tc>
          <w:tcPr/>
          <w:p>
            <w:pPr>
              <w:pStyle w:val="Compact"/>
            </w:pPr>
            <w:r>
              <w:t xml:space="preserve">Risk Basis</w:t>
            </w:r>
          </w:p>
        </w:tc>
        <w:tc>
          <w:tcPr/>
          <w:p>
            <w:pPr>
              <w:pStyle w:val="Compact"/>
            </w:pPr>
            <w:r>
              <w:t xml:space="preserve">Applicable Business Rule</w:t>
            </w:r>
          </w:p>
        </w:tc>
      </w:tr>
      <w:tr>
        <w:tc>
          <w:tcPr/>
          <w:p>
            <w:pPr>
              <w:pStyle w:val="Compact"/>
            </w:pPr>
            <w:r>
              <w:t xml:space="preserve">1</w:t>
            </w:r>
          </w:p>
        </w:tc>
        <w:tc>
          <w:tcPr/>
          <w:p>
            <w:pPr>
              <w:pStyle w:val="Compact"/>
            </w:pPr>
            <w:r>
              <w:t xml:space="preserve">PAYE / NSSF / LST payroll calculations</w:t>
            </w:r>
          </w:p>
        </w:tc>
        <w:tc>
          <w:tcPr/>
          <w:p>
            <w:pPr>
              <w:pStyle w:val="Compact"/>
            </w:pPr>
            <w:r>
              <w:t xml:space="preserve">Legal liability — incorrect deductions expose BIRDC and PIBID to URA penalties and employee claims.</w:t>
            </w:r>
          </w:p>
        </w:tc>
        <w:tc>
          <w:tcPr/>
          <w:p>
            <w:pPr>
              <w:pStyle w:val="Compact"/>
            </w:pPr>
            <w:r>
              <w:t xml:space="preserve">BR-010</w:t>
            </w:r>
          </w:p>
        </w:tc>
      </w:tr>
      <w:tr>
        <w:tc>
          <w:tcPr/>
          <w:p>
            <w:pPr>
              <w:pStyle w:val="Compact"/>
            </w:pPr>
            <w:r>
              <w:t xml:space="preserve">2</w:t>
            </w:r>
          </w:p>
        </w:tc>
        <w:tc>
          <w:tcPr/>
          <w:p>
            <w:pPr>
              <w:pStyle w:val="Compact"/>
            </w:pPr>
            <w:r>
              <w:t xml:space="preserve">GL hash chain integrity</w:t>
            </w:r>
          </w:p>
        </w:tc>
        <w:tc>
          <w:tcPr/>
          <w:p>
            <w:pPr>
              <w:pStyle w:val="Compact"/>
            </w:pPr>
            <w:r>
              <w:t xml:space="preserve">Audit compliance — a broken hash chain invalidates BIRDC's ability to pass OAG audit under Uganda Companies Act and Income Tax Act.</w:t>
            </w:r>
          </w:p>
        </w:tc>
        <w:tc>
          <w:tcPr/>
          <w:p>
            <w:pPr>
              <w:pStyle w:val="Compact"/>
            </w:pPr>
            <w:r>
              <w:t xml:space="preserve">BR-013</w:t>
            </w:r>
          </w:p>
        </w:tc>
      </w:tr>
      <w:tr>
        <w:tc>
          <w:tcPr/>
          <w:p>
            <w:pPr>
              <w:pStyle w:val="Compact"/>
            </w:pPr>
            <w:r>
              <w:t xml:space="preserve">3</w:t>
            </w:r>
          </w:p>
        </w:tc>
        <w:tc>
          <w:tcPr/>
          <w:p>
            <w:pPr>
              <w:pStyle w:val="Compact"/>
            </w:pPr>
            <w:r>
              <w:t xml:space="preserve">FIFO remittance allocation —</w:t>
            </w:r>
            <w:r>
              <w:t xml:space="preserve"> </w:t>
            </w:r>
            <w:r>
              <w:rPr>
                <w:rStyle w:val="VerbatimChar"/>
              </w:rPr>
              <w:t xml:space="preserve">sp_apply_remittance_to_invoices</w:t>
            </w:r>
          </w:p>
        </w:tc>
        <w:tc>
          <w:tcPr/>
          <w:p>
            <w:pPr>
              <w:pStyle w:val="Compact"/>
            </w:pPr>
            <w:r>
              <w:t xml:space="preserve">Agent cash accountability — incorrect allocation creates undetectable agent debt or overpayment across the 1,071-agent network.</w:t>
            </w:r>
          </w:p>
        </w:tc>
        <w:tc>
          <w:tcPr/>
          <w:p>
            <w:pPr>
              <w:pStyle w:val="Compact"/>
            </w:pPr>
            <w:r>
              <w:t xml:space="preserve">BR-002</w:t>
            </w:r>
          </w:p>
        </w:tc>
      </w:tr>
      <w:tr>
        <w:tc>
          <w:tcPr/>
          <w:p>
            <w:pPr>
              <w:pStyle w:val="Compact"/>
            </w:pPr>
            <w:r>
              <w:t xml:space="preserve">4</w:t>
            </w:r>
          </w:p>
        </w:tc>
        <w:tc>
          <w:tcPr/>
          <w:p>
            <w:pPr>
              <w:pStyle w:val="Compact"/>
            </w:pPr>
            <w:r>
              <w:t xml:space="preserve">Dual-track inventory separation —</w:t>
            </w:r>
            <w:r>
              <w:t xml:space="preserve"> </w:t>
            </w:r>
            <w:r>
              <w:rPr>
                <w:rStyle w:val="VerbatimChar"/>
              </w:rPr>
              <w:t xml:space="preserve">tbl_stock_balance</w:t>
            </w:r>
            <w:r>
              <w:t xml:space="preserve"> </w:t>
            </w:r>
            <w:r>
              <w:t xml:space="preserve">vs.</w:t>
            </w:r>
            <w:r>
              <w:t xml:space="preserve"> </w:t>
            </w:r>
            <w:r>
              <w:rPr>
                <w:rStyle w:val="VerbatimChar"/>
              </w:rPr>
              <w:t xml:space="preserve">tbl_agent_stock_balance</w:t>
            </w:r>
          </w:p>
        </w:tc>
        <w:tc>
          <w:tcPr/>
          <w:p>
            <w:pPr>
              <w:pStyle w:val="Compact"/>
            </w:pPr>
            <w:r>
              <w:t xml:space="preserve">Financial misstatement — inventory reported incorrectly to the Finance Director and auditor if the two ledgers merge.</w:t>
            </w:r>
          </w:p>
        </w:tc>
        <w:tc>
          <w:tcPr/>
          <w:p>
            <w:pPr>
              <w:pStyle w:val="Compact"/>
            </w:pPr>
            <w:r>
              <w:t xml:space="preserve">BR-001</w:t>
            </w:r>
          </w:p>
        </w:tc>
      </w:tr>
      <w:tr>
        <w:tc>
          <w:tcPr/>
          <w:p>
            <w:pPr>
              <w:pStyle w:val="Compact"/>
            </w:pPr>
            <w:r>
              <w:t xml:space="preserve">5</w:t>
            </w:r>
          </w:p>
        </w:tc>
        <w:tc>
          <w:tcPr/>
          <w:p>
            <w:pPr>
              <w:pStyle w:val="Compact"/>
            </w:pPr>
            <w:r>
              <w:t xml:space="preserve">Mass balance verification — circular economy production orders</w:t>
            </w:r>
          </w:p>
        </w:tc>
        <w:tc>
          <w:tcPr/>
          <w:p>
            <w:pPr>
              <w:pStyle w:val="Compact"/>
            </w:pPr>
            <w:r>
              <w:t xml:space="preserve">Circular economy integrity — unbalanced mass balance means unaccounted raw material loss and invalidates the sustainability reporting.</w:t>
            </w:r>
          </w:p>
        </w:tc>
        <w:tc>
          <w:tcPr/>
          <w:p>
            <w:pPr>
              <w:pStyle w:val="Compact"/>
            </w:pPr>
            <w:r>
              <w:t xml:space="preserve">BR-008</w:t>
            </w:r>
          </w:p>
        </w:tc>
      </w:tr>
      <w:tr>
        <w:tc>
          <w:tcPr/>
          <w:p>
            <w:pPr>
              <w:pStyle w:val="Compact"/>
            </w:pPr>
            <w:r>
              <w:t xml:space="preserve">6</w:t>
            </w:r>
          </w:p>
        </w:tc>
        <w:tc>
          <w:tcPr/>
          <w:p>
            <w:pPr>
              <w:pStyle w:val="Compact"/>
            </w:pPr>
            <w:r>
              <w:t xml:space="preserve">EFRIS submission — URA fiscal document compliance</w:t>
            </w:r>
          </w:p>
        </w:tc>
        <w:tc>
          <w:tcPr/>
          <w:p>
            <w:pPr>
              <w:pStyle w:val="Compact"/>
            </w:pPr>
            <w:r>
              <w:t xml:space="preserve">URA compliance — failed or missing EFRIS submission exposes BIRDC to regulatory penalties and invalidates fiscal documents.</w:t>
            </w:r>
          </w:p>
        </w:tc>
        <w:tc>
          <w:tcPr/>
          <w:p>
            <w:pPr>
              <w:pStyle w:val="Compact"/>
            </w:pPr>
            <w:r>
              <w:t xml:space="preserve">F-018</w:t>
            </w:r>
          </w:p>
        </w:tc>
      </w:tr>
      <w:tr>
        <w:tc>
          <w:tcPr/>
          <w:p>
            <w:pPr>
              <w:pStyle w:val="Compact"/>
            </w:pPr>
            <w:r>
              <w:t xml:space="preserve">7</w:t>
            </w:r>
          </w:p>
        </w:tc>
        <w:tc>
          <w:tcPr/>
          <w:p>
            <w:pPr>
              <w:pStyle w:val="Compact"/>
            </w:pPr>
            <w:r>
              <w:t xml:space="preserve">QC gate — finished goods blocked until CoA issued</w:t>
            </w:r>
          </w:p>
        </w:tc>
        <w:tc>
          <w:tcPr/>
          <w:p>
            <w:pPr>
              <w:pStyle w:val="Compact"/>
            </w:pPr>
            <w:r>
              <w:t xml:space="preserve">Food safety — unapproved product dispatched to customers violates Uganda food safety regulations and export market requirements.</w:t>
            </w:r>
          </w:p>
        </w:tc>
        <w:tc>
          <w:tcPr/>
          <w:p>
            <w:pPr>
              <w:pStyle w:val="Compact"/>
            </w:pPr>
            <w:r>
              <w:t xml:space="preserve">BR-004</w:t>
            </w:r>
          </w:p>
        </w:tc>
      </w:tr>
      <w:tr>
        <w:tc>
          <w:tcPr/>
          <w:p>
            <w:pPr>
              <w:pStyle w:val="Compact"/>
            </w:pPr>
            <w:r>
              <w:t xml:space="preserve">8</w:t>
            </w:r>
          </w:p>
        </w:tc>
        <w:tc>
          <w:tcPr/>
          <w:p>
            <w:pPr>
              <w:pStyle w:val="Compact"/>
            </w:pPr>
            <w:r>
              <w:t xml:space="preserve">Offline POS sync — zero transaction loss</w:t>
            </w:r>
          </w:p>
        </w:tc>
        <w:tc>
          <w:tcPr/>
          <w:p>
            <w:pPr>
              <w:pStyle w:val="Compact"/>
            </w:pPr>
            <w:r>
              <w:t xml:space="preserve">Revenue integrity — lost POS transactions cause unrecorded revenue and agent accountability gaps.</w:t>
            </w:r>
          </w:p>
        </w:tc>
        <w:tc>
          <w:tcPr/>
          <w:p>
            <w:pPr>
              <w:pStyle w:val="Compact"/>
            </w:pPr>
            <w:r>
              <w:t xml:space="preserve">DC-005</w:t>
            </w:r>
          </w:p>
        </w:tc>
      </w:tr>
      <w:tr>
        <w:tc>
          <w:tcPr/>
          <w:p>
            <w:pPr>
              <w:pStyle w:val="Compact"/>
            </w:pPr>
            <w:r>
              <w:t xml:space="preserve">9</w:t>
            </w:r>
          </w:p>
        </w:tc>
        <w:tc>
          <w:tcPr/>
          <w:p>
            <w:pPr>
              <w:pStyle w:val="Compact"/>
            </w:pPr>
            <w:r>
              <w:t xml:space="preserve">Farmer payment calculation accuracy</w:t>
            </w:r>
          </w:p>
        </w:tc>
        <w:tc>
          <w:tcPr/>
          <w:p>
            <w:pPr>
              <w:pStyle w:val="Compact"/>
            </w:pPr>
            <w:r>
              <w:t xml:space="preserve">Cooperative trust — incorrect farmer payments damage BIRDC's relationship with 6,440+ cooperative farmers.</w:t>
            </w:r>
          </w:p>
        </w:tc>
        <w:tc>
          <w:tcPr/>
          <w:p>
            <w:pPr>
              <w:pStyle w:val="Compact"/>
            </w:pPr>
            <w:r>
              <w:t xml:space="preserve">BR-011</w:t>
            </w:r>
          </w:p>
        </w:tc>
      </w:tr>
      <w:tr>
        <w:tc>
          <w:tcPr/>
          <w:p>
            <w:pPr>
              <w:pStyle w:val="Compact"/>
            </w:pPr>
            <w:r>
              <w:t xml:space="preserve">10</w:t>
            </w:r>
          </w:p>
        </w:tc>
        <w:tc>
          <w:tcPr/>
          <w:p>
            <w:pPr>
              <w:pStyle w:val="Compact"/>
            </w:pPr>
            <w:r>
              <w:t xml:space="preserve">PPDA procurement approval workflow</w:t>
            </w:r>
          </w:p>
        </w:tc>
        <w:tc>
          <w:tcPr/>
          <w:p>
            <w:pPr>
              <w:pStyle w:val="Compact"/>
            </w:pPr>
            <w:r>
              <w:t xml:space="preserve">Parliamentary accountability — missing PPDA documentation blocks payment and exposes BIRDC to public procurement audit findings.</w:t>
            </w:r>
          </w:p>
        </w:tc>
        <w:tc>
          <w:tcPr/>
          <w:p>
            <w:pPr>
              <w:pStyle w:val="Compact"/>
            </w:pPr>
            <w:r>
              <w:t xml:space="preserve">BR-005</w:t>
            </w:r>
          </w:p>
        </w:tc>
      </w:tr>
    </w:tbl>
    <w:p>
      <w:pPr>
        <w:pStyle w:val="BodyText"/>
      </w:pPr>
      <w:r>
        <w:t xml:space="preserve">All Rank 1 and Rank 2 items must achieve 100% test case pass rate before any Phase Gate is signed off. Ranks 3–5 must achieve 100% pass rate before Phase 2 and Phase 4 gates respectively. Ranks 6–10 must achieve 100% pass rate before Phase 7 (go-live).</w:t>
      </w:r>
    </w:p>
    <w:bookmarkEnd w:id="32"/>
    <w:bookmarkStart w:id="37" w:name="X9b6e19c2b8c7de5b398bd04e54a7cc4a9afaad6"/>
    <w:p>
      <w:pPr>
        <w:pStyle w:val="Heading2"/>
      </w:pPr>
      <w:r>
        <w:t xml:space="preserve">4. Test Environment Specification</w:t>
      </w:r>
    </w:p>
    <w:bookmarkStart w:id="33" w:name="Xbbf9686b4c7d534d5d9f72d12e86dc8fbf08fcb"/>
    <w:p>
      <w:pPr>
        <w:pStyle w:val="Heading3"/>
      </w:pPr>
      <w:r>
        <w:t xml:space="preserve">4.1 Web Application — Staging Server</w:t>
      </w:r>
    </w:p>
    <w:p>
      <w:pPr>
        <w:pStyle w:val="FirstParagraph"/>
      </w:pPr>
      <w:r>
        <w:t xml:space="preserve">The staging environment must mirror the production hardware and software configuration at BIRDC Nyaruzinga.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Staging Specification</w:t>
            </w:r>
          </w:p>
        </w:tc>
      </w:tr>
      <w:tr>
        <w:tc>
          <w:tcPr/>
          <w:p>
            <w:pPr>
              <w:pStyle w:val="Compact"/>
            </w:pPr>
            <w:r>
              <w:t xml:space="preserve">Server</w:t>
            </w:r>
          </w:p>
        </w:tc>
        <w:tc>
          <w:tcPr/>
          <w:p>
            <w:pPr>
              <w:pStyle w:val="Compact"/>
            </w:pPr>
            <w:r>
              <w:t xml:space="preserve">On-premise staging server at BIRDC or equivalent-spec VM</w:t>
            </w:r>
          </w:p>
        </w:tc>
      </w:tr>
      <w:tr>
        <w:tc>
          <w:tcPr/>
          <w:p>
            <w:pPr>
              <w:pStyle w:val="Compact"/>
            </w:pPr>
            <w:r>
              <w:t xml:space="preserve">Operating System</w:t>
            </w:r>
          </w:p>
        </w:tc>
        <w:tc>
          <w:tcPr/>
          <w:p>
            <w:pPr>
              <w:pStyle w:val="Compact"/>
            </w:pPr>
            <w:r>
              <w:t xml:space="preserve">Same Linux distribution as planned production server</w:t>
            </w:r>
          </w:p>
        </w:tc>
      </w:tr>
      <w:tr>
        <w:tc>
          <w:tcPr/>
          <w:p>
            <w:pPr>
              <w:pStyle w:val="Compact"/>
            </w:pPr>
            <w:r>
              <w:t xml:space="preserve">Web server</w:t>
            </w:r>
          </w:p>
        </w:tc>
        <w:tc>
          <w:tcPr/>
          <w:p>
            <w:pPr>
              <w:pStyle w:val="Compact"/>
            </w:pPr>
            <w:r>
              <w:t xml:space="preserve">Apache or Nginx with HTTPS (self-signed certificate acceptable for staging)</w:t>
            </w:r>
          </w:p>
        </w:tc>
      </w:tr>
      <w:tr>
        <w:tc>
          <w:tcPr/>
          <w:p>
            <w:pPr>
              <w:pStyle w:val="Compact"/>
            </w:pPr>
            <w:r>
              <w:t xml:space="preserve">PHP version</w:t>
            </w:r>
          </w:p>
        </w:tc>
        <w:tc>
          <w:tcPr/>
          <w:p>
            <w:pPr>
              <w:pStyle w:val="Compact"/>
            </w:pPr>
            <w:r>
              <w:t xml:space="preserve">PHP 8.3 with</w:t>
            </w:r>
            <w:r>
              <w:t xml:space="preserve"> </w:t>
            </w:r>
            <w:r>
              <w:rPr>
                <w:rStyle w:val="VerbatimChar"/>
              </w:rPr>
              <w:t xml:space="preserve">declare(strict_types=1)</w:t>
            </w:r>
          </w:p>
        </w:tc>
      </w:tr>
      <w:tr>
        <w:tc>
          <w:tcPr/>
          <w:p>
            <w:pPr>
              <w:pStyle w:val="Compact"/>
            </w:pPr>
            <w:r>
              <w:t xml:space="preserve">Database</w:t>
            </w:r>
          </w:p>
        </w:tc>
        <w:tc>
          <w:tcPr/>
          <w:p>
            <w:pPr>
              <w:pStyle w:val="Compact"/>
            </w:pPr>
            <w:r>
              <w:t xml:space="preserve">MySQL 9.1 InnoDB, utf8mb4, same schema version as production branch</w:t>
            </w:r>
          </w:p>
        </w:tc>
      </w:tr>
      <w:tr>
        <w:tc>
          <w:tcPr/>
          <w:p>
            <w:pPr>
              <w:pStyle w:val="Compact"/>
            </w:pPr>
            <w:r>
              <w:t xml:space="preserve">Dataset</w:t>
            </w:r>
          </w:p>
        </w:tc>
        <w:tc>
          <w:tcPr/>
          <w:p>
            <w:pPr>
              <w:pStyle w:val="Compact"/>
            </w:pPr>
            <w:r>
              <w:t xml:space="preserve">Representative anonymised BIRDC data: 1,307-account chart of accounts, ≥ 500 test farmer records, ≥ 50 test agent records, sample production orders, payroll records</w:t>
            </w:r>
          </w:p>
        </w:tc>
      </w:tr>
      <w:tr>
        <w:tc>
          <w:tcPr/>
          <w:p>
            <w:pPr>
              <w:pStyle w:val="Compact"/>
            </w:pPr>
            <w:r>
              <w:t xml:space="preserve">CI/CD</w:t>
            </w:r>
          </w:p>
        </w:tc>
        <w:tc>
          <w:tcPr/>
          <w:p>
            <w:pPr>
              <w:pStyle w:val="Compact"/>
            </w:pPr>
            <w:r>
              <w:t xml:space="preserve">GitHub Actions pipeline connected to staging branch</w:t>
            </w:r>
          </w:p>
        </w:tc>
      </w:tr>
    </w:tbl>
    <w:bookmarkEnd w:id="33"/>
    <w:bookmarkStart w:id="34" w:name="Xcde3688d5b6d7db63c2ee65d40c1fa41cb41f9e"/>
    <w:p>
      <w:pPr>
        <w:pStyle w:val="Heading3"/>
      </w:pPr>
      <w:r>
        <w:t xml:space="preserve">4.2 Android Mobile Apps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Specification</w:t>
            </w:r>
          </w:p>
        </w:tc>
      </w:tr>
      <w:tr>
        <w:tc>
          <w:tcPr/>
          <w:p>
            <w:pPr>
              <w:pStyle w:val="Compact"/>
            </w:pPr>
            <w:r>
              <w:t xml:space="preserve">Minimum Android version</w:t>
            </w:r>
          </w:p>
        </w:tc>
        <w:tc>
          <w:tcPr/>
          <w:p>
            <w:pPr>
              <w:pStyle w:val="Compact"/>
            </w:pPr>
            <w:r>
              <w:t xml:space="preserve">Android 8.0 (API level 26)</w:t>
            </w:r>
          </w:p>
        </w:tc>
      </w:tr>
      <w:tr>
        <w:tc>
          <w:tcPr/>
          <w:p>
            <w:pPr>
              <w:pStyle w:val="Compact"/>
            </w:pPr>
            <w:r>
              <w:t xml:space="preserve">Test devices</w:t>
            </w:r>
          </w:p>
        </w:tc>
        <w:tc>
          <w:tcPr/>
          <w:p>
            <w:pPr>
              <w:pStyle w:val="Compact"/>
            </w:pPr>
            <w:r>
              <w:t xml:space="preserve">Minimum 2 physical Android devices: one flagship (e.g., Samsung Galaxy A-series or equivalent), one low-end device (minimum spec for field agents)</w:t>
            </w:r>
          </w:p>
        </w:tc>
      </w:tr>
      <w:tr>
        <w:tc>
          <w:tcPr/>
          <w:p>
            <w:pPr>
              <w:pStyle w:val="Compact"/>
            </w:pPr>
            <w:r>
              <w:t xml:space="preserve">Network simulation</w:t>
            </w:r>
          </w:p>
        </w:tc>
        <w:tc>
          <w:tcPr/>
          <w:p>
            <w:pPr>
              <w:pStyle w:val="Compact"/>
            </w:pPr>
            <w:r>
              <w:t xml:space="preserve">Airplane mode for offline testing; throttled Wi-Fi for sync latency testing</w:t>
            </w:r>
          </w:p>
        </w:tc>
      </w:tr>
      <w:tr>
        <w:tc>
          <w:tcPr/>
          <w:p>
            <w:pPr>
              <w:pStyle w:val="Compact"/>
            </w:pPr>
            <w:r>
              <w:t xml:space="preserve">Bluetooth thermal printer</w:t>
            </w:r>
          </w:p>
        </w:tc>
        <w:tc>
          <w:tcPr/>
          <w:p>
            <w:pPr>
              <w:pStyle w:val="Compact"/>
            </w:pPr>
            <w:r>
              <w:t xml:space="preserve">80mm ESC/POS printer for Sales Agent App and Farmer Delivery App print tests</w:t>
            </w:r>
          </w:p>
        </w:tc>
      </w:tr>
      <w:tr>
        <w:tc>
          <w:tcPr/>
          <w:p>
            <w:pPr>
              <w:pStyle w:val="Compact"/>
            </w:pPr>
            <w:r>
              <w:t xml:space="preserve">Barcode scanner</w:t>
            </w:r>
          </w:p>
        </w:tc>
        <w:tc>
          <w:tcPr/>
          <w:p>
            <w:pPr>
              <w:pStyle w:val="Compact"/>
            </w:pPr>
            <w:r>
              <w:t xml:space="preserve">Camera-based ML Kit scanning tested on Warehouse App</w:t>
            </w:r>
          </w:p>
        </w:tc>
      </w:tr>
    </w:tbl>
    <w:bookmarkEnd w:id="34"/>
    <w:bookmarkStart w:id="35" w:name="X2dbc6e1280682b2bac47e0ea257ede318ab2b96"/>
    <w:p>
      <w:pPr>
        <w:pStyle w:val="Heading3"/>
      </w:pPr>
      <w:r>
        <w:t xml:space="preserve">4.3 External Integration Sandboxes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w:t>
            </w:r>
          </w:p>
        </w:tc>
        <w:tc>
          <w:tcPr/>
          <w:p>
            <w:pPr>
              <w:pStyle w:val="Compact"/>
            </w:pPr>
            <w:r>
              <w:t xml:space="preserve">Sandbox Requirement</w:t>
            </w:r>
          </w:p>
        </w:tc>
        <w:tc>
          <w:tcPr/>
          <w:p>
            <w:pPr>
              <w:pStyle w:val="Compact"/>
            </w:pPr>
            <w:r>
              <w:t xml:space="preserve">Status</w:t>
            </w:r>
          </w:p>
        </w:tc>
      </w:tr>
      <w:tr>
        <w:tc>
          <w:tcPr/>
          <w:p>
            <w:pPr>
              <w:pStyle w:val="Compact"/>
            </w:pPr>
            <w:r>
              <w:t xml:space="preserve">URA EFRIS</w:t>
            </w:r>
          </w:p>
        </w:tc>
        <w:tc>
          <w:tcPr/>
          <w:p>
            <w:pPr>
              <w:pStyle w:val="Compact"/>
            </w:pPr>
            <w:r>
              <w:t xml:space="preserve">URA-provided EFRIS developer sandbox. All integration tests submit to sandbox only.</w:t>
            </w:r>
          </w:p>
        </w:tc>
        <w:tc>
          <w:tcPr/>
          <w:p>
            <w:pPr>
              <w:pStyle w:val="Compact"/>
            </w:pPr>
            <w:r>
              <w:t xml:space="preserve">[CONTEXT-GAP: GAP-001 — Sandbox credentials and endpoint URL not yet confirmed with URA. Obtain sandbox access credentials from URA Developer Portal before Phase 1 integration testing begins.]</w:t>
            </w:r>
          </w:p>
        </w:tc>
      </w:tr>
      <w:tr>
        <w:tc>
          <w:tcPr/>
          <w:p>
            <w:pPr>
              <w:pStyle w:val="Compact"/>
            </w:pPr>
            <w:r>
              <w:t xml:space="preserve">MTN MoMo</w:t>
            </w:r>
          </w:p>
        </w:tc>
        <w:tc>
          <w:tcPr/>
          <w:p>
            <w:pPr>
              <w:pStyle w:val="Compact"/>
            </w:pPr>
            <w:r>
              <w:t xml:space="preserve">MTN Uganda MoMo API sandbox environment. Test with MTN-provided sandbox API keys.</w:t>
            </w:r>
          </w:p>
        </w:tc>
        <w:tc>
          <w:tcPr/>
          <w:p>
            <w:pPr>
              <w:pStyle w:val="Compact"/>
            </w:pPr>
            <w:r>
              <w:t xml:space="preserve">[CONTEXT-GAP: GAP-002 — MTN MoMo sandbox API key and collection URL not yet confirmed. Obtain from MTN Uganda Developer Portal (momodeveloper.mtn.com) before Phase 1 integration testing.]</w:t>
            </w:r>
          </w:p>
        </w:tc>
      </w:tr>
      <w:tr>
        <w:tc>
          <w:tcPr/>
          <w:p>
            <w:pPr>
              <w:pStyle w:val="Compact"/>
            </w:pPr>
            <w:r>
              <w:t xml:space="preserve">Airtel Money</w:t>
            </w:r>
          </w:p>
        </w:tc>
        <w:tc>
          <w:tcPr/>
          <w:p>
            <w:pPr>
              <w:pStyle w:val="Compact"/>
            </w:pPr>
            <w:r>
              <w:t xml:space="preserve">Airtel Africa Money API sandbox.</w:t>
            </w:r>
          </w:p>
        </w:tc>
        <w:tc>
          <w:tcPr/>
          <w:p>
            <w:pPr>
              <w:pStyle w:val="Compact"/>
            </w:pPr>
            <w:r>
              <w:t xml:space="preserve">[CONTEXT-GAP: GAP-003 — Airtel Money sandbox credentials not yet confirmed. Obtain from Airtel Africa developer programme before Phase 1 integration testing.]</w:t>
            </w:r>
          </w:p>
        </w:tc>
      </w:tr>
      <w:tr>
        <w:tc>
          <w:tcPr/>
          <w:p>
            <w:pPr>
              <w:pStyle w:val="Compact"/>
            </w:pPr>
            <w:r>
              <w:t xml:space="preserve">ZKTeco biometric</w:t>
            </w:r>
          </w:p>
        </w:tc>
        <w:tc>
          <w:tcPr/>
          <w:p>
            <w:pPr>
              <w:pStyle w:val="Compact"/>
            </w:pPr>
            <w:r>
              <w:t xml:space="preserve">Physical ZKTeco device deployed at BIRDC; use device SDK in test mode with test fingerprint templates.</w:t>
            </w:r>
          </w:p>
        </w:tc>
        <w:tc>
          <w:tcPr/>
          <w:p>
            <w:pPr>
              <w:pStyle w:val="Compact"/>
            </w:pPr>
            <w:r>
              <w:t xml:space="preserve">To be confirmed at HR module testing phase.</w:t>
            </w:r>
          </w:p>
        </w:tc>
      </w:tr>
    </w:tbl>
    <w:bookmarkEnd w:id="35"/>
    <w:bookmarkStart w:id="36" w:name="Xccc3a925e0147500113c9cc9c499763bc7c61c3"/>
    <w:p>
      <w:pPr>
        <w:pStyle w:val="Heading3"/>
      </w:pPr>
      <w:r>
        <w:t xml:space="preserve">4.4 Environment Promotion Policy</w:t>
      </w:r>
    </w:p>
    <w:p>
      <w:pPr>
        <w:pStyle w:val="Compact"/>
        <w:numPr>
          <w:ilvl w:val="0"/>
          <w:numId w:val="1016"/>
        </w:numPr>
      </w:pPr>
      <w:r>
        <w:t xml:space="preserve">All development occurs on feature branches.</w:t>
      </w:r>
    </w:p>
    <w:p>
      <w:pPr>
        <w:pStyle w:val="Compact"/>
        <w:numPr>
          <w:ilvl w:val="0"/>
          <w:numId w:val="1016"/>
        </w:numPr>
      </w:pPr>
      <w:r>
        <w:t xml:space="preserve">Automated CI (lint → unit test → integration test) runs on every pull request.</w:t>
      </w:r>
    </w:p>
    <w:p>
      <w:pPr>
        <w:pStyle w:val="Compact"/>
        <w:numPr>
          <w:ilvl w:val="0"/>
          <w:numId w:val="1016"/>
        </w:numPr>
      </w:pPr>
      <w:r>
        <w:t xml:space="preserve">Merges to</w:t>
      </w:r>
      <w:r>
        <w:t xml:space="preserve"> </w:t>
      </w:r>
      <w:r>
        <w:rPr>
          <w:rStyle w:val="VerbatimChar"/>
        </w:rPr>
        <w:t xml:space="preserve">main</w:t>
      </w:r>
      <w:r>
        <w:t xml:space="preserve"> </w:t>
      </w:r>
      <w:r>
        <w:t xml:space="preserve">trigger deployment to staging.</w:t>
      </w:r>
    </w:p>
    <w:p>
      <w:pPr>
        <w:pStyle w:val="Compact"/>
        <w:numPr>
          <w:ilvl w:val="0"/>
          <w:numId w:val="1016"/>
        </w:numPr>
      </w:pPr>
      <w:r>
        <w:t xml:space="preserve">Manual promotion to production requires Phase Gate sign-off from BIRDC client representative and Peter Bamuhigire.</w:t>
      </w:r>
    </w:p>
    <w:p>
      <w:pPr>
        <w:pStyle w:val="Compact"/>
        <w:numPr>
          <w:ilvl w:val="0"/>
          <w:numId w:val="1016"/>
        </w:numPr>
      </w:pPr>
      <w:r>
        <w:t xml:space="preserve">No direct commits to</w:t>
      </w:r>
      <w:r>
        <w:t xml:space="preserve"> </w:t>
      </w:r>
      <w:r>
        <w:rPr>
          <w:rStyle w:val="VerbatimChar"/>
        </w:rPr>
        <w:t xml:space="preserve">main</w:t>
      </w:r>
      <w:r>
        <w:t xml:space="preserve"> </w:t>
      </w:r>
      <w:r>
        <w:t xml:space="preserve">— pull requests only.</w:t>
      </w:r>
    </w:p>
    <w:bookmarkEnd w:id="36"/>
    <w:bookmarkEnd w:id="37"/>
    <w:bookmarkStart w:id="40" w:name="Xf2e4c3fa2db25afb286c81f2f1d179cc6f8bdca"/>
    <w:p>
      <w:pPr>
        <w:pStyle w:val="Heading2"/>
      </w:pPr>
      <w:r>
        <w:t xml:space="preserve">5. Defect Classification</w:t>
      </w:r>
    </w:p>
    <w:p>
      <w:pPr>
        <w:pStyle w:val="FirstParagraph"/>
      </w:pPr>
      <w:r>
        <w:t xml:space="preserve">All defects are classified by severity at the time of discovery. The defect severity determines the mandatory resolution timeline and Phase Gate impact.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Phase Gate Impact</w:t>
            </w:r>
          </w:p>
        </w:tc>
        <w:tc>
          <w:tcPr/>
          <w:p>
            <w:pPr>
              <w:pStyle w:val="Compact"/>
            </w:pPr>
            <w:r>
              <w:t xml:space="preserve">Resolution SLA</w:t>
            </w:r>
          </w:p>
        </w:tc>
      </w:tr>
      <w:tr>
        <w:tc>
          <w:tcPr/>
          <w:p>
            <w:pPr>
              <w:pStyle w:val="Compact"/>
            </w:pPr>
            <w:r>
              <w:rPr>
                <w:b/>
                <w:bCs/>
              </w:rPr>
              <w:t xml:space="preserve">Critical</w:t>
            </w:r>
          </w:p>
        </w:tc>
        <w:tc>
          <w:tcPr/>
          <w:p>
            <w:pPr>
              <w:pStyle w:val="Compact"/>
            </w:pPr>
            <w:r>
              <w:t xml:space="preserve">System is unusable; financial data is lost or corrupted; audit trail has a gap; a business rule (BR-001 to BR-018) is violated; data is written to the wrong ledger; PAYE/NSSF calculation is wrong by any amount.</w:t>
            </w:r>
          </w:p>
        </w:tc>
        <w:tc>
          <w:tcPr/>
          <w:p>
            <w:pPr>
              <w:pStyle w:val="Compact"/>
            </w:pPr>
            <w:r>
              <w:t xml:space="preserve">Phase Gate is blocked until the defect is resolved, verified, and a regression test added.</w:t>
            </w:r>
          </w:p>
        </w:tc>
        <w:tc>
          <w:tcPr/>
          <w:p>
            <w:pPr>
              <w:pStyle w:val="Compact"/>
            </w:pPr>
            <w:r>
              <w:t xml:space="preserve">Fix before next working day.</w:t>
            </w:r>
          </w:p>
        </w:tc>
      </w:tr>
      <w:tr>
        <w:tc>
          <w:tcPr/>
          <w:p>
            <w:pPr>
              <w:pStyle w:val="Compact"/>
            </w:pPr>
            <w:r>
              <w:rPr>
                <w:b/>
                <w:bCs/>
              </w:rPr>
              <w:t xml:space="preserve">High</w:t>
            </w:r>
          </w:p>
        </w:tc>
        <w:tc>
          <w:tcPr/>
          <w:p>
            <w:pPr>
              <w:pStyle w:val="Compact"/>
            </w:pPr>
            <w:r>
              <w:t xml:space="preserve">A complete module is unusable; a primary user journey cannot be completed; a PPDA document is missing; EFRIS submission fails without retry; an agent cash balance is incorrect; QC gate can be bypassed by any user.</w:t>
            </w:r>
          </w:p>
        </w:tc>
        <w:tc>
          <w:tcPr/>
          <w:p>
            <w:pPr>
              <w:pStyle w:val="Compact"/>
            </w:pPr>
            <w:r>
              <w:t xml:space="preserve">Phase Gate is blocked until resolved.</w:t>
            </w:r>
          </w:p>
        </w:tc>
        <w:tc>
          <w:tcPr/>
          <w:p>
            <w:pPr>
              <w:pStyle w:val="Compact"/>
            </w:pPr>
            <w:r>
              <w:t xml:space="preserve">Fix within 3 working days.</w:t>
            </w:r>
          </w:p>
        </w:tc>
      </w:tr>
      <w:tr>
        <w:tc>
          <w:tcPr/>
          <w:p>
            <w:pPr>
              <w:pStyle w:val="Compact"/>
            </w:pPr>
            <w:r>
              <w:rPr>
                <w:b/>
                <w:bCs/>
              </w:rPr>
              <w:t xml:space="preserve">Medium</w:t>
            </w:r>
          </w:p>
        </w:tc>
        <w:tc>
          <w:tcPr/>
          <w:p>
            <w:pPr>
              <w:pStyle w:val="Compact"/>
            </w:pPr>
            <w:r>
              <w:t xml:space="preserve">A feature is partially broken; a workaround exists; a secondary user journey fails; a report shows incorrect data in edge cases; a non-critical API integration returns an unexpected response.</w:t>
            </w:r>
          </w:p>
        </w:tc>
        <w:tc>
          <w:tcPr/>
          <w:p>
            <w:pPr>
              <w:pStyle w:val="Compact"/>
            </w:pPr>
            <w:r>
              <w:t xml:space="preserve">Phase Gate proceeds with defect acknowledged and a remediation date agreed in writing.</w:t>
            </w:r>
          </w:p>
        </w:tc>
        <w:tc>
          <w:tcPr/>
          <w:p>
            <w:pPr>
              <w:pStyle w:val="Compact"/>
            </w:pPr>
            <w:r>
              <w:t xml:space="preserve">Fix before the subsequent Phase Gate.</w:t>
            </w:r>
          </w:p>
        </w:tc>
      </w:tr>
      <w:tr>
        <w:tc>
          <w:tcPr/>
          <w:p>
            <w:pPr>
              <w:pStyle w:val="Compact"/>
            </w:pPr>
            <w:r>
              <w:rPr>
                <w:b/>
                <w:bCs/>
              </w:rPr>
              <w:t xml:space="preserve">Low</w:t>
            </w:r>
          </w:p>
        </w:tc>
        <w:tc>
          <w:tcPr/>
          <w:p>
            <w:pPr>
              <w:pStyle w:val="Compact"/>
            </w:pPr>
            <w:r>
              <w:t xml:space="preserve">Cosmetic issue; UI alignment; label spelling error; non-impacting formatting issue in a report; help text inaccurate; tooltip missing.</w:t>
            </w:r>
          </w:p>
        </w:tc>
        <w:tc>
          <w:tcPr/>
          <w:p>
            <w:pPr>
              <w:pStyle w:val="Compact"/>
            </w:pPr>
            <w:r>
              <w:t xml:space="preserve">Phase Gate not affected.</w:t>
            </w:r>
          </w:p>
        </w:tc>
        <w:tc>
          <w:tcPr/>
          <w:p>
            <w:pPr>
              <w:pStyle w:val="Compact"/>
            </w:pPr>
            <w:r>
              <w:t xml:space="preserve">Fix before go-live (Phase 7).</w:t>
            </w:r>
          </w:p>
        </w:tc>
      </w:tr>
    </w:tbl>
    <w:bookmarkStart w:id="38" w:name="X595a5e580a8c27e10180cfc8a20d5818a53b35b"/>
    <w:p>
      <w:pPr>
        <w:pStyle w:val="Heading3"/>
      </w:pPr>
      <w:r>
        <w:t xml:space="preserve">5.1 Defect Lifecycle</w:t>
      </w:r>
    </w:p>
    <w:p>
      <w:pPr>
        <w:pStyle w:val="Compact"/>
        <w:numPr>
          <w:ilvl w:val="0"/>
          <w:numId w:val="1017"/>
        </w:numPr>
      </w:pPr>
      <w:r>
        <w:t xml:space="preserve">Defect raised in project issue tracker with: severity, module, test case ID, steps to reproduce, expected result, actual result, and screenshot or log excerpt.</w:t>
      </w:r>
    </w:p>
    <w:p>
      <w:pPr>
        <w:pStyle w:val="Compact"/>
        <w:numPr>
          <w:ilvl w:val="0"/>
          <w:numId w:val="1017"/>
        </w:numPr>
      </w:pPr>
      <w:r>
        <w:t xml:space="preserve">Developer acknowledges within 1 working day.</w:t>
      </w:r>
    </w:p>
    <w:p>
      <w:pPr>
        <w:pStyle w:val="Compact"/>
        <w:numPr>
          <w:ilvl w:val="0"/>
          <w:numId w:val="1017"/>
        </w:numPr>
      </w:pPr>
      <w:r>
        <w:t xml:space="preserve">Developer resolves and marks "Ready for Retest."</w:t>
      </w:r>
    </w:p>
    <w:p>
      <w:pPr>
        <w:pStyle w:val="Compact"/>
        <w:numPr>
          <w:ilvl w:val="0"/>
          <w:numId w:val="1017"/>
        </w:numPr>
      </w:pPr>
      <w:r>
        <w:t xml:space="preserve">Peter Bamuhigire or assigned tester retests using the original test case. If pass, defect closed. If fail, defect re-opened with additional notes.</w:t>
      </w:r>
    </w:p>
    <w:p>
      <w:pPr>
        <w:pStyle w:val="Compact"/>
        <w:numPr>
          <w:ilvl w:val="0"/>
          <w:numId w:val="1017"/>
        </w:numPr>
      </w:pPr>
      <w:r>
        <w:t xml:space="preserve">All Critical and High defects require a root cause note and a new regression test case added to the suite before closure.</w:t>
      </w:r>
    </w:p>
    <w:bookmarkEnd w:id="38"/>
    <w:bookmarkStart w:id="39" w:name="Xd2c9aabc0fc0c47d9e2c737bb163d5e0ac69d9e"/>
    <w:p>
      <w:pPr>
        <w:pStyle w:val="Heading3"/>
      </w:pPr>
      <w:r>
        <w:t xml:space="preserve">5.2 Defect Density Target</w:t>
      </w:r>
    </w:p>
    <w:p>
      <w:pPr>
        <w:pStyle w:val="FirstParagraph"/>
      </w:pPr>
      <w:r>
        <w:t xml:space="preserve">At Phase 7 go-live, the open defect counts must not exceed: Critical = 0, High = 0, Medium ≤ 5 (all acknowledged and scheduled), Low = no limit.</w:t>
      </w:r>
    </w:p>
    <w:bookmarkEnd w:id="39"/>
    <w:bookmarkEnd w:id="40"/>
    <w:bookmarkStart w:id="42" w:name="X8337f33d56282359066dafac44d784134e05f6e"/>
    <w:p>
      <w:pPr>
        <w:pStyle w:val="Heading2"/>
      </w:pPr>
      <w:r>
        <w:t xml:space="preserve">6. Roles and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Testing Responsibilities</w:t>
            </w:r>
          </w:p>
        </w:tc>
      </w:tr>
      <w:tr>
        <w:tc>
          <w:tcPr/>
          <w:p>
            <w:pPr>
              <w:pStyle w:val="Compact"/>
            </w:pPr>
            <w:r>
              <w:t xml:space="preserve">Test Strategy Owner &amp; Financial Logic Verifier</w:t>
            </w:r>
          </w:p>
        </w:tc>
        <w:tc>
          <w:tcPr/>
          <w:p>
            <w:pPr>
              <w:pStyle w:val="Compact"/>
            </w:pPr>
            <w:r>
              <w:t xml:space="preserve">Peter Bamuhigire, ICT Consultant</w:t>
            </w:r>
          </w:p>
        </w:tc>
        <w:tc>
          <w:tcPr/>
          <w:p>
            <w:pPr>
              <w:pStyle w:val="Compact"/>
            </w:pPr>
            <w:r>
              <w:t xml:space="preserve">Owns this strategy document; verifies all financial calculation test oracles (PAYE, NSSF, FIFO, mass balance, hash chain); reviews all unit test assertions for financial services; signs off Phase Gate test results; resolves test environment issues.</w:t>
            </w:r>
          </w:p>
        </w:tc>
      </w:tr>
      <w:tr>
        <w:tc>
          <w:tcPr/>
          <w:p>
            <w:pPr>
              <w:pStyle w:val="Compact"/>
            </w:pPr>
            <w:r>
              <w:t xml:space="preserve">UAT Owner — Financial Modules</w:t>
            </w:r>
          </w:p>
        </w:tc>
        <w:tc>
          <w:tcPr/>
          <w:p>
            <w:pPr>
              <w:pStyle w:val="Compact"/>
            </w:pPr>
            <w:r>
              <w:t xml:space="preserve">BIRDC Finance Director</w:t>
            </w:r>
          </w:p>
        </w:tc>
        <w:tc>
          <w:tcPr/>
          <w:p>
            <w:pPr>
              <w:pStyle w:val="Compact"/>
            </w:pPr>
            <w:r>
              <w:t xml:space="preserve">Leads UAT for GL, AR, AP, Budget Management, and Payroll modules. Signs Phase 2 and Phase 5 Phase Gate acceptance forms. Validates dual-mode accounting reports (parliamentary + IFRS). Triggers hash chain integrity check.</w:t>
            </w:r>
          </w:p>
        </w:tc>
      </w:tr>
      <w:tr>
        <w:tc>
          <w:tcPr/>
          <w:p>
            <w:pPr>
              <w:pStyle w:val="Compact"/>
            </w:pPr>
            <w:r>
              <w:t xml:space="preserve">UAT Owner — Sales and Agent Modules</w:t>
            </w:r>
          </w:p>
        </w:tc>
        <w:tc>
          <w:tcPr/>
          <w:p>
            <w:pPr>
              <w:pStyle w:val="Compact"/>
            </w:pPr>
            <w:r>
              <w:t xml:space="preserve">BIRDC Sales Manager</w:t>
            </w:r>
          </w:p>
        </w:tc>
        <w:tc>
          <w:tcPr/>
          <w:p>
            <w:pPr>
              <w:pStyle w:val="Compact"/>
            </w:pPr>
            <w:r>
              <w:t xml:space="preserve">Leads UAT for Sales &amp; Distribution, POS, and Agent Distribution Management. Signs Phase 1 Phase Gate acceptance form. Validates agent cash balance reports and dual-track inventory separation. Manages agent float limits during UAT.</w:t>
            </w:r>
          </w:p>
        </w:tc>
      </w:tr>
      <w:tr>
        <w:tc>
          <w:tcPr/>
          <w:p>
            <w:pPr>
              <w:pStyle w:val="Compact"/>
            </w:pPr>
            <w:r>
              <w:t xml:space="preserve">UAT Owner — Quality and Manufacturing</w:t>
            </w:r>
          </w:p>
        </w:tc>
        <w:tc>
          <w:tcPr/>
          <w:p>
            <w:pPr>
              <w:pStyle w:val="Compact"/>
            </w:pPr>
            <w:r>
              <w:t xml:space="preserve">BIRDC QC Manager</w:t>
            </w:r>
          </w:p>
        </w:tc>
        <w:tc>
          <w:tcPr/>
          <w:p>
            <w:pPr>
              <w:pStyle w:val="Compact"/>
            </w:pPr>
            <w:r>
              <w:t xml:space="preserve">Leads UAT for Quality Control &amp; Laboratory and Manufacturing &amp; Production. Signs Phase 4 Phase Gate acceptance form. Validates QC gate (BR-004), CoA generation for domestic and export markets, and mass balance (BR-008).</w:t>
            </w:r>
          </w:p>
        </w:tc>
      </w:tr>
      <w:tr>
        <w:tc>
          <w:tcPr/>
          <w:p>
            <w:pPr>
              <w:pStyle w:val="Compact"/>
            </w:pPr>
            <w:r>
              <w:t xml:space="preserve">UAT Owner — Procurement and Farmers</w:t>
            </w:r>
          </w:p>
        </w:tc>
        <w:tc>
          <w:tcPr/>
          <w:p>
            <w:pPr>
              <w:pStyle w:val="Compact"/>
            </w:pPr>
            <w:r>
              <w:t xml:space="preserve">BIRDC Administration / Procurement Officer</w:t>
            </w:r>
          </w:p>
        </w:tc>
        <w:tc>
          <w:tcPr/>
          <w:p>
            <w:pPr>
              <w:pStyle w:val="Compact"/>
            </w:pPr>
            <w:r>
              <w:t xml:space="preserve">Leads UAT for Procurement &amp; Purchasing, Farmer &amp; Cooperative Management. Signs Phase 3 Phase Gate acceptance form. Validates 5-stage farmer procurement workflow and PPDA documentation checklist.</w:t>
            </w:r>
          </w:p>
        </w:tc>
      </w:tr>
      <w:tr>
        <w:tc>
          <w:tcPr/>
          <w:p>
            <w:pPr>
              <w:pStyle w:val="Compact"/>
            </w:pPr>
            <w:r>
              <w:t xml:space="preserve">UAT Owner — HR and Self-Service</w:t>
            </w:r>
          </w:p>
        </w:tc>
        <w:tc>
          <w:tcPr/>
          <w:p>
            <w:pPr>
              <w:pStyle w:val="Compact"/>
            </w:pPr>
            <w:r>
              <w:t xml:space="preserve">BIRDC HR Manager</w:t>
            </w:r>
          </w:p>
        </w:tc>
        <w:tc>
          <w:tcPr/>
          <w:p>
            <w:pPr>
              <w:pStyle w:val="Compact"/>
            </w:pPr>
            <w:r>
              <w:t xml:space="preserve">Leads UAT for Human Resources and HR Self-Service App. Signs Phase 5 Phase Gate acceptance form with Finance Director. Validates ZKTeco biometric import and leave management.</w:t>
            </w:r>
          </w:p>
        </w:tc>
      </w:tr>
      <w:tr>
        <w:tc>
          <w:tcPr/>
          <w:p>
            <w:pPr>
              <w:pStyle w:val="Compact"/>
            </w:pPr>
            <w:r>
              <w:t xml:space="preserve">Unit and Integration Test Execution</w:t>
            </w:r>
          </w:p>
        </w:tc>
        <w:tc>
          <w:tcPr/>
          <w:p>
            <w:pPr>
              <w:pStyle w:val="Compact"/>
            </w:pPr>
            <w:r>
              <w:t xml:space="preserve">Hired Developers</w:t>
            </w:r>
          </w:p>
        </w:tc>
        <w:tc>
          <w:tcPr/>
          <w:p>
            <w:pPr>
              <w:pStyle w:val="Compact"/>
            </w:pPr>
            <w:r>
              <w:t xml:space="preserve">Write and execute all unit and integration tests. Maintain 80% coverage on financial services. Raise defects in the issue tracker. Fix defects within agreed SLA.</w:t>
            </w:r>
          </w:p>
        </w:tc>
      </w:tr>
      <w:tr>
        <w:tc>
          <w:tcPr/>
          <w:p>
            <w:pPr>
              <w:pStyle w:val="Compact"/>
            </w:pPr>
            <w:r>
              <w:t xml:space="preserve">IT Administration UAT</w:t>
            </w:r>
          </w:p>
        </w:tc>
        <w:tc>
          <w:tcPr/>
          <w:p>
            <w:pPr>
              <w:pStyle w:val="Compact"/>
            </w:pPr>
            <w:r>
              <w:t xml:space="preserve">BIRDC IT Administrator</w:t>
            </w:r>
          </w:p>
        </w:tc>
        <w:tc>
          <w:tcPr/>
          <w:p>
            <w:pPr>
              <w:pStyle w:val="Compact"/>
            </w:pPr>
            <w:r>
              <w:t xml:space="preserve">Leads UAT for System Administration module (/public/admin/). Validates user roles and permissions matrix, audit log review, and backup management. Signs Phase 6 Phase Gate acceptance form.</w:t>
            </w:r>
          </w:p>
        </w:tc>
      </w:tr>
    </w:tbl>
    <w:bookmarkStart w:id="41" w:name="X01fd555e65cf52741328e41cac719eb3fcf127f"/>
    <w:p>
      <w:pPr>
        <w:pStyle w:val="Heading3"/>
      </w:pPr>
      <w:r>
        <w:t xml:space="preserve">6.1 Segregation of Duties in Testing</w:t>
      </w:r>
    </w:p>
    <w:p>
      <w:pPr>
        <w:pStyle w:val="FirstParagraph"/>
      </w:pPr>
      <w:r>
        <w:t xml:space="preserve">In alignment with BR-003, no developer who wrote a feature may be the sole tester of that feature's acceptance criteria. Peter Bamuhigire performs independent verification of all financial logic test results. UAT owners are independent of the development team.</w:t>
      </w:r>
    </w:p>
    <w:bookmarkEnd w:id="41"/>
    <w:bookmarkEnd w:id="42"/>
    <w:bookmarkStart w:id="50" w:name="Xb71493a1abf2fc84e282063e262c9e11299b31e"/>
    <w:p>
      <w:pPr>
        <w:pStyle w:val="Heading2"/>
      </w:pPr>
      <w:r>
        <w:t xml:space="preserve">7. Phase Gate Entry and Exit Criteria</w:t>
      </w:r>
    </w:p>
    <w:p>
      <w:pPr>
        <w:pStyle w:val="FirstParagraph"/>
      </w:pPr>
      <w:r>
        <w:t xml:space="preserve">Each phase gate requires ALL listed criteria to be satisfied before the next delivery phase begins.</w:t>
      </w:r>
    </w:p>
    <w:bookmarkStart w:id="43" w:name="phase-1-gate--commerce-foundation"/>
    <w:p>
      <w:pPr>
        <w:pStyle w:val="Heading3"/>
      </w:pPr>
      <w:r>
        <w:t xml:space="preserve">Phase 1 Gate — Commerce Foundation</w:t>
      </w:r>
    </w:p>
    <w:p>
      <w:pPr>
        <w:pStyle w:val="FirstParagraph"/>
      </w:pPr>
      <w:r>
        <w:rPr>
          <w:b/>
          <w:bCs/>
        </w:rPr>
        <w:t xml:space="preserve">Entry criteria:</w:t>
      </w:r>
    </w:p>
    <w:p>
      <w:pPr>
        <w:pStyle w:val="Compact"/>
        <w:numPr>
          <w:ilvl w:val="0"/>
          <w:numId w:val="1018"/>
        </w:numPr>
      </w:pPr>
      <w:r>
        <w:t xml:space="preserve">All F-001 (Sales), F-002 (POS), F-003 (Inventory), and F-004 (Agent Distribution) unit and integration tests pass.</w:t>
      </w:r>
    </w:p>
    <w:p>
      <w:pPr>
        <w:pStyle w:val="Compact"/>
        <w:numPr>
          <w:ilvl w:val="0"/>
          <w:numId w:val="1018"/>
        </w:numPr>
      </w:pPr>
      <w:r>
        <w:t xml:space="preserve">Staging environment provisioned with test chart of accounts, agent records, and product catalogue.</w:t>
      </w:r>
    </w:p>
    <w:p>
      <w:pPr>
        <w:pStyle w:val="FirstParagraph"/>
      </w:pPr>
      <w:r>
        <w:rPr>
          <w:b/>
          <w:bCs/>
        </w:rPr>
        <w:t xml:space="preserve">Exit criteria:</w:t>
      </w:r>
    </w:p>
    <w:p>
      <w:pPr>
        <w:pStyle w:val="Compact"/>
        <w:numPr>
          <w:ilvl w:val="0"/>
          <w:numId w:val="1019"/>
        </w:numPr>
      </w:pPr>
      <w:r>
        <w:t xml:space="preserve">All system test journeys for F-001 through F-004 pass without Critical or High defects.</w:t>
      </w:r>
    </w:p>
    <w:p>
      <w:pPr>
        <w:pStyle w:val="Compact"/>
        <w:numPr>
          <w:ilvl w:val="0"/>
          <w:numId w:val="1019"/>
        </w:numPr>
      </w:pPr>
      <w:r>
        <w:t xml:space="preserve">EFRIS sandbox submission returns a valid FDN for a test invoice and a test POS receipt.</w:t>
      </w:r>
    </w:p>
    <w:p>
      <w:pPr>
        <w:pStyle w:val="Compact"/>
        <w:numPr>
          <w:ilvl w:val="0"/>
          <w:numId w:val="1019"/>
        </w:numPr>
      </w:pPr>
      <w:r>
        <w:t xml:space="preserve">Dual-track inventory report verified: warehouse stock total and agent stock total shown separately; no cross-contamination (BR-001).</w:t>
      </w:r>
    </w:p>
    <w:p>
      <w:pPr>
        <w:pStyle w:val="Compact"/>
        <w:numPr>
          <w:ilvl w:val="0"/>
          <w:numId w:val="1019"/>
        </w:numPr>
      </w:pPr>
      <w:r>
        <w:t xml:space="preserve">Agent cash balance updates in real time on posting of a test sale (latency ≤ 2 seconds).</w:t>
      </w:r>
    </w:p>
    <w:p>
      <w:pPr>
        <w:pStyle w:val="Compact"/>
        <w:numPr>
          <w:ilvl w:val="0"/>
          <w:numId w:val="1019"/>
        </w:numPr>
      </w:pPr>
      <w:r>
        <w:t xml:space="preserve">Sales Agent App (Android) and Warehouse App (Android) tested on minimum API 26 device.</w:t>
      </w:r>
    </w:p>
    <w:p>
      <w:pPr>
        <w:pStyle w:val="Compact"/>
        <w:numPr>
          <w:ilvl w:val="0"/>
          <w:numId w:val="1019"/>
        </w:numPr>
      </w:pPr>
      <w:r>
        <w:t xml:space="preserve">Offline POS: 50 transactions recorded offline; 100% synced on reconnect; GL auto-posts confirmed.</w:t>
      </w:r>
    </w:p>
    <w:p>
      <w:pPr>
        <w:pStyle w:val="Compact"/>
        <w:numPr>
          <w:ilvl w:val="0"/>
          <w:numId w:val="1019"/>
        </w:numPr>
      </w:pPr>
      <w:r>
        <w:t xml:space="preserve">BIRDC Sales Manager and Store Manager sign Phase 1 UAT acceptance form.</w:t>
      </w:r>
    </w:p>
    <w:p>
      <w:pPr>
        <w:pStyle w:val="Compact"/>
        <w:numPr>
          <w:ilvl w:val="0"/>
          <w:numId w:val="1019"/>
        </w:numPr>
      </w:pPr>
      <w:r>
        <w:t xml:space="preserve">Peter Bamuhigire signs test completion report.</w:t>
      </w:r>
    </w:p>
    <w:bookmarkEnd w:id="43"/>
    <w:bookmarkStart w:id="44" w:name="phase-2-gate--financial-core"/>
    <w:p>
      <w:pPr>
        <w:pStyle w:val="Heading3"/>
      </w:pPr>
      <w:r>
        <w:t xml:space="preserve">Phase 2 Gate — Financial Core</w:t>
      </w:r>
    </w:p>
    <w:p>
      <w:pPr>
        <w:pStyle w:val="FirstParagraph"/>
      </w:pPr>
      <w:r>
        <w:rPr>
          <w:b/>
          <w:bCs/>
        </w:rPr>
        <w:t xml:space="preserve">Entry criteria:</w:t>
      </w:r>
      <w:r>
        <w:t xml:space="preserve"> </w:t>
      </w:r>
      <w:r>
        <w:t xml:space="preserve">Phase 1 gate passed and signed.</w:t>
      </w:r>
    </w:p>
    <w:p>
      <w:pPr>
        <w:pStyle w:val="BodyText"/>
      </w:pPr>
      <w:r>
        <w:rPr>
          <w:b/>
          <w:bCs/>
        </w:rPr>
        <w:t xml:space="preserve">Exit criteria:</w:t>
      </w:r>
    </w:p>
    <w:p>
      <w:pPr>
        <w:pStyle w:val="Compact"/>
        <w:numPr>
          <w:ilvl w:val="0"/>
          <w:numId w:val="1020"/>
        </w:numPr>
      </w:pPr>
      <w:r>
        <w:t xml:space="preserve">Trial Balance, P&amp;L, Balance Sheet, and Cash Flow Statement (IAS 7) generated correctly for a test fiscal period; figures verified by Finance Director.</w:t>
      </w:r>
    </w:p>
    <w:p>
      <w:pPr>
        <w:pStyle w:val="Compact"/>
        <w:numPr>
          <w:ilvl w:val="0"/>
          <w:numId w:val="1020"/>
        </w:numPr>
      </w:pPr>
      <w:r>
        <w:t xml:space="preserve">Parliamentary budget vote tracking: test vote reaches 80% threshold — alert generated; 95% threshold — alert generated; over-100% expenditure attempt blocked (BR-014).</w:t>
      </w:r>
    </w:p>
    <w:p>
      <w:pPr>
        <w:pStyle w:val="Compact"/>
        <w:numPr>
          <w:ilvl w:val="0"/>
          <w:numId w:val="1020"/>
        </w:numPr>
      </w:pPr>
      <w:r>
        <w:t xml:space="preserve">GL hash chain integrity check passes: no broken links on test dataset of ≥ 500 GL entries (BR-013).</w:t>
      </w:r>
    </w:p>
    <w:p>
      <w:pPr>
        <w:pStyle w:val="Compact"/>
        <w:numPr>
          <w:ilvl w:val="0"/>
          <w:numId w:val="1020"/>
        </w:numPr>
      </w:pPr>
      <w:r>
        <w:t xml:space="preserve">AR aging report shows correct bucket distribution; agent remittance FIFO allocation verified against TC-AGT-xxx oracle test cases.</w:t>
      </w:r>
    </w:p>
    <w:p>
      <w:pPr>
        <w:pStyle w:val="Compact"/>
        <w:numPr>
          <w:ilvl w:val="0"/>
          <w:numId w:val="1020"/>
        </w:numPr>
      </w:pPr>
      <w:r>
        <w:t xml:space="preserve">Farmer payment batch (10 test farmers): deductions applied correctly; bulk MTN MoMo payment file generated in correct format.</w:t>
      </w:r>
    </w:p>
    <w:p>
      <w:pPr>
        <w:pStyle w:val="Compact"/>
        <w:numPr>
          <w:ilvl w:val="0"/>
          <w:numId w:val="1020"/>
        </w:numPr>
      </w:pPr>
      <w:r>
        <w:t xml:space="preserve">Executive Dashboard App tested: P&amp;L snapshot, Trial Balance summary, cash position display correctly.</w:t>
      </w:r>
    </w:p>
    <w:p>
      <w:pPr>
        <w:pStyle w:val="Compact"/>
        <w:numPr>
          <w:ilvl w:val="0"/>
          <w:numId w:val="1020"/>
        </w:numPr>
      </w:pPr>
      <w:r>
        <w:t xml:space="preserve">BIRDC Finance Director signs Phase 2 UAT acceptance form.</w:t>
      </w:r>
    </w:p>
    <w:bookmarkEnd w:id="44"/>
    <w:bookmarkStart w:id="45" w:name="phase-3-gate--supply-chain-and-farmers"/>
    <w:p>
      <w:pPr>
        <w:pStyle w:val="Heading3"/>
      </w:pPr>
      <w:r>
        <w:t xml:space="preserve">Phase 3 Gate — Supply Chain and Farmers</w:t>
      </w:r>
    </w:p>
    <w:p>
      <w:pPr>
        <w:pStyle w:val="FirstParagraph"/>
      </w:pPr>
      <w:r>
        <w:rPr>
          <w:b/>
          <w:bCs/>
        </w:rPr>
        <w:t xml:space="preserve">Entry criteria:</w:t>
      </w:r>
      <w:r>
        <w:t xml:space="preserve"> </w:t>
      </w:r>
      <w:r>
        <w:t xml:space="preserve">Phase 2 gate passed and signed.</w:t>
      </w:r>
    </w:p>
    <w:p>
      <w:pPr>
        <w:pStyle w:val="BodyText"/>
      </w:pPr>
      <w:r>
        <w:rPr>
          <w:b/>
          <w:bCs/>
        </w:rPr>
        <w:t xml:space="preserve">Exit criteria:</w:t>
      </w:r>
    </w:p>
    <w:p>
      <w:pPr>
        <w:pStyle w:val="Compact"/>
        <w:numPr>
          <w:ilvl w:val="0"/>
          <w:numId w:val="1021"/>
        </w:numPr>
      </w:pPr>
      <w:r>
        <w:t xml:space="preserve">5-stage farmer procurement workflow completed end-to-end with ≥ 20 test farmer records: Stage 1 (bulk PO) through Stage 5 (GL posting DR Raw Material Inventory / CR Cooperative Payable).</w:t>
      </w:r>
    </w:p>
    <w:p>
      <w:pPr>
        <w:pStyle w:val="Compact"/>
        <w:numPr>
          <w:ilvl w:val="0"/>
          <w:numId w:val="1021"/>
        </w:numPr>
      </w:pPr>
      <w:r>
        <w:t xml:space="preserve">BR-011 verified: batch cannot advance to Stage 4 if any kg is unallocated to a farmer.</w:t>
      </w:r>
    </w:p>
    <w:p>
      <w:pPr>
        <w:pStyle w:val="Compact"/>
        <w:numPr>
          <w:ilvl w:val="0"/>
          <w:numId w:val="1021"/>
        </w:numPr>
      </w:pPr>
      <w:r>
        <w:t xml:space="preserve">PPDA procurement documentation checklist verified for at least 1 micro, 1 small, and 1 large procurement test case.</w:t>
      </w:r>
    </w:p>
    <w:p>
      <w:pPr>
        <w:pStyle w:val="Compact"/>
        <w:numPr>
          <w:ilvl w:val="0"/>
          <w:numId w:val="1021"/>
        </w:numPr>
      </w:pPr>
      <w:r>
        <w:t xml:space="preserve">Farmer Delivery App tested offline: 5 new farmer registrations, 20 deliveries; 100% synced on reconnect.</w:t>
      </w:r>
    </w:p>
    <w:p>
      <w:pPr>
        <w:pStyle w:val="Compact"/>
        <w:numPr>
          <w:ilvl w:val="0"/>
          <w:numId w:val="1021"/>
        </w:numPr>
      </w:pPr>
      <w:r>
        <w:t xml:space="preserve">BIRDC Administration Officer signs Phase 3 UAT acceptance form.</w:t>
      </w:r>
    </w:p>
    <w:bookmarkEnd w:id="45"/>
    <w:bookmarkStart w:id="46" w:name="phase-4-gate--production-and-quality"/>
    <w:p>
      <w:pPr>
        <w:pStyle w:val="Heading3"/>
      </w:pPr>
      <w:r>
        <w:t xml:space="preserve">Phase 4 Gate — Production and Quality</w:t>
      </w:r>
    </w:p>
    <w:p>
      <w:pPr>
        <w:pStyle w:val="FirstParagraph"/>
      </w:pPr>
      <w:r>
        <w:rPr>
          <w:b/>
          <w:bCs/>
        </w:rPr>
        <w:t xml:space="preserve">Entry criteria:</w:t>
      </w:r>
      <w:r>
        <w:t xml:space="preserve"> </w:t>
      </w:r>
      <w:r>
        <w:t xml:space="preserve">Phase 3 gate passed and signed.</w:t>
      </w:r>
    </w:p>
    <w:p>
      <w:pPr>
        <w:pStyle w:val="BodyText"/>
      </w:pPr>
      <w:r>
        <w:rPr>
          <w:b/>
          <w:bCs/>
        </w:rPr>
        <w:t xml:space="preserve">Exit criteria:</w:t>
      </w:r>
    </w:p>
    <w:p>
      <w:pPr>
        <w:pStyle w:val="Compact"/>
        <w:numPr>
          <w:ilvl w:val="0"/>
          <w:numId w:val="1022"/>
        </w:numPr>
      </w:pPr>
      <w:r>
        <w:t xml:space="preserve">Circular economy mass balance verified for a test production order: input 1,000 kg matooke; outputs recorded; variance within ±2% of input (BR-008).</w:t>
      </w:r>
    </w:p>
    <w:p>
      <w:pPr>
        <w:pStyle w:val="Compact"/>
        <w:numPr>
          <w:ilvl w:val="0"/>
          <w:numId w:val="1022"/>
        </w:numPr>
      </w:pPr>
      <w:r>
        <w:t xml:space="preserve">QC gate (BR-004): API returns error when stock transfer attempted with QC status ≠ "Approved."</w:t>
      </w:r>
    </w:p>
    <w:p>
      <w:pPr>
        <w:pStyle w:val="Compact"/>
        <w:numPr>
          <w:ilvl w:val="0"/>
          <w:numId w:val="1022"/>
        </w:numPr>
      </w:pPr>
      <w:r>
        <w:t xml:space="preserve">CoA generated in correct format for domestic market and ≥ 2 export market formats (South Korea, EU or Saudi Arabia).</w:t>
      </w:r>
    </w:p>
    <w:p>
      <w:pPr>
        <w:pStyle w:val="Compact"/>
        <w:numPr>
          <w:ilvl w:val="0"/>
          <w:numId w:val="1022"/>
        </w:numPr>
      </w:pPr>
      <w:r>
        <w:t xml:space="preserve">Factory Floor App tested: production completion quantities submitted via app; QC results submitted.</w:t>
      </w:r>
    </w:p>
    <w:p>
      <w:pPr>
        <w:pStyle w:val="Compact"/>
        <w:numPr>
          <w:ilvl w:val="0"/>
          <w:numId w:val="1022"/>
        </w:numPr>
      </w:pPr>
      <w:r>
        <w:t xml:space="preserve">BIRDC QC Manager signs Phase 4 UAT acceptance form.</w:t>
      </w:r>
    </w:p>
    <w:bookmarkEnd w:id="46"/>
    <w:bookmarkStart w:id="47" w:name="phase-5-gate--people"/>
    <w:p>
      <w:pPr>
        <w:pStyle w:val="Heading3"/>
      </w:pPr>
      <w:r>
        <w:t xml:space="preserve">Phase 5 Gate — People</w:t>
      </w:r>
    </w:p>
    <w:p>
      <w:pPr>
        <w:pStyle w:val="FirstParagraph"/>
      </w:pPr>
      <w:r>
        <w:rPr>
          <w:b/>
          <w:bCs/>
        </w:rPr>
        <w:t xml:space="preserve">Entry criteria:</w:t>
      </w:r>
      <w:r>
        <w:t xml:space="preserve"> </w:t>
      </w:r>
      <w:r>
        <w:t xml:space="preserve">Phase 4 gate passed and signed.</w:t>
      </w:r>
    </w:p>
    <w:p>
      <w:pPr>
        <w:pStyle w:val="BodyText"/>
      </w:pPr>
      <w:r>
        <w:rPr>
          <w:b/>
          <w:bCs/>
        </w:rPr>
        <w:t xml:space="preserve">Exit criteria:</w:t>
      </w:r>
    </w:p>
    <w:p>
      <w:pPr>
        <w:pStyle w:val="Compact"/>
        <w:numPr>
          <w:ilvl w:val="0"/>
          <w:numId w:val="1023"/>
        </w:numPr>
      </w:pPr>
      <w:r>
        <w:t xml:space="preserve">PAYE calculation verified for ≥ 5 payroll test cases against Uganda 2024/25 tax band oracles (see Test Plan TC-PAY-xxx).</w:t>
      </w:r>
    </w:p>
    <w:p>
      <w:pPr>
        <w:pStyle w:val="Compact"/>
        <w:numPr>
          <w:ilvl w:val="0"/>
          <w:numId w:val="1023"/>
        </w:numPr>
      </w:pPr>
      <w:r>
        <w:t xml:space="preserve">NSSF calculation verified: employer 10%, employee 5% (BR-010 and NSSF Act).</w:t>
      </w:r>
    </w:p>
    <w:p>
      <w:pPr>
        <w:pStyle w:val="Compact"/>
        <w:numPr>
          <w:ilvl w:val="0"/>
          <w:numId w:val="1023"/>
        </w:numPr>
      </w:pPr>
      <w:r>
        <w:t xml:space="preserve">LST deduction applied at the correct rate for Bushenyi local government.</w:t>
      </w:r>
    </w:p>
    <w:p>
      <w:pPr>
        <w:pStyle w:val="Compact"/>
        <w:numPr>
          <w:ilvl w:val="0"/>
          <w:numId w:val="1023"/>
        </w:numPr>
      </w:pPr>
      <w:r>
        <w:t xml:space="preserve">Payroll lock tested: Finance Manager locks payroll; attempt to modify a line item returns an error.</w:t>
      </w:r>
    </w:p>
    <w:p>
      <w:pPr>
        <w:pStyle w:val="Compact"/>
        <w:numPr>
          <w:ilvl w:val="0"/>
          <w:numId w:val="1023"/>
        </w:numPr>
      </w:pPr>
      <w:r>
        <w:t xml:space="preserve">ZKTeco biometric data imported; attendance records match device export exactly; manual override requires Finance Manager approval and is logged.</w:t>
      </w:r>
    </w:p>
    <w:p>
      <w:pPr>
        <w:pStyle w:val="Compact"/>
        <w:numPr>
          <w:ilvl w:val="0"/>
          <w:numId w:val="1023"/>
        </w:numPr>
      </w:pPr>
      <w:r>
        <w:t xml:space="preserve">NSSF remittance schedule generated in the exact NSSF Uganda format.</w:t>
      </w:r>
    </w:p>
    <w:p>
      <w:pPr>
        <w:pStyle w:val="Compact"/>
        <w:numPr>
          <w:ilvl w:val="0"/>
          <w:numId w:val="1023"/>
        </w:numPr>
      </w:pPr>
      <w:r>
        <w:t xml:space="preserve">HR Self-Service App tested: leave application, payslip view, attendance view.</w:t>
      </w:r>
    </w:p>
    <w:p>
      <w:pPr>
        <w:pStyle w:val="Compact"/>
        <w:numPr>
          <w:ilvl w:val="0"/>
          <w:numId w:val="1023"/>
        </w:numPr>
      </w:pPr>
      <w:r>
        <w:t xml:space="preserve">BIRDC Finance Director and HR Manager sign Phase 5 UAT acceptance form.</w:t>
      </w:r>
    </w:p>
    <w:bookmarkEnd w:id="47"/>
    <w:bookmarkStart w:id="48" w:name="Xa4e2ede77333b0032357f8d2fe230c9ebf2c26f"/>
    <w:p>
      <w:pPr>
        <w:pStyle w:val="Heading3"/>
      </w:pPr>
      <w:r>
        <w:t xml:space="preserve">Phase 6 Gate — Research, Administration, and Compliance</w:t>
      </w:r>
    </w:p>
    <w:p>
      <w:pPr>
        <w:pStyle w:val="FirstParagraph"/>
      </w:pPr>
      <w:r>
        <w:rPr>
          <w:b/>
          <w:bCs/>
        </w:rPr>
        <w:t xml:space="preserve">Entry criteria:</w:t>
      </w:r>
      <w:r>
        <w:t xml:space="preserve"> </w:t>
      </w:r>
      <w:r>
        <w:t xml:space="preserve">Phase 5 gate passed and signed.</w:t>
      </w:r>
    </w:p>
    <w:p>
      <w:pPr>
        <w:pStyle w:val="BodyText"/>
      </w:pPr>
      <w:r>
        <w:rPr>
          <w:b/>
          <w:bCs/>
        </w:rPr>
        <w:t xml:space="preserve">Exit criteria:</w:t>
      </w:r>
    </w:p>
    <w:p>
      <w:pPr>
        <w:pStyle w:val="Compact"/>
        <w:numPr>
          <w:ilvl w:val="0"/>
          <w:numId w:val="1024"/>
        </w:numPr>
      </w:pPr>
      <w:r>
        <w:t xml:space="preserve">PPDA procurement register contains all 3 test procurement transactions with correct document status.</w:t>
      </w:r>
    </w:p>
    <w:p>
      <w:pPr>
        <w:pStyle w:val="Compact"/>
        <w:numPr>
          <w:ilvl w:val="0"/>
          <w:numId w:val="1024"/>
        </w:numPr>
      </w:pPr>
      <w:r>
        <w:t xml:space="preserve">R&amp;D banana variety database loaded with ≥ 5 real cultivar records.</w:t>
      </w:r>
    </w:p>
    <w:p>
      <w:pPr>
        <w:pStyle w:val="Compact"/>
        <w:numPr>
          <w:ilvl w:val="0"/>
          <w:numId w:val="1024"/>
        </w:numPr>
      </w:pPr>
      <w:r>
        <w:t xml:space="preserve">System Administration panel: user roles and permissions matrix tested for all 8 role layers; role changes effective immediately.</w:t>
      </w:r>
    </w:p>
    <w:p>
      <w:pPr>
        <w:pStyle w:val="Compact"/>
        <w:numPr>
          <w:ilvl w:val="0"/>
          <w:numId w:val="1024"/>
        </w:numPr>
      </w:pPr>
      <w:r>
        <w:t xml:space="preserve">Audit log query for any 30-day test period returns within 5 seconds.</w:t>
      </w:r>
    </w:p>
    <w:p>
      <w:pPr>
        <w:pStyle w:val="Compact"/>
        <w:numPr>
          <w:ilvl w:val="0"/>
          <w:numId w:val="1024"/>
        </w:numPr>
      </w:pPr>
      <w:r>
        <w:t xml:space="preserve">BIRDC IT Administrator signs Phase 6 UAT acceptance form.</w:t>
      </w:r>
    </w:p>
    <w:bookmarkEnd w:id="48"/>
    <w:bookmarkStart w:id="49" w:name="X48b335d5486033e0edb2b51fbb50f839bc90030"/>
    <w:p>
      <w:pPr>
        <w:pStyle w:val="Heading3"/>
      </w:pPr>
      <w:r>
        <w:t xml:space="preserve">Phase 7 Gate — Integration, Hardening, and Go-Live</w:t>
      </w:r>
    </w:p>
    <w:p>
      <w:pPr>
        <w:pStyle w:val="FirstParagraph"/>
      </w:pPr>
      <w:r>
        <w:rPr>
          <w:b/>
          <w:bCs/>
        </w:rPr>
        <w:t xml:space="preserve">Entry criteria:</w:t>
      </w:r>
      <w:r>
        <w:t xml:space="preserve"> </w:t>
      </w:r>
      <w:r>
        <w:t xml:space="preserve">Phases 1–6 gates all passed and signed.</w:t>
      </w:r>
    </w:p>
    <w:p>
      <w:pPr>
        <w:pStyle w:val="BodyText"/>
      </w:pPr>
      <w:r>
        <w:rPr>
          <w:b/>
          <w:bCs/>
        </w:rPr>
        <w:t xml:space="preserve">Exit criteria:</w:t>
      </w:r>
    </w:p>
    <w:p>
      <w:pPr>
        <w:pStyle w:val="Compact"/>
        <w:numPr>
          <w:ilvl w:val="0"/>
          <w:numId w:val="1025"/>
        </w:numPr>
      </w:pPr>
      <w:r>
        <w:t xml:space="preserve">Full regression suite (all modules) passes with zero failures.</w:t>
      </w:r>
    </w:p>
    <w:p>
      <w:pPr>
        <w:pStyle w:val="Compact"/>
        <w:numPr>
          <w:ilvl w:val="0"/>
          <w:numId w:val="1025"/>
        </w:numPr>
      </w:pPr>
      <w:r>
        <w:t xml:space="preserve">EFRIS fully wired across all document types: sales invoices, credit notes, POS receipts — each returns a valid FDN in staging.</w:t>
      </w:r>
    </w:p>
    <w:p>
      <w:pPr>
        <w:pStyle w:val="Compact"/>
        <w:numPr>
          <w:ilvl w:val="0"/>
          <w:numId w:val="1025"/>
        </w:numPr>
      </w:pPr>
      <w:r>
        <w:t xml:space="preserve">OWASP Top 10 (web) and OWASP Mobile Top 10 audit passed: zero Critical or High findings open.</w:t>
      </w:r>
    </w:p>
    <w:p>
      <w:pPr>
        <w:pStyle w:val="Compact"/>
        <w:numPr>
          <w:ilvl w:val="0"/>
          <w:numId w:val="1025"/>
        </w:numPr>
      </w:pPr>
      <w:r>
        <w:t xml:space="preserve">Load test at 50 concurrent users: all P95 thresholds met.</w:t>
      </w:r>
    </w:p>
    <w:p>
      <w:pPr>
        <w:pStyle w:val="Compact"/>
        <w:numPr>
          <w:ilvl w:val="0"/>
          <w:numId w:val="1025"/>
        </w:numPr>
      </w:pPr>
      <w:r>
        <w:t xml:space="preserve">Load test at 140 MT/day peak production scenario: no errors, no timeouts.</w:t>
      </w:r>
    </w:p>
    <w:p>
      <w:pPr>
        <w:pStyle w:val="Compact"/>
        <w:numPr>
          <w:ilvl w:val="0"/>
          <w:numId w:val="1025"/>
        </w:numPr>
      </w:pPr>
      <w:r>
        <w:t xml:space="preserve">OAG audit trail simulation: Finance Director queries any 12-month audit trail; result ≤ 5 seconds; all entries present with actor, IP, timestamp, old/new values.</w:t>
      </w:r>
    </w:p>
    <w:p>
      <w:pPr>
        <w:pStyle w:val="Compact"/>
        <w:numPr>
          <w:ilvl w:val="0"/>
          <w:numId w:val="1025"/>
        </w:numPr>
      </w:pPr>
      <w:r>
        <w:t xml:space="preserve">All staff trained and training attendance recorded.</w:t>
      </w:r>
    </w:p>
    <w:p>
      <w:pPr>
        <w:pStyle w:val="Compact"/>
        <w:numPr>
          <w:ilvl w:val="0"/>
          <w:numId w:val="1025"/>
        </w:numPr>
      </w:pPr>
      <w:r>
        <w:t xml:space="preserve">Production go-live cutover plan reviewed and approved by BIRDC Director and Peter Bamuhigire.</w:t>
      </w:r>
    </w:p>
    <w:p>
      <w:pPr>
        <w:pStyle w:val="Compact"/>
        <w:numPr>
          <w:ilvl w:val="0"/>
          <w:numId w:val="1025"/>
        </w:numPr>
      </w:pPr>
      <w:r>
        <w:t xml:space="preserve">BIRDC Director and Finance Director sign Phase 7 go-live acceptance form.</w:t>
      </w:r>
    </w:p>
    <w:bookmarkEnd w:id="49"/>
    <w:bookmarkEnd w:id="50"/>
    <w:bookmarkStart w:id="51" w:name="Xa249d718cd133aec3e3e487533426a6a1b5e473"/>
    <w:p>
      <w:pPr>
        <w:pStyle w:val="Heading2"/>
      </w:pPr>
      <w:r>
        <w:t xml:space="preserve">8. Context Gaps and Outstanding Actions</w:t>
      </w:r>
    </w:p>
    <w:p>
      <w:pPr>
        <w:pStyle w:val="FirstParagraph"/>
      </w:pPr>
      <w:r>
        <w:t xml:space="preserve">The following gaps were identified during strategy authoring. Resolution is required before the affected test activities can begin.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Affected Test Activity</w:t>
            </w:r>
          </w:p>
        </w:tc>
        <w:tc>
          <w:tcPr/>
          <w:p>
            <w:pPr>
              <w:pStyle w:val="Compact"/>
            </w:pPr>
            <w:r>
              <w:t xml:space="preserve">Required Action</w:t>
            </w:r>
          </w:p>
        </w:tc>
        <w:tc>
          <w:tcPr/>
          <w:p>
            <w:pPr>
              <w:pStyle w:val="Compact"/>
            </w:pPr>
            <w:r>
              <w:t xml:space="preserve">Owner</w:t>
            </w:r>
          </w:p>
        </w:tc>
      </w:tr>
      <w:tr>
        <w:tc>
          <w:tcPr/>
          <w:p>
            <w:pPr>
              <w:pStyle w:val="Compact"/>
            </w:pPr>
            <w:r>
              <w:t xml:space="preserve">GAP-001</w:t>
            </w:r>
          </w:p>
        </w:tc>
        <w:tc>
          <w:tcPr/>
          <w:p>
            <w:pPr>
              <w:pStyle w:val="Compact"/>
            </w:pPr>
            <w:r>
              <w:t xml:space="preserve">URA EFRIS sandbox credentials and endpoint URL not confirmed.</w:t>
            </w:r>
          </w:p>
        </w:tc>
        <w:tc>
          <w:tcPr/>
          <w:p>
            <w:pPr>
              <w:pStyle w:val="Compact"/>
            </w:pPr>
            <w:r>
              <w:t xml:space="preserve">Integration testing (Phase 1), System testing (Phase 1 and Phase 7).</w:t>
            </w:r>
          </w:p>
        </w:tc>
        <w:tc>
          <w:tcPr/>
          <w:p>
            <w:pPr>
              <w:pStyle w:val="Compact"/>
            </w:pPr>
            <w:r>
              <w:t xml:space="preserve">Obtain sandbox access credentials from URA Developer Portal. Confirm sandbox base URL and API version.</w:t>
            </w:r>
          </w:p>
        </w:tc>
        <w:tc>
          <w:tcPr/>
          <w:p>
            <w:pPr>
              <w:pStyle w:val="Compact"/>
            </w:pPr>
            <w:r>
              <w:t xml:space="preserve">Peter Bamuhigire / BIRDC Finance Director</w:t>
            </w:r>
          </w:p>
        </w:tc>
      </w:tr>
      <w:tr>
        <w:tc>
          <w:tcPr/>
          <w:p>
            <w:pPr>
              <w:pStyle w:val="Compact"/>
            </w:pPr>
            <w:r>
              <w:t xml:space="preserve">GAP-002</w:t>
            </w:r>
          </w:p>
        </w:tc>
        <w:tc>
          <w:tcPr/>
          <w:p>
            <w:pPr>
              <w:pStyle w:val="Compact"/>
            </w:pPr>
            <w:r>
              <w:t xml:space="preserve">MTN MoMo sandbox API key and collection URL not confirmed.</w:t>
            </w:r>
          </w:p>
        </w:tc>
        <w:tc>
          <w:tcPr/>
          <w:p>
            <w:pPr>
              <w:pStyle w:val="Compact"/>
            </w:pPr>
            <w:r>
              <w:t xml:space="preserve">Integration testing (Phase 1 — agent remittance push, Phase 3 — farmer bulk payment, Phase 5 — salary payment).</w:t>
            </w:r>
          </w:p>
        </w:tc>
        <w:tc>
          <w:tcPr/>
          <w:p>
            <w:pPr>
              <w:pStyle w:val="Compact"/>
            </w:pPr>
            <w:r>
              <w:t xml:space="preserve">Obtain from MTN Uganda Developer Portal (momodeveloper.mtn.com). Register BIRDC as a business API user.</w:t>
            </w:r>
          </w:p>
        </w:tc>
        <w:tc>
          <w:tcPr/>
          <w:p>
            <w:pPr>
              <w:pStyle w:val="Compact"/>
            </w:pPr>
            <w:r>
              <w:t xml:space="preserve">Peter Bamuhigire / BIRDC Director</w:t>
            </w:r>
          </w:p>
        </w:tc>
      </w:tr>
      <w:tr>
        <w:tc>
          <w:tcPr/>
          <w:p>
            <w:pPr>
              <w:pStyle w:val="Compact"/>
            </w:pPr>
            <w:r>
              <w:t xml:space="preserve">GAP-003</w:t>
            </w:r>
          </w:p>
        </w:tc>
        <w:tc>
          <w:tcPr/>
          <w:p>
            <w:pPr>
              <w:pStyle w:val="Compact"/>
            </w:pPr>
            <w:r>
              <w:t xml:space="preserve">Airtel Money sandbox credentials not confirmed.</w:t>
            </w:r>
          </w:p>
        </w:tc>
        <w:tc>
          <w:tcPr/>
          <w:p>
            <w:pPr>
              <w:pStyle w:val="Compact"/>
            </w:pPr>
            <w:r>
              <w:t xml:space="preserve">Integration testing (same scope as GAP-002 — dual-provider redundancy).</w:t>
            </w:r>
          </w:p>
        </w:tc>
        <w:tc>
          <w:tcPr/>
          <w:p>
            <w:pPr>
              <w:pStyle w:val="Compact"/>
            </w:pPr>
            <w:r>
              <w:t xml:space="preserve">Obtain from Airtel Africa developer programme.</w:t>
            </w:r>
          </w:p>
        </w:tc>
        <w:tc>
          <w:tcPr/>
          <w:p>
            <w:pPr>
              <w:pStyle w:val="Compact"/>
            </w:pPr>
            <w:r>
              <w:t xml:space="preserve">Peter Bamuhigire / BIRDC Director</w:t>
            </w:r>
          </w:p>
        </w:tc>
      </w:tr>
      <w:tr>
        <w:tc>
          <w:tcPr/>
          <w:p>
            <w:pPr>
              <w:pStyle w:val="Compact"/>
            </w:pPr>
            <w:r>
              <w:t xml:space="preserve">GAP-004</w:t>
            </w:r>
          </w:p>
        </w:tc>
        <w:tc>
          <w:tcPr/>
          <w:p>
            <w:pPr>
              <w:pStyle w:val="Compact"/>
            </w:pPr>
            <w:r>
              <w:t xml:space="preserve">ZKTeco device model and SDK version not confirmed.</w:t>
            </w:r>
          </w:p>
        </w:tc>
        <w:tc>
          <w:tcPr/>
          <w:p>
            <w:pPr>
              <w:pStyle w:val="Compact"/>
            </w:pPr>
            <w:r>
              <w:t xml:space="preserve">Integration testing (Phase 5 — biometric attendance import).</w:t>
            </w:r>
          </w:p>
        </w:tc>
        <w:tc>
          <w:tcPr/>
          <w:p>
            <w:pPr>
              <w:pStyle w:val="Compact"/>
            </w:pPr>
            <w:r>
              <w:t xml:space="preserve">Confirm ZKTeco model number and SDK from the BIRDC IT Administrator. Obtain SDK documentation before HR module development.</w:t>
            </w:r>
          </w:p>
        </w:tc>
        <w:tc>
          <w:tcPr/>
          <w:p>
            <w:pPr>
              <w:pStyle w:val="Compact"/>
            </w:pPr>
            <w:r>
              <w:t xml:space="preserve">BIRDC IT Administrator</w:t>
            </w:r>
          </w:p>
        </w:tc>
      </w:tr>
      <w:tr>
        <w:tc>
          <w:tcPr/>
          <w:p>
            <w:pPr>
              <w:pStyle w:val="Compact"/>
            </w:pPr>
            <w:r>
              <w:t xml:space="preserve">GAP-005</w:t>
            </w:r>
          </w:p>
        </w:tc>
        <w:tc>
          <w:tcPr/>
          <w:p>
            <w:pPr>
              <w:pStyle w:val="Compact"/>
            </w:pPr>
            <w:r>
              <w:t xml:space="preserve">Uganda PAYE tax bands for 2025/26 financial year not yet confirmed (URA may publish revised bands).</w:t>
            </w:r>
          </w:p>
        </w:tc>
        <w:tc>
          <w:tcPr/>
          <w:p>
            <w:pPr>
              <w:pStyle w:val="Compact"/>
            </w:pPr>
            <w:r>
              <w:t xml:space="preserve">Unit testing (TC-PAY-xxx).</w:t>
            </w:r>
          </w:p>
        </w:tc>
        <w:tc>
          <w:tcPr/>
          <w:p>
            <w:pPr>
              <w:pStyle w:val="Compact"/>
            </w:pPr>
            <w:r>
              <w:t xml:space="preserve">Confirm URA 2025/26 PAYE bands when published. Update oracles in Test Plan if bands change from 2024/25.</w:t>
            </w:r>
          </w:p>
        </w:tc>
        <w:tc>
          <w:tcPr/>
          <w:p>
            <w:pPr>
              <w:pStyle w:val="Compact"/>
            </w:pPr>
            <w:r>
              <w:t xml:space="preserve">Peter Bamuhigire</w:t>
            </w:r>
          </w:p>
        </w:tc>
      </w:tr>
      <w:tr>
        <w:tc>
          <w:tcPr/>
          <w:p>
            <w:pPr>
              <w:pStyle w:val="Compact"/>
            </w:pPr>
            <w:r>
              <w:t xml:space="preserve">GAP-006</w:t>
            </w:r>
          </w:p>
        </w:tc>
        <w:tc>
          <w:tcPr/>
          <w:p>
            <w:pPr>
              <w:pStyle w:val="Compact"/>
            </w:pPr>
            <w:r>
              <w:t xml:space="preserve">Staging server hardware specification and availability date not confirmed.</w:t>
            </w:r>
          </w:p>
        </w:tc>
        <w:tc>
          <w:tcPr/>
          <w:p>
            <w:pPr>
              <w:pStyle w:val="Compact"/>
            </w:pPr>
            <w:r>
              <w:t xml:space="preserve">All test levels from integration onwards.</w:t>
            </w:r>
          </w:p>
        </w:tc>
        <w:tc>
          <w:tcPr/>
          <w:p>
            <w:pPr>
              <w:pStyle w:val="Compact"/>
            </w:pPr>
            <w:r>
              <w:t xml:space="preserve">BIRDC IT Administrator to confirm staging hardware and expected ready date.</w:t>
            </w:r>
          </w:p>
        </w:tc>
        <w:tc>
          <w:tcPr/>
          <w:p>
            <w:pPr>
              <w:pStyle w:val="Compact"/>
            </w:pPr>
            <w:r>
              <w:t xml:space="preserve">BIRDC IT Administrator</w:t>
            </w:r>
          </w:p>
        </w:tc>
      </w:tr>
    </w:tbl>
    <w:bookmarkEnd w:id="51"/>
    <w:bookmarkEnd w:id="5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 — BIRDC ERP</dc:title>
  <dc:creator>Peter Bamuhigire, ICT Consultant (techguypeter.com) for PIBID/BIRDC</dc:creator>
  <cp:keywords/>
  <dcterms:created xsi:type="dcterms:W3CDTF">2026-04-05T16:51:55Z</dcterms:created>
  <dcterms:modified xsi:type="dcterms:W3CDTF">2026-04-05T16:51:55Z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IEEE 829 / IEEE 1012 Compliant Test Strategy</vt:lpwstr>
  </property>
  <property fmtid="{D5CDD505-2E9C-101B-9397-08002B2CF9AE}" pid="4" name="version">
    <vt:lpwstr>1.0</vt:lpwstr>
  </property>
</Properties>
</file>