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Test Strategy</w:t>
      </w:r>
    </w:p>
    <w:p>
      <w:pPr>
        <w:pStyle w:val="Subtitle"/>
      </w:pPr>
      <w:r>
        <w:t xml:space="preserve">Testing Documentation — Quality Assurance Strategy</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Project</w:t>
            </w:r>
          </w:p>
        </w:tc>
        <w:tc>
          <w:tcPr/>
          <w:p>
            <w:pPr>
              <w:pStyle w:val="Compact"/>
            </w:pPr>
            <w:r>
              <w:t xml:space="preserve">Longhorn ERP</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Author</w:t>
            </w:r>
          </w:p>
        </w:tc>
        <w:tc>
          <w:tcPr/>
          <w:p>
            <w:pPr>
              <w:pStyle w:val="Compact"/>
            </w:pPr>
            <w:r>
              <w:t xml:space="preserve">Peter Bamuhigire</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bookmarkStart w:id="27" w:name="test-objectives-and-scope"/>
    <w:p>
      <w:pPr>
        <w:pStyle w:val="Heading1"/>
      </w:pPr>
      <w:r>
        <w:t xml:space="preserve">Test Objectives and Scope</w:t>
      </w:r>
    </w:p>
    <w:bookmarkStart w:id="19" w:name="Xa085ed9b62f869c3c0e4c5cd798bb79ca8c5036"/>
    <w:p>
      <w:pPr>
        <w:pStyle w:val="Heading2"/>
      </w:pPr>
      <w:r>
        <w:t xml:space="preserve">1.1 Test Objectives</w:t>
      </w:r>
    </w:p>
    <w:p>
      <w:pPr>
        <w:pStyle w:val="FirstParagraph"/>
      </w:pPr>
      <w:r>
        <w:t xml:space="preserve">The test strategy for Longhorn ERP is grounded in IEEE 1012-2016 Verification and Validation (V&amp;V) requirements. The objectives of the test programme are:</w:t>
      </w:r>
    </w:p>
    <w:p>
      <w:pPr>
        <w:pStyle w:val="Compact"/>
        <w:numPr>
          <w:ilvl w:val="0"/>
          <w:numId w:val="1001"/>
        </w:numPr>
      </w:pPr>
      <w:r>
        <w:t xml:space="preserve">Verify that every Software Requirements Specification (SRS) functional requirement (FR-</w:t>
      </w:r>
      <w:r>
        <w:rPr>
          <w:i/>
          <w:iCs/>
        </w:rPr>
        <w:t xml:space="preserve">-</w:t>
      </w:r>
      <w:r>
        <w:t xml:space="preserve">) is implemented correctly and completely before any release is approved.</w:t>
      </w:r>
    </w:p>
    <w:p>
      <w:pPr>
        <w:pStyle w:val="Compact"/>
        <w:numPr>
          <w:ilvl w:val="0"/>
          <w:numId w:val="1001"/>
        </w:numPr>
      </w:pPr>
      <w:r>
        <w:t xml:space="preserve">Validate that non-functional requirements (NFRs) — including performance, availability, and security targets — are met under representative load conditions.</w:t>
      </w:r>
    </w:p>
    <w:p>
      <w:pPr>
        <w:pStyle w:val="Compact"/>
        <w:numPr>
          <w:ilvl w:val="0"/>
          <w:numId w:val="1001"/>
        </w:numPr>
      </w:pPr>
      <w:r>
        <w:t xml:space="preserve">Detect tenant data leakage between logical tenants before any code reaches the staging environment.</w:t>
      </w:r>
    </w:p>
    <w:p>
      <w:pPr>
        <w:pStyle w:val="Compact"/>
        <w:numPr>
          <w:ilvl w:val="0"/>
          <w:numId w:val="1001"/>
        </w:numPr>
      </w:pPr>
      <w:r>
        <w:t xml:space="preserve">Confirm that all financial calculations (general ledger postings, payroll computation, asset depreciation, cooperative bulk payments) produce arithmetically correct results under both normal and boundary conditions.</w:t>
      </w:r>
    </w:p>
    <w:p>
      <w:pPr>
        <w:pStyle w:val="Compact"/>
        <w:numPr>
          <w:ilvl w:val="0"/>
          <w:numId w:val="1001"/>
        </w:numPr>
      </w:pPr>
      <w:r>
        <w:t xml:space="preserve">Ensure that every Critical and High defect discovered during testing has a corresponding automated regression test added before the defect is marked Closed.</w:t>
      </w:r>
    </w:p>
    <w:p>
      <w:pPr>
        <w:pStyle w:val="Compact"/>
        <w:numPr>
          <w:ilvl w:val="0"/>
          <w:numId w:val="1001"/>
        </w:numPr>
      </w:pPr>
      <w:r>
        <w:t xml:space="preserve">Maintain PHPStan level 8 zero-error compliance and PHP CS Fixer zero-violation compliance on every commit throughout the development lifecycle.</w:t>
      </w:r>
    </w:p>
    <w:bookmarkEnd w:id="19"/>
    <w:bookmarkStart w:id="22" w:name="X3378fde8998068a01e48267892e5cd923e9bc15"/>
    <w:p>
      <w:pPr>
        <w:pStyle w:val="Heading2"/>
      </w:pPr>
      <w:r>
        <w:t xml:space="preserve">1.2 Scope</w:t>
      </w:r>
    </w:p>
    <w:bookmarkStart w:id="20" w:name="X2538a351e726bbc3ecc43305a7c905d579c0e9e"/>
    <w:p>
      <w:pPr>
        <w:pStyle w:val="Heading3"/>
      </w:pPr>
      <w:r>
        <w:t xml:space="preserve">1.2.1 In Scope</w:t>
      </w:r>
    </w:p>
    <w:p>
      <w:pPr>
        <w:pStyle w:val="FirstParagraph"/>
      </w:pPr>
      <w:r>
        <w:t xml:space="preserve">The following system components are within scope for all test levels:</w:t>
      </w:r>
    </w:p>
    <w:p>
      <w:pPr>
        <w:pStyle w:val="Compact"/>
        <w:numPr>
          <w:ilvl w:val="0"/>
          <w:numId w:val="1002"/>
        </w:numPr>
      </w:pPr>
      <w:r>
        <w:t xml:space="preserve">All 16 Longhorn ERP functional modules: General Ledger, Accounts Payable, Accounts Receivable, Fixed Assets, Payroll, Inventory, Procurement, Sales, HR, Cooperative Management, Project Accounting, Budgeting, Tax (URA EFRIS integration logic), Reporting, User Management, and Tenant Administration.</w:t>
      </w:r>
    </w:p>
    <w:p>
      <w:pPr>
        <w:pStyle w:val="Compact"/>
        <w:numPr>
          <w:ilvl w:val="0"/>
          <w:numId w:val="1002"/>
        </w:numPr>
      </w:pPr>
      <w:r>
        <w:t xml:space="preserve">4 platform services: Authentication (session/JWT), RBAC engine, Audit Log, and Multi-Tenant Isolation layer.</w:t>
      </w:r>
    </w:p>
    <w:p>
      <w:pPr>
        <w:pStyle w:val="Compact"/>
        <w:numPr>
          <w:ilvl w:val="0"/>
          <w:numId w:val="1002"/>
        </w:numPr>
      </w:pPr>
      <w:r>
        <w:t xml:space="preserve">Web interface: PHP 8.3 / Bootstrap 5.3 / jQuery 3.7 rendered in supported browsers.</w:t>
      </w:r>
    </w:p>
    <w:p>
      <w:pPr>
        <w:pStyle w:val="Compact"/>
        <w:numPr>
          <w:ilvl w:val="0"/>
          <w:numId w:val="1002"/>
        </w:numPr>
      </w:pPr>
      <w:r>
        <w:t xml:space="preserve">Mobile interfaces: Android (Kotlin/Jetpack Compose, API 29+) and iOS (Swift/SwiftUI, iOS 16+).</w:t>
      </w:r>
    </w:p>
    <w:p>
      <w:pPr>
        <w:pStyle w:val="Compact"/>
        <w:numPr>
          <w:ilvl w:val="0"/>
          <w:numId w:val="1002"/>
        </w:numPr>
      </w:pPr>
      <w:r>
        <w:t xml:space="preserve">REST API endpoints consumed by the mobile clients.</w:t>
      </w:r>
    </w:p>
    <w:p>
      <w:pPr>
        <w:pStyle w:val="Compact"/>
        <w:numPr>
          <w:ilvl w:val="0"/>
          <w:numId w:val="1002"/>
        </w:numPr>
      </w:pPr>
      <w:r>
        <w:t xml:space="preserve">Database schema integrity: row-level</w:t>
      </w:r>
      <w:r>
        <w:t xml:space="preserve"> </w:t>
      </w:r>
      <w:r>
        <w:rPr>
          <w:rStyle w:val="VerbatimChar"/>
        </w:rPr>
        <w:t xml:space="preserve">tenant_id</w:t>
      </w:r>
      <w:r>
        <w:t xml:space="preserve"> </w:t>
      </w:r>
      <w:r>
        <w:t xml:space="preserve">isolation on all tables in MySQL 9.1.</w:t>
      </w:r>
    </w:p>
    <w:bookmarkEnd w:id="20"/>
    <w:bookmarkStart w:id="21" w:name="Xf77539f03db1161cba06d1e6732c81d7fbeb707"/>
    <w:p>
      <w:pPr>
        <w:pStyle w:val="Heading3"/>
      </w:pPr>
      <w:r>
        <w:t xml:space="preserve">1.2.2 Out of Scope</w:t>
      </w:r>
    </w:p>
    <w:p>
      <w:pPr>
        <w:pStyle w:val="FirstParagraph"/>
      </w:pPr>
      <w:r>
        <w:t xml:space="preserve">The following components are excluded from this test strategy. Defects originating in these components are logged as external dependencies and escalated to the relevant third party.</w:t>
      </w:r>
    </w:p>
    <w:p>
      <w:pPr>
        <w:pStyle w:val="Compact"/>
        <w:numPr>
          <w:ilvl w:val="0"/>
          <w:numId w:val="1003"/>
        </w:numPr>
      </w:pPr>
      <w:r>
        <w:t xml:space="preserve">URA EFRIS server infrastructure and EFRIS API availability.</w:t>
      </w:r>
    </w:p>
    <w:p>
      <w:pPr>
        <w:pStyle w:val="Compact"/>
        <w:numPr>
          <w:ilvl w:val="0"/>
          <w:numId w:val="1003"/>
        </w:numPr>
      </w:pPr>
      <w:r>
        <w:t xml:space="preserve">MTN MoMo, Airtel Money, and Stanbic bank network availability and settlement logic residing on the payment provider side.</w:t>
      </w:r>
    </w:p>
    <w:p>
      <w:pPr>
        <w:pStyle w:val="Compact"/>
        <w:numPr>
          <w:ilvl w:val="0"/>
          <w:numId w:val="1003"/>
        </w:numPr>
      </w:pPr>
      <w:r>
        <w:t xml:space="preserve">Physical weighbridge hardware at cooperative intake points.</w:t>
      </w:r>
    </w:p>
    <w:p>
      <w:pPr>
        <w:pStyle w:val="Compact"/>
        <w:numPr>
          <w:ilvl w:val="0"/>
          <w:numId w:val="1003"/>
        </w:numPr>
      </w:pPr>
      <w:r>
        <w:t xml:space="preserve">Cloud hosting infrastructure (OS-level, network-level, and hardware failures).</w:t>
      </w:r>
    </w:p>
    <w:bookmarkEnd w:id="21"/>
    <w:bookmarkEnd w:id="22"/>
    <w:bookmarkStart w:id="23" w:name="X010a18863b3996cf282c6dff9cca004bda3ee37"/>
    <w:p>
      <w:pPr>
        <w:pStyle w:val="Heading2"/>
      </w:pPr>
      <w:r>
        <w:t xml:space="preserve">1.3 Test Entry Criteria</w:t>
      </w:r>
    </w:p>
    <w:p>
      <w:pPr>
        <w:pStyle w:val="FirstParagraph"/>
      </w:pPr>
      <w:r>
        <w:t xml:space="preserve">Testing at each level may not begin until all of the following conditions are satisfied:</w:t>
      </w:r>
    </w:p>
    <w:p>
      <w:pPr>
        <w:pStyle w:val="Compact"/>
        <w:numPr>
          <w:ilvl w:val="0"/>
          <w:numId w:val="1004"/>
        </w:numPr>
      </w:pPr>
      <w:r>
        <w:t xml:space="preserve">The feature branch has passed PHPStan level 8 with zero errors.</w:t>
      </w:r>
    </w:p>
    <w:p>
      <w:pPr>
        <w:pStyle w:val="Compact"/>
        <w:numPr>
          <w:ilvl w:val="0"/>
          <w:numId w:val="1004"/>
        </w:numPr>
      </w:pPr>
      <w:r>
        <w:t xml:space="preserve">PHP CS Fixer reports zero violations on the branch.</w:t>
      </w:r>
    </w:p>
    <w:p>
      <w:pPr>
        <w:pStyle w:val="Compact"/>
        <w:numPr>
          <w:ilvl w:val="0"/>
          <w:numId w:val="1004"/>
        </w:numPr>
      </w:pPr>
      <w:r>
        <w:t xml:space="preserve">A test environment matching the specification in Section 4 is provisioned and accessible.</w:t>
      </w:r>
    </w:p>
    <w:p>
      <w:pPr>
        <w:pStyle w:val="Compact"/>
        <w:numPr>
          <w:ilvl w:val="0"/>
          <w:numId w:val="1004"/>
        </w:numPr>
      </w:pPr>
      <w:r>
        <w:t xml:space="preserve">All SRS functional requirements targeted by the test cycle carry status "Approved."</w:t>
      </w:r>
    </w:p>
    <w:p>
      <w:pPr>
        <w:pStyle w:val="Compact"/>
        <w:numPr>
          <w:ilvl w:val="0"/>
          <w:numId w:val="1004"/>
        </w:numPr>
      </w:pPr>
      <w:r>
        <w:t xml:space="preserve">Test data fixtures and seed scripts for the relevant module are committed to the repository under</w:t>
      </w:r>
      <w:r>
        <w:t xml:space="preserve"> </w:t>
      </w:r>
      <w:r>
        <w:rPr>
          <w:rStyle w:val="VerbatimChar"/>
        </w:rPr>
        <w:t xml:space="preserve">database/seeders/testing/</w:t>
      </w:r>
      <w:r>
        <w:t xml:space="preserve">.</w:t>
      </w:r>
    </w:p>
    <w:p>
      <w:pPr>
        <w:pStyle w:val="Compact"/>
        <w:numPr>
          <w:ilvl w:val="0"/>
          <w:numId w:val="1004"/>
        </w:numPr>
      </w:pPr>
      <w:r>
        <w:t xml:space="preserve">The defect tracking system is configured with the severity and SLA definitions in Section 5.</w:t>
      </w:r>
    </w:p>
    <w:bookmarkEnd w:id="23"/>
    <w:bookmarkStart w:id="24" w:name="X4dc93fb9e3a62b18c65d52a99048f910ca8697d"/>
    <w:p>
      <w:pPr>
        <w:pStyle w:val="Heading2"/>
      </w:pPr>
      <w:r>
        <w:t xml:space="preserve">1.4 Test Exit Criteria</w:t>
      </w:r>
    </w:p>
    <w:p>
      <w:pPr>
        <w:pStyle w:val="FirstParagraph"/>
      </w:pPr>
      <w:r>
        <w:t xml:space="preserve">A release is approved for promotion to the next environment only when all of the following conditions are satisfied:</w:t>
      </w:r>
    </w:p>
    <w:p>
      <w:pPr>
        <w:pStyle w:val="Compact"/>
        <w:numPr>
          <w:ilvl w:val="0"/>
          <w:numId w:val="1005"/>
        </w:numPr>
      </w:pPr>
      <w:r>
        <w:t xml:space="preserve">100% of planned test cases have been executed.</w:t>
      </w:r>
    </w:p>
    <w:p>
      <w:pPr>
        <w:pStyle w:val="Compact"/>
        <w:numPr>
          <w:ilvl w:val="0"/>
          <w:numId w:val="1005"/>
        </w:numPr>
      </w:pPr>
      <w:r>
        <w:t xml:space="preserve">Zero Critical defects remain in Open or In Progress status.</w:t>
      </w:r>
    </w:p>
    <w:p>
      <w:pPr>
        <w:pStyle w:val="Compact"/>
        <w:numPr>
          <w:ilvl w:val="0"/>
          <w:numId w:val="1005"/>
        </w:numPr>
      </w:pPr>
      <w:r>
        <w:t xml:space="preserve">Zero High defects remain in Open or In Progress status.</w:t>
      </w:r>
    </w:p>
    <w:p>
      <w:pPr>
        <w:pStyle w:val="Compact"/>
        <w:numPr>
          <w:ilvl w:val="0"/>
          <w:numId w:val="1005"/>
        </w:numPr>
      </w:pPr>
      <w:r>
        <w:t xml:space="preserve">All Medium defects have an accepted workaround documented in the defect tracker, or are deferred to the next sprint with product owner approval.</w:t>
      </w:r>
    </w:p>
    <w:p>
      <w:pPr>
        <w:pStyle w:val="Compact"/>
        <w:numPr>
          <w:ilvl w:val="0"/>
          <w:numId w:val="1005"/>
        </w:numPr>
      </w:pPr>
      <w:r>
        <w:t xml:space="preserve">PHPStan level 8 reports zero errors on the release branch.</w:t>
      </w:r>
    </w:p>
    <w:p>
      <w:pPr>
        <w:pStyle w:val="Compact"/>
        <w:numPr>
          <w:ilvl w:val="0"/>
          <w:numId w:val="1005"/>
        </w:numPr>
      </w:pPr>
      <w:r>
        <w:t xml:space="preserve">Code coverage for the release branch is ≥ 80% line coverage per service class (unit test suite).</w:t>
      </w:r>
    </w:p>
    <w:p>
      <w:pPr>
        <w:pStyle w:val="Compact"/>
        <w:numPr>
          <w:ilvl w:val="0"/>
          <w:numId w:val="1005"/>
        </w:numPr>
      </w:pPr>
      <w:r>
        <w:t xml:space="preserve">All NFR performance benchmarks defined in Section 1.5 have been met on the staging environment under the specified load profile.</w:t>
      </w:r>
    </w:p>
    <w:p>
      <w:pPr>
        <w:pStyle w:val="Compact"/>
        <w:numPr>
          <w:ilvl w:val="0"/>
          <w:numId w:val="1005"/>
        </w:numPr>
      </w:pPr>
      <w:r>
        <w:t xml:space="preserve">The UAT sign-off document is signed by the product owner.</w:t>
      </w:r>
    </w:p>
    <w:bookmarkEnd w:id="24"/>
    <w:bookmarkStart w:id="25" w:name="Xef84b163aaf3e88f32537ed33d6398ea663a4ad"/>
    <w:p>
      <w:pPr>
        <w:pStyle w:val="Heading2"/>
      </w:pPr>
      <w:r>
        <w:t xml:space="preserve">1.5 Defect Severity Classification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Examples</w:t>
            </w:r>
          </w:p>
        </w:tc>
      </w:tr>
      <w:tr>
        <w:tc>
          <w:tcPr/>
          <w:p>
            <w:pPr>
              <w:pStyle w:val="Compact"/>
            </w:pPr>
            <w:r>
              <w:rPr>
                <w:b/>
                <w:bCs/>
              </w:rPr>
              <w:t xml:space="preserve">Critical</w:t>
            </w:r>
          </w:p>
        </w:tc>
        <w:tc>
          <w:tcPr/>
          <w:p>
            <w:pPr>
              <w:pStyle w:val="Compact"/>
            </w:pPr>
            <w:r>
              <w:t xml:space="preserve">Data loss, security breach, tenant data leakage, or financial calculation error. System unusable or produces incorrect monetary output.</w:t>
            </w:r>
          </w:p>
        </w:tc>
        <w:tc>
          <w:tcPr/>
          <w:p>
            <w:pPr>
              <w:pStyle w:val="Compact"/>
            </w:pPr>
            <w:r>
              <w:t xml:space="preserve">Cross-tenant GL query returns another tenant's records; payroll computation produces wrong net pay; session token accepted after explicit logout.</w:t>
            </w:r>
          </w:p>
        </w:tc>
      </w:tr>
      <w:tr>
        <w:tc>
          <w:tcPr/>
          <w:p>
            <w:pPr>
              <w:pStyle w:val="Compact"/>
            </w:pPr>
            <w:r>
              <w:rPr>
                <w:b/>
                <w:bCs/>
              </w:rPr>
              <w:t xml:space="preserve">High</w:t>
            </w:r>
          </w:p>
        </w:tc>
        <w:tc>
          <w:tcPr/>
          <w:p>
            <w:pPr>
              <w:pStyle w:val="Compact"/>
            </w:pPr>
            <w:r>
              <w:t xml:space="preserve">Feature broken, user workflow blocked, or financial output incorrect in a non-critical path. No acceptable workaround exists.</w:t>
            </w:r>
          </w:p>
        </w:tc>
        <w:tc>
          <w:tcPr/>
          <w:p>
            <w:pPr>
              <w:pStyle w:val="Compact"/>
            </w:pPr>
            <w:r>
              <w:t xml:space="preserve">Invoice cannot be saved; depreciation run errors mid-batch; mobile JWT not refreshed, causing forced logout on valid session.</w:t>
            </w:r>
          </w:p>
        </w:tc>
      </w:tr>
      <w:tr>
        <w:tc>
          <w:tcPr/>
          <w:p>
            <w:pPr>
              <w:pStyle w:val="Compact"/>
            </w:pPr>
            <w:r>
              <w:rPr>
                <w:b/>
                <w:bCs/>
              </w:rPr>
              <w:t xml:space="preserve">Medium</w:t>
            </w:r>
          </w:p>
        </w:tc>
        <w:tc>
          <w:tcPr/>
          <w:p>
            <w:pPr>
              <w:pStyle w:val="Compact"/>
            </w:pPr>
            <w:r>
              <w:t xml:space="preserve">Degraded performance that does not breach an NFR threshold, or a minor behavioural deviation with an acceptable workaround.</w:t>
            </w:r>
          </w:p>
        </w:tc>
        <w:tc>
          <w:tcPr/>
          <w:p>
            <w:pPr>
              <w:pStyle w:val="Compact"/>
            </w:pPr>
            <w:r>
              <w:t xml:space="preserve">Report export takes 8 s instead of the expected 2 s under low load; a filter field resets unexpectedly but data is not lost.</w:t>
            </w:r>
          </w:p>
        </w:tc>
      </w:tr>
      <w:tr>
        <w:tc>
          <w:tcPr/>
          <w:p>
            <w:pPr>
              <w:pStyle w:val="Compact"/>
            </w:pPr>
            <w:r>
              <w:rPr>
                <w:b/>
                <w:bCs/>
              </w:rPr>
              <w:t xml:space="preserve">Low</w:t>
            </w:r>
          </w:p>
        </w:tc>
        <w:tc>
          <w:tcPr/>
          <w:p>
            <w:pPr>
              <w:pStyle w:val="Compact"/>
            </w:pPr>
            <w:r>
              <w:t xml:space="preserve">Cosmetic issue, typo, or documentation discrepancy. No functional or data impact.</w:t>
            </w:r>
          </w:p>
        </w:tc>
        <w:tc>
          <w:tcPr/>
          <w:p>
            <w:pPr>
              <w:pStyle w:val="Compact"/>
            </w:pPr>
            <w:r>
              <w:t xml:space="preserve">Label capitalisation inconsistent; tooltip text contains a grammatical error.</w:t>
            </w:r>
          </w:p>
        </w:tc>
      </w:tr>
    </w:tbl>
    <w:p>
      <w:pPr>
        <w:pStyle w:val="BodyText"/>
      </w:pPr>
      <w:r>
        <w:t xml:space="preserve">All security defects — regardless of functional impact — are treated as Critical in the defect lifecycle (see Section 5.4).</w:t>
      </w:r>
    </w:p>
    <w:bookmarkEnd w:id="25"/>
    <w:bookmarkStart w:id="26" w:name="X555b8e3191e8e5481dd747db03a3cbdaf7043cb"/>
    <w:p>
      <w:pPr>
        <w:pStyle w:val="Heading2"/>
      </w:pPr>
      <w:r>
        <w:t xml:space="preserve">1.6 Definition of Done for a Test Phase</w:t>
      </w:r>
    </w:p>
    <w:p>
      <w:pPr>
        <w:pStyle w:val="FirstParagraph"/>
      </w:pPr>
      <w:r>
        <w:t xml:space="preserve">A test phase is complete when:</w:t>
      </w:r>
    </w:p>
    <w:p>
      <w:pPr>
        <w:pStyle w:val="Compact"/>
        <w:numPr>
          <w:ilvl w:val="0"/>
          <w:numId w:val="1006"/>
        </w:numPr>
      </w:pPr>
      <w:r>
        <w:t xml:space="preserve">All Critical and High defects are resolved and verified via retest.</w:t>
      </w:r>
    </w:p>
    <w:p>
      <w:pPr>
        <w:pStyle w:val="Compact"/>
        <w:numPr>
          <w:ilvl w:val="0"/>
          <w:numId w:val="1006"/>
        </w:numPr>
      </w:pPr>
      <w:r>
        <w:t xml:space="preserve">All Medium defects either have an accepted workaround or are formally deferred with product owner approval.</w:t>
      </w:r>
    </w:p>
    <w:p>
      <w:pPr>
        <w:pStyle w:val="Compact"/>
        <w:numPr>
          <w:ilvl w:val="0"/>
          <w:numId w:val="1006"/>
        </w:numPr>
      </w:pPr>
      <w:r>
        <w:t xml:space="preserve">PHPStan level 8 reports zero errors on the branch under test.</w:t>
      </w:r>
    </w:p>
    <w:p>
      <w:pPr>
        <w:pStyle w:val="Compact"/>
        <w:numPr>
          <w:ilvl w:val="0"/>
          <w:numId w:val="1006"/>
        </w:numPr>
      </w:pPr>
      <w:r>
        <w:t xml:space="preserve">Every Critical and High defect fix is accompanied by a new automated test case that would have caught the defect before introduction.</w:t>
      </w:r>
    </w:p>
    <w:p>
      <w:pPr>
        <w:pStyle w:val="Compact"/>
        <w:numPr>
          <w:ilvl w:val="0"/>
          <w:numId w:val="1006"/>
        </w:numPr>
      </w:pPr>
      <w:r>
        <w:t xml:space="preserve">Test execution results and defect closure evidence are archived in the project's test management artefact store.</w:t>
      </w:r>
    </w:p>
    <w:bookmarkEnd w:id="26"/>
    <w:bookmarkEnd w:id="27"/>
    <w:bookmarkStart w:id="45" w:name="test-levels"/>
    <w:p>
      <w:pPr>
        <w:pStyle w:val="Heading1"/>
      </w:pPr>
      <w:r>
        <w:t xml:space="preserve">Test Levels</w:t>
      </w:r>
    </w:p>
    <w:p>
      <w:pPr>
        <w:pStyle w:val="FirstParagraph"/>
      </w:pPr>
      <w:r>
        <w:t xml:space="preserve">Longhorn ERP testing is organised into 4 levels that mirror the V-model stages defined in IEEE 1012-2016. Each level specifies the tool, owner, trigger event, and deterministic pass criterion.</w:t>
      </w:r>
    </w:p>
    <w:bookmarkStart w:id="32" w:name="Xf0602b155c09b2f6dcd3c132db802f90665432f"/>
    <w:p>
      <w:pPr>
        <w:pStyle w:val="Heading2"/>
      </w:pPr>
      <w:r>
        <w:t xml:space="preserve">2.1 Level 1 — Unit Tests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Tool</w:t>
            </w:r>
          </w:p>
        </w:tc>
        <w:tc>
          <w:tcPr/>
          <w:p>
            <w:pPr>
              <w:pStyle w:val="Compact"/>
            </w:pPr>
            <w:r>
              <w:t xml:space="preserve">PHPUnit 11.2</w:t>
            </w:r>
          </w:p>
        </w:tc>
      </w:tr>
      <w:tr>
        <w:tc>
          <w:tcPr/>
          <w:p>
            <w:pPr>
              <w:pStyle w:val="Compact"/>
            </w:pPr>
            <w:r>
              <w:rPr>
                <w:b/>
                <w:bCs/>
              </w:rPr>
              <w:t xml:space="preserve">Owner</w:t>
            </w:r>
          </w:p>
        </w:tc>
        <w:tc>
          <w:tcPr/>
          <w:p>
            <w:pPr>
              <w:pStyle w:val="Compact"/>
            </w:pPr>
            <w:r>
              <w:t xml:space="preserve">Developer (author of the changed service class)</w:t>
            </w:r>
          </w:p>
        </w:tc>
      </w:tr>
      <w:tr>
        <w:tc>
          <w:tcPr/>
          <w:p>
            <w:pPr>
              <w:pStyle w:val="Compact"/>
            </w:pPr>
            <w:r>
              <w:rPr>
                <w:b/>
                <w:bCs/>
              </w:rPr>
              <w:t xml:space="preserve">Trigger</w:t>
            </w:r>
          </w:p>
        </w:tc>
        <w:tc>
          <w:tcPr/>
          <w:p>
            <w:pPr>
              <w:pStyle w:val="Compact"/>
            </w:pPr>
            <w:r>
              <w:t xml:space="preserve">Pre-push git hook; blocks push on failure</w:t>
            </w:r>
          </w:p>
        </w:tc>
      </w:tr>
      <w:tr>
        <w:tc>
          <w:tcPr/>
          <w:p>
            <w:pPr>
              <w:pStyle w:val="Compact"/>
            </w:pPr>
            <w:r>
              <w:rPr>
                <w:b/>
                <w:bCs/>
              </w:rPr>
              <w:t xml:space="preserve">Environment</w:t>
            </w:r>
          </w:p>
        </w:tc>
        <w:tc>
          <w:tcPr/>
          <w:p>
            <w:pPr>
              <w:pStyle w:val="Compact"/>
            </w:pPr>
            <w:r>
              <w:t xml:space="preserve">Local development; no live database</w:t>
            </w:r>
          </w:p>
        </w:tc>
      </w:tr>
    </w:tbl>
    <w:bookmarkStart w:id="28" w:name="Xcd7c9e9541c815129ac569753d1b9498dc8d42d"/>
    <w:p>
      <w:pPr>
        <w:pStyle w:val="Heading3"/>
      </w:pPr>
      <w:r>
        <w:t xml:space="preserve">2.1.1 Scope</w:t>
      </w:r>
    </w:p>
    <w:p>
      <w:pPr>
        <w:pStyle w:val="Compact"/>
        <w:numPr>
          <w:ilvl w:val="0"/>
          <w:numId w:val="1007"/>
        </w:numPr>
      </w:pPr>
      <w:r>
        <w:t xml:space="preserve">Individual service class methods tested in isolation.</w:t>
      </w:r>
    </w:p>
    <w:p>
      <w:pPr>
        <w:pStyle w:val="Compact"/>
        <w:numPr>
          <w:ilvl w:val="0"/>
          <w:numId w:val="1007"/>
        </w:numPr>
      </w:pPr>
      <w:r>
        <w:t xml:space="preserve">All external dependencies — MySQL database, EFRIS API, MoMo API, file system — are replaced with PHPUnit mocks or stubs.</w:t>
      </w:r>
    </w:p>
    <w:p>
      <w:pPr>
        <w:pStyle w:val="Compact"/>
        <w:numPr>
          <w:ilvl w:val="0"/>
          <w:numId w:val="1007"/>
        </w:numPr>
      </w:pPr>
      <w:r>
        <w:t xml:space="preserve">Test files reside in</w:t>
      </w:r>
      <w:r>
        <w:t xml:space="preserve"> </w:t>
      </w:r>
      <w:r>
        <w:rPr>
          <w:rStyle w:val="VerbatimChar"/>
        </w:rPr>
        <w:t xml:space="preserve">tests/Unit/</w:t>
      </w:r>
      <w:r>
        <w:t xml:space="preserve"> </w:t>
      </w:r>
      <w:r>
        <w:t xml:space="preserve">and mirror the</w:t>
      </w:r>
      <w:r>
        <w:t xml:space="preserve"> </w:t>
      </w:r>
      <w:r>
        <w:rPr>
          <w:rStyle w:val="VerbatimChar"/>
        </w:rPr>
        <w:t xml:space="preserve">app/Services/</w:t>
      </w:r>
      <w:r>
        <w:t xml:space="preserve"> </w:t>
      </w:r>
      <w:r>
        <w:t xml:space="preserve">directory structure.</w:t>
      </w:r>
    </w:p>
    <w:bookmarkEnd w:id="28"/>
    <w:bookmarkStart w:id="29" w:name="X1a6e34b4c3e72d19d82f32a8664bd769bd4ba30"/>
    <w:p>
      <w:pPr>
        <w:pStyle w:val="Heading3"/>
      </w:pPr>
      <w:r>
        <w:t xml:space="preserve">2.1.2 Key Coverage Requirements</w:t>
      </w:r>
    </w:p>
    <w:p>
      <w:pPr>
        <w:pStyle w:val="Compact"/>
        <w:numPr>
          <w:ilvl w:val="0"/>
          <w:numId w:val="1008"/>
        </w:numPr>
      </w:pPr>
      <w:r>
        <w:t xml:space="preserve">Line coverage ≥ 80% per service class, measured by the PHPUnit code coverage driver (Xdebug or PCOV).</w:t>
      </w:r>
    </w:p>
    <w:p>
      <w:pPr>
        <w:pStyle w:val="Compact"/>
        <w:numPr>
          <w:ilvl w:val="0"/>
          <w:numId w:val="1008"/>
        </w:numPr>
      </w:pPr>
      <w:r>
        <w:t xml:space="preserve">All boundary conditions for financial calculations must have explicit test cases: zero-value inputs, negative inputs, maximum integer values, and currency rounding to 2 decimal places.</w:t>
      </w:r>
    </w:p>
    <w:p>
      <w:pPr>
        <w:pStyle w:val="Compact"/>
        <w:numPr>
          <w:ilvl w:val="0"/>
          <w:numId w:val="1008"/>
        </w:numPr>
      </w:pPr>
      <w:r>
        <w:t xml:space="preserve">Each RBAC permission check in a service method must have a test case for both an authorised and an unauthorised caller.</w:t>
      </w:r>
    </w:p>
    <w:bookmarkEnd w:id="29"/>
    <w:bookmarkStart w:id="30" w:name="Xf7ce104db50731df94d714ae921698a52bd6237"/>
    <w:p>
      <w:pPr>
        <w:pStyle w:val="Heading3"/>
      </w:pPr>
      <w:r>
        <w:t xml:space="preserve">2.1.3 Pass Criterion</w:t>
      </w:r>
    </w:p>
    <w:p>
      <w:pPr>
        <w:pStyle w:val="Compact"/>
        <w:numPr>
          <w:ilvl w:val="0"/>
          <w:numId w:val="1009"/>
        </w:numPr>
      </w:pPr>
      <w:r>
        <w:t xml:space="preserve">100% of unit test cases pass (zero failures, zero errors).</w:t>
      </w:r>
    </w:p>
    <w:p>
      <w:pPr>
        <w:pStyle w:val="Compact"/>
        <w:numPr>
          <w:ilvl w:val="0"/>
          <w:numId w:val="1009"/>
        </w:numPr>
      </w:pPr>
      <w:r>
        <w:t xml:space="preserve">Aggregate line coverage for the changed service class is ≥ 80%.</w:t>
      </w:r>
    </w:p>
    <w:bookmarkEnd w:id="30"/>
    <w:bookmarkStart w:id="31" w:name="X94212605416423da781d8ff643de5854d6e5406"/>
    <w:p>
      <w:pPr>
        <w:pStyle w:val="Heading3"/>
      </w:pPr>
      <w:r>
        <w:t xml:space="preserve">2.1.4 Failure Action</w:t>
      </w:r>
    </w:p>
    <w:p>
      <w:pPr>
        <w:pStyle w:val="FirstParagraph"/>
      </w:pPr>
      <w:r>
        <w:t xml:space="preserve">The pre-push hook exits non-zero, blocking the push. The developer resolves all failures before re-attempting the push. No exceptions are granted for bypassing the hook.</w:t>
      </w:r>
    </w:p>
    <w:p>
      <w:r>
        <w:pict>
          <v:rect style="width:0;height:1.5pt" o:hralign="center" o:hrstd="t" o:hr="t"/>
        </w:pict>
      </w:r>
    </w:p>
    <w:bookmarkEnd w:id="31"/>
    <w:bookmarkEnd w:id="32"/>
    <w:bookmarkStart w:id="36" w:name="Xce8a92d61768c21aded41ab231a75f50837112a"/>
    <w:p>
      <w:pPr>
        <w:pStyle w:val="Heading2"/>
      </w:pPr>
      <w:r>
        <w:t xml:space="preserve">2.2 Level 2 — Integration Tests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Tool</w:t>
            </w:r>
          </w:p>
        </w:tc>
        <w:tc>
          <w:tcPr/>
          <w:p>
            <w:pPr>
              <w:pStyle w:val="Compact"/>
            </w:pPr>
            <w:r>
              <w:t xml:space="preserve">PHPUnit 11.2</w:t>
            </w:r>
          </w:p>
        </w:tc>
      </w:tr>
      <w:tr>
        <w:tc>
          <w:tcPr/>
          <w:p>
            <w:pPr>
              <w:pStyle w:val="Compact"/>
            </w:pPr>
            <w:r>
              <w:rPr>
                <w:b/>
                <w:bCs/>
              </w:rPr>
              <w:t xml:space="preserve">Owner</w:t>
            </w:r>
          </w:p>
        </w:tc>
        <w:tc>
          <w:tcPr/>
          <w:p>
            <w:pPr>
              <w:pStyle w:val="Compact"/>
            </w:pPr>
            <w:r>
              <w:t xml:space="preserve">Developer; reviewed by tech lead on PR</w:t>
            </w:r>
          </w:p>
        </w:tc>
      </w:tr>
      <w:tr>
        <w:tc>
          <w:tcPr/>
          <w:p>
            <w:pPr>
              <w:pStyle w:val="Compact"/>
            </w:pPr>
            <w:r>
              <w:rPr>
                <w:b/>
                <w:bCs/>
              </w:rPr>
              <w:t xml:space="preserve">Trigger</w:t>
            </w:r>
          </w:p>
        </w:tc>
        <w:tc>
          <w:tcPr/>
          <w:p>
            <w:pPr>
              <w:pStyle w:val="Compact"/>
            </w:pPr>
            <w:r>
              <w:t xml:space="preserve">Every pull request merge into</w:t>
            </w:r>
            <w:r>
              <w:t xml:space="preserve"> </w:t>
            </w:r>
            <w:r>
              <w:rPr>
                <w:rStyle w:val="VerbatimChar"/>
              </w:rPr>
              <w:t xml:space="preserve">develop</w:t>
            </w:r>
            <w:r>
              <w:t xml:space="preserve"> </w:t>
            </w:r>
            <w:r>
              <w:t xml:space="preserve">or</w:t>
            </w:r>
            <w:r>
              <w:t xml:space="preserve"> </w:t>
            </w:r>
            <w:r>
              <w:rPr>
                <w:rStyle w:val="VerbatimChar"/>
              </w:rPr>
              <w:t xml:space="preserve">main</w:t>
            </w:r>
          </w:p>
        </w:tc>
      </w:tr>
      <w:tr>
        <w:tc>
          <w:tcPr/>
          <w:p>
            <w:pPr>
              <w:pStyle w:val="Compact"/>
            </w:pPr>
            <w:r>
              <w:rPr>
                <w:b/>
                <w:bCs/>
              </w:rPr>
              <w:t xml:space="preserve">Environment</w:t>
            </w:r>
          </w:p>
        </w:tc>
        <w:tc>
          <w:tcPr/>
          <w:p>
            <w:pPr>
              <w:pStyle w:val="Compact"/>
            </w:pPr>
            <w:r>
              <w:t xml:space="preserve">CI pipeline; dedicated MySQL 9.1 test schema, reset per test class via transactions or schema rebuild</w:t>
            </w:r>
          </w:p>
        </w:tc>
      </w:tr>
    </w:tbl>
    <w:bookmarkStart w:id="33" w:name="X01ababaf491f2fd13a2d4f874d4ca6b644f6c21"/>
    <w:p>
      <w:pPr>
        <w:pStyle w:val="Heading3"/>
      </w:pPr>
      <w:r>
        <w:t xml:space="preserve">2.2.1 Scope</w:t>
      </w:r>
    </w:p>
    <w:p>
      <w:pPr>
        <w:pStyle w:val="Compact"/>
        <w:numPr>
          <w:ilvl w:val="0"/>
          <w:numId w:val="1010"/>
        </w:numPr>
      </w:pPr>
      <w:r>
        <w:t xml:space="preserve">Service layer interacting with a real MySQL test database; no mocks for the database layer.</w:t>
      </w:r>
    </w:p>
    <w:p>
      <w:pPr>
        <w:pStyle w:val="Compact"/>
        <w:numPr>
          <w:ilvl w:val="0"/>
          <w:numId w:val="1010"/>
        </w:numPr>
      </w:pPr>
      <w:r>
        <w:t xml:space="preserve">HTTP controllers tested end-to-end within the PHP process (no external HTTP call).</w:t>
      </w:r>
    </w:p>
    <w:p>
      <w:pPr>
        <w:pStyle w:val="Compact"/>
        <w:numPr>
          <w:ilvl w:val="0"/>
          <w:numId w:val="1010"/>
        </w:numPr>
      </w:pPr>
      <w:r>
        <w:t xml:space="preserve">External APIs (EFRIS, MoMo) remain mocked at the HTTP adapter level.</w:t>
      </w:r>
    </w:p>
    <w:bookmarkEnd w:id="33"/>
    <w:bookmarkStart w:id="34" w:name="X84648b260e840dfa0d20a1caab1a847b5b3d2b1"/>
    <w:p>
      <w:pPr>
        <w:pStyle w:val="Heading3"/>
      </w:pPr>
      <w:r>
        <w:t xml:space="preserve">2.2.2 Mandatory Scenario Coverage</w:t>
      </w:r>
    </w:p>
    <w:p>
      <w:pPr>
        <w:pStyle w:val="FirstParagraph"/>
      </w:pPr>
      <w:r>
        <w:t xml:space="preserve">Every integration test suite must include the following scenarios before a PR is approved:</w:t>
      </w:r>
    </w:p>
    <w:p>
      <w:pPr>
        <w:pStyle w:val="Compact"/>
        <w:numPr>
          <w:ilvl w:val="0"/>
          <w:numId w:val="1011"/>
        </w:numPr>
      </w:pPr>
      <w:r>
        <w:rPr>
          <w:b/>
          <w:bCs/>
        </w:rPr>
        <w:t xml:space="preserve">GL Double-Entry Integrity:</w:t>
      </w:r>
      <w:r>
        <w:t xml:space="preserve"> </w:t>
      </w:r>
      <w:r>
        <w:t xml:space="preserve">After every financial transaction (invoice post, payment, journal entry, depreciation run), execute</w:t>
      </w:r>
      <w:r>
        <w:t xml:space="preserve"> </w:t>
      </w:r>
      <w:r>
        <w:rPr>
          <w:rStyle w:val="VerbatimChar"/>
        </w:rPr>
        <w:t xml:space="preserve">SELECT SUM(debit_amount) - SUM(credit_amount) FROM gl_entries WHERE transaction_id = :id</w:t>
      </w:r>
      <w:r>
        <w:t xml:space="preserve"> </w:t>
      </w:r>
      <w:r>
        <w:t xml:space="preserve">and assert the result equals 0.00.</w:t>
      </w:r>
    </w:p>
    <w:p>
      <w:pPr>
        <w:pStyle w:val="Compact"/>
        <w:numPr>
          <w:ilvl w:val="0"/>
          <w:numId w:val="1011"/>
        </w:numPr>
      </w:pPr>
      <w:r>
        <w:rPr>
          <w:b/>
          <w:bCs/>
        </w:rPr>
        <w:t xml:space="preserve">Tenant Isolation:</w:t>
      </w:r>
      <w:r>
        <w:t xml:space="preserve"> </w:t>
      </w:r>
      <w:r>
        <w:t xml:space="preserve">For every query that filters by</w:t>
      </w:r>
      <w:r>
        <w:t xml:space="preserve"> </w:t>
      </w:r>
      <w:r>
        <w:rPr>
          <w:rStyle w:val="VerbatimChar"/>
        </w:rPr>
        <w:t xml:space="preserve">tenant_id</w:t>
      </w:r>
      <w:r>
        <w:t xml:space="preserve">, execute an equivalent query substituting a second test tenant's ID and assert the result set is empty. This test must exist for GL entries, payroll records, inventory stock, and asset registers.</w:t>
      </w:r>
    </w:p>
    <w:p>
      <w:pPr>
        <w:pStyle w:val="Compact"/>
        <w:numPr>
          <w:ilvl w:val="0"/>
          <w:numId w:val="1011"/>
        </w:numPr>
      </w:pPr>
      <w:r>
        <w:rPr>
          <w:b/>
          <w:bCs/>
        </w:rPr>
        <w:t xml:space="preserve">Audit Log Completeness:</w:t>
      </w:r>
      <w:r>
        <w:t xml:space="preserve"> </w:t>
      </w:r>
      <w:r>
        <w:t xml:space="preserve">Every state-changing operation (create, update, delete, approve, reverse) must produce exactly 1 audit log record containing the actor's</w:t>
      </w:r>
      <w:r>
        <w:t xml:space="preserve"> </w:t>
      </w:r>
      <w:r>
        <w:rPr>
          <w:rStyle w:val="VerbatimChar"/>
        </w:rPr>
        <w:t xml:space="preserve">user_id</w:t>
      </w:r>
      <w:r>
        <w:t xml:space="preserve">, the affected</w:t>
      </w:r>
      <w:r>
        <w:t xml:space="preserve"> </w:t>
      </w:r>
      <w:r>
        <w:rPr>
          <w:rStyle w:val="VerbatimChar"/>
        </w:rPr>
        <w:t xml:space="preserve">table_name</w:t>
      </w:r>
      <w:r>
        <w:t xml:space="preserve">, the</w:t>
      </w:r>
      <w:r>
        <w:t xml:space="preserve"> </w:t>
      </w:r>
      <w:r>
        <w:rPr>
          <w:rStyle w:val="VerbatimChar"/>
        </w:rPr>
        <w:t xml:space="preserve">record_id</w:t>
      </w:r>
      <w:r>
        <w:t xml:space="preserve">, and a</w:t>
      </w:r>
      <w:r>
        <w:t xml:space="preserve"> </w:t>
      </w:r>
      <w:r>
        <w:rPr>
          <w:rStyle w:val="VerbatimChar"/>
        </w:rPr>
        <w:t xml:space="preserve">before</w:t>
      </w:r>
      <w:r>
        <w:t xml:space="preserve">/</w:t>
      </w:r>
      <w:r>
        <w:rPr>
          <w:rStyle w:val="VerbatimChar"/>
        </w:rPr>
        <w:t xml:space="preserve">after</w:t>
      </w:r>
      <w:r>
        <w:t xml:space="preserve"> </w:t>
      </w:r>
      <w:r>
        <w:t xml:space="preserve">JSON snapshot.</w:t>
      </w:r>
    </w:p>
    <w:bookmarkEnd w:id="34"/>
    <w:bookmarkStart w:id="35" w:name="Xbef2c60599009ceb35ad3887b8c33e67de8bf1d"/>
    <w:p>
      <w:pPr>
        <w:pStyle w:val="Heading3"/>
      </w:pPr>
      <w:r>
        <w:t xml:space="preserve">2.2.3 Pass Criterion</w:t>
      </w:r>
    </w:p>
    <w:p>
      <w:pPr>
        <w:pStyle w:val="Compact"/>
        <w:numPr>
          <w:ilvl w:val="0"/>
          <w:numId w:val="1012"/>
        </w:numPr>
      </w:pPr>
      <w:r>
        <w:t xml:space="preserve">100% of integration test cases pass (zero failures, zero errors).</w:t>
      </w:r>
    </w:p>
    <w:p>
      <w:pPr>
        <w:pStyle w:val="Compact"/>
        <w:numPr>
          <w:ilvl w:val="0"/>
          <w:numId w:val="1012"/>
        </w:numPr>
      </w:pPr>
      <w:r>
        <w:t xml:space="preserve">No cross-tenant data leakage detected in any tenant isolation scenario — a single leakage failure is a Critical defect and blocks the PR merge.</w:t>
      </w:r>
    </w:p>
    <w:p>
      <w:r>
        <w:pict>
          <v:rect style="width:0;height:1.5pt" o:hralign="center" o:hrstd="t" o:hr="t"/>
        </w:pict>
      </w:r>
    </w:p>
    <w:bookmarkEnd w:id="35"/>
    <w:bookmarkEnd w:id="36"/>
    <w:bookmarkStart w:id="40" w:name="Xae0e94341801ca57e20f70a3576087a65884ad1"/>
    <w:p>
      <w:pPr>
        <w:pStyle w:val="Heading2"/>
      </w:pPr>
      <w:r>
        <w:t xml:space="preserve">2.3 Level 3 — System / End-to-End Tests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Tool</w:t>
            </w:r>
          </w:p>
        </w:tc>
        <w:tc>
          <w:tcPr/>
          <w:p>
            <w:pPr>
              <w:pStyle w:val="Compact"/>
            </w:pPr>
            <w:r>
              <w:t xml:space="preserve">PHPUnit 11.2 HTTP client (API flows); manual test scripts (browser flows)</w:t>
            </w:r>
          </w:p>
        </w:tc>
      </w:tr>
      <w:tr>
        <w:tc>
          <w:tcPr/>
          <w:p>
            <w:pPr>
              <w:pStyle w:val="Compact"/>
            </w:pPr>
            <w:r>
              <w:rPr>
                <w:b/>
                <w:bCs/>
              </w:rPr>
              <w:t xml:space="preserve">Owner</w:t>
            </w:r>
          </w:p>
        </w:tc>
        <w:tc>
          <w:tcPr/>
          <w:p>
            <w:pPr>
              <w:pStyle w:val="Compact"/>
            </w:pPr>
            <w:r>
              <w:t xml:space="preserve">QA lead</w:t>
            </w:r>
          </w:p>
        </w:tc>
      </w:tr>
      <w:tr>
        <w:tc>
          <w:tcPr/>
          <w:p>
            <w:pPr>
              <w:pStyle w:val="Compact"/>
            </w:pPr>
            <w:r>
              <w:rPr>
                <w:b/>
                <w:bCs/>
              </w:rPr>
              <w:t xml:space="preserve">Trigger</w:t>
            </w:r>
          </w:p>
        </w:tc>
        <w:tc>
          <w:tcPr/>
          <w:p>
            <w:pPr>
              <w:pStyle w:val="Compact"/>
            </w:pPr>
            <w:r>
              <w:t xml:space="preserve">Pre-release candidate build on staging environment</w:t>
            </w:r>
          </w:p>
        </w:tc>
      </w:tr>
      <w:tr>
        <w:tc>
          <w:tcPr/>
          <w:p>
            <w:pPr>
              <w:pStyle w:val="Compact"/>
            </w:pPr>
            <w:r>
              <w:rPr>
                <w:b/>
                <w:bCs/>
              </w:rPr>
              <w:t xml:space="preserve">Environment</w:t>
            </w:r>
          </w:p>
        </w:tc>
        <w:tc>
          <w:tcPr/>
          <w:p>
            <w:pPr>
              <w:pStyle w:val="Compact"/>
            </w:pPr>
            <w:r>
              <w:t xml:space="preserve">Staging (see Section 4)</w:t>
            </w:r>
          </w:p>
        </w:tc>
      </w:tr>
    </w:tbl>
    <w:bookmarkStart w:id="37" w:name="Xa0f565f0c667f41fbe27af03c074ed7a677c766"/>
    <w:p>
      <w:pPr>
        <w:pStyle w:val="Heading3"/>
      </w:pPr>
      <w:r>
        <w:t xml:space="preserve">2.3.1 Scope</w:t>
      </w:r>
    </w:p>
    <w:p>
      <w:pPr>
        <w:pStyle w:val="Compact"/>
        <w:numPr>
          <w:ilvl w:val="0"/>
          <w:numId w:val="1013"/>
        </w:numPr>
      </w:pPr>
      <w:r>
        <w:t xml:space="preserve">Full workflow execution via HTTP from an external client perspective.</w:t>
      </w:r>
    </w:p>
    <w:p>
      <w:pPr>
        <w:pStyle w:val="Compact"/>
        <w:numPr>
          <w:ilvl w:val="0"/>
          <w:numId w:val="1013"/>
        </w:numPr>
      </w:pPr>
      <w:r>
        <w:t xml:space="preserve">Browser flows are executed manually against the staging environment using documented test scripts.</w:t>
      </w:r>
    </w:p>
    <w:p>
      <w:pPr>
        <w:pStyle w:val="Compact"/>
        <w:numPr>
          <w:ilvl w:val="0"/>
          <w:numId w:val="1013"/>
        </w:numPr>
      </w:pPr>
      <w:r>
        <w:t xml:space="preserve">API flows are executed by the PHPUnit HTTP client suite in</w:t>
      </w:r>
      <w:r>
        <w:t xml:space="preserve"> </w:t>
      </w:r>
      <w:r>
        <w:rPr>
          <w:rStyle w:val="VerbatimChar"/>
        </w:rPr>
        <w:t xml:space="preserve">tests/System/</w:t>
      </w:r>
      <w:r>
        <w:t xml:space="preserve">.</w:t>
      </w:r>
    </w:p>
    <w:bookmarkEnd w:id="37"/>
    <w:bookmarkStart w:id="38" w:name="X0c6facd6d72848353c6c9b7b226f0e6b0fccd03"/>
    <w:p>
      <w:pPr>
        <w:pStyle w:val="Heading3"/>
      </w:pPr>
      <w:r>
        <w:t xml:space="preserve">2.3.2 Minimum Workflow Coverage</w:t>
      </w:r>
    </w:p>
    <w:p>
      <w:pPr>
        <w:pStyle w:val="FirstParagraph"/>
      </w:pPr>
      <w:r>
        <w:t xml:space="preserve">At minimum, one happy-path system test must exist and pass for each of the following workflows before any release candidate is approved: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Workflow</w:t>
            </w:r>
          </w:p>
        </w:tc>
        <w:tc>
          <w:tcPr/>
          <w:p>
            <w:pPr>
              <w:pStyle w:val="Compact"/>
            </w:pPr>
            <w:r>
              <w:t xml:space="preserve">Key Assertions</w:t>
            </w:r>
          </w:p>
        </w:tc>
      </w:tr>
      <w:tr>
        <w:tc>
          <w:tcPr/>
          <w:p>
            <w:pPr>
              <w:pStyle w:val="Compact"/>
            </w:pPr>
            <w:r>
              <w:t xml:space="preserve">Invoice lifecycle</w:t>
            </w:r>
          </w:p>
        </w:tc>
        <w:tc>
          <w:tcPr/>
          <w:p>
            <w:pPr>
              <w:pStyle w:val="Compact"/>
            </w:pPr>
            <w:r>
              <w:t xml:space="preserve">Draft → Approved → Posted → Payment matched; GL balance = 0 after posting</w:t>
            </w:r>
          </w:p>
        </w:tc>
      </w:tr>
      <w:tr>
        <w:tc>
          <w:tcPr/>
          <w:p>
            <w:pPr>
              <w:pStyle w:val="Compact"/>
            </w:pPr>
            <w:r>
              <w:t xml:space="preserve">Payroll run (500 employees)</w:t>
            </w:r>
          </w:p>
        </w:tc>
        <w:tc>
          <w:tcPr/>
          <w:p>
            <w:pPr>
              <w:pStyle w:val="Compact"/>
            </w:pPr>
            <w:r>
              <w:t xml:space="preserve">Run completes in ≤ 30 s; net pay per employee matches manual calculation for 3 sampled records</w:t>
            </w:r>
          </w:p>
        </w:tc>
      </w:tr>
      <w:tr>
        <w:tc>
          <w:tcPr/>
          <w:p>
            <w:pPr>
              <w:pStyle w:val="Compact"/>
            </w:pPr>
            <w:r>
              <w:t xml:space="preserve">Cooperative intake and bulk payment</w:t>
            </w:r>
          </w:p>
        </w:tc>
        <w:tc>
          <w:tcPr/>
          <w:p>
            <w:pPr>
              <w:pStyle w:val="Compact"/>
            </w:pPr>
            <w:r>
              <w:t xml:space="preserve">Intake recorded, grading applied, bulk payment dispatched to 1,000 farmers in ≤ 60 s</w:t>
            </w:r>
          </w:p>
        </w:tc>
      </w:tr>
      <w:tr>
        <w:tc>
          <w:tcPr/>
          <w:p>
            <w:pPr>
              <w:pStyle w:val="Compact"/>
            </w:pPr>
            <w:r>
              <w:t xml:space="preserve">Asset registration and depreciation run</w:t>
            </w:r>
          </w:p>
        </w:tc>
        <w:tc>
          <w:tcPr/>
          <w:p>
            <w:pPr>
              <w:pStyle w:val="Compact"/>
            </w:pPr>
            <w:r>
              <w:t xml:space="preserve">Asset created, depreciation run completes in ≤ 30 s for 5,000 assets, NBV decrements correctly</w:t>
            </w:r>
          </w:p>
        </w:tc>
      </w:tr>
      <w:tr>
        <w:tc>
          <w:tcPr/>
          <w:p>
            <w:pPr>
              <w:pStyle w:val="Compact"/>
            </w:pPr>
            <w:r>
              <w:t xml:space="preserve">Mobile API authentication</w:t>
            </w:r>
          </w:p>
        </w:tc>
        <w:tc>
          <w:tcPr/>
          <w:p>
            <w:pPr>
              <w:pStyle w:val="Compact"/>
            </w:pPr>
            <w:r>
              <w:t xml:space="preserve">JWT issued, request authenticated, JWT expired, refresh accepted, revoked token rejected with HTTP 401</w:t>
            </w:r>
          </w:p>
        </w:tc>
      </w:tr>
      <w:tr>
        <w:tc>
          <w:tcPr/>
          <w:p>
            <w:pPr>
              <w:pStyle w:val="Compact"/>
            </w:pPr>
            <w:r>
              <w:t xml:space="preserve">Tenant onboarding</w:t>
            </w:r>
          </w:p>
        </w:tc>
        <w:tc>
          <w:tcPr/>
          <w:p>
            <w:pPr>
              <w:pStyle w:val="Compact"/>
            </w:pPr>
            <w:r>
              <w:t xml:space="preserve">New tenant created; isolated schema partition verified; admin user created with correct RBAC role</w:t>
            </w:r>
          </w:p>
        </w:tc>
      </w:tr>
    </w:tbl>
    <w:bookmarkEnd w:id="38"/>
    <w:bookmarkStart w:id="39" w:name="Xbc86062e99469afa3529f4d39552ce8ae2708ea"/>
    <w:p>
      <w:pPr>
        <w:pStyle w:val="Heading3"/>
      </w:pPr>
      <w:r>
        <w:t xml:space="preserve">2.3.3 Pass Criterion</w:t>
      </w:r>
    </w:p>
    <w:p>
      <w:pPr>
        <w:pStyle w:val="Compact"/>
        <w:numPr>
          <w:ilvl w:val="0"/>
          <w:numId w:val="1014"/>
        </w:numPr>
      </w:pPr>
      <w:r>
        <w:t xml:space="preserve">100% of system test scripts pass with no assertion failures.</w:t>
      </w:r>
    </w:p>
    <w:p>
      <w:pPr>
        <w:pStyle w:val="Compact"/>
        <w:numPr>
          <w:ilvl w:val="0"/>
          <w:numId w:val="1014"/>
        </w:numPr>
      </w:pPr>
      <w:r>
        <w:t xml:space="preserve">All NFR performance targets in Section 1.5 are met under the load profile specified in the performance test plan.</w:t>
      </w:r>
    </w:p>
    <w:p>
      <w:r>
        <w:pict>
          <v:rect style="width:0;height:1.5pt" o:hralign="center" o:hrstd="t" o:hr="t"/>
        </w:pict>
      </w:r>
    </w:p>
    <w:bookmarkEnd w:id="39"/>
    <w:bookmarkEnd w:id="40"/>
    <w:bookmarkStart w:id="44" w:name="X061db6f0bca0cba19ffc05f4bbfb59484e52bb4"/>
    <w:p>
      <w:pPr>
        <w:pStyle w:val="Heading2"/>
      </w:pPr>
      <w:r>
        <w:t xml:space="preserve">2.4 Level 4 — User Acceptance Testing (UAT)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Tool</w:t>
            </w:r>
          </w:p>
        </w:tc>
        <w:tc>
          <w:tcPr/>
          <w:p>
            <w:pPr>
              <w:pStyle w:val="Compact"/>
            </w:pPr>
            <w:r>
              <w:t xml:space="preserve">Manual execution against acceptance criteria from SRS</w:t>
            </w:r>
          </w:p>
        </w:tc>
      </w:tr>
      <w:tr>
        <w:tc>
          <w:tcPr/>
          <w:p>
            <w:pPr>
              <w:pStyle w:val="Compact"/>
            </w:pPr>
            <w:r>
              <w:rPr>
                <w:b/>
                <w:bCs/>
              </w:rPr>
              <w:t xml:space="preserve">Owner</w:t>
            </w:r>
          </w:p>
        </w:tc>
        <w:tc>
          <w:tcPr/>
          <w:p>
            <w:pPr>
              <w:pStyle w:val="Compact"/>
            </w:pPr>
            <w:r>
              <w:t xml:space="preserve">Product owner; executed by product owner + selected pilot tenants</w:t>
            </w:r>
          </w:p>
        </w:tc>
      </w:tr>
      <w:tr>
        <w:tc>
          <w:tcPr/>
          <w:p>
            <w:pPr>
              <w:pStyle w:val="Compact"/>
            </w:pPr>
            <w:r>
              <w:rPr>
                <w:b/>
                <w:bCs/>
              </w:rPr>
              <w:t xml:space="preserve">Trigger</w:t>
            </w:r>
          </w:p>
        </w:tc>
        <w:tc>
          <w:tcPr/>
          <w:p>
            <w:pPr>
              <w:pStyle w:val="Compact"/>
            </w:pPr>
            <w:r>
              <w:t xml:space="preserve">System test level has passed (Level 3 exit criteria met)</w:t>
            </w:r>
          </w:p>
        </w:tc>
      </w:tr>
      <w:tr>
        <w:tc>
          <w:tcPr/>
          <w:p>
            <w:pPr>
              <w:pStyle w:val="Compact"/>
            </w:pPr>
            <w:r>
              <w:rPr>
                <w:b/>
                <w:bCs/>
              </w:rPr>
              <w:t xml:space="preserve">Environment</w:t>
            </w:r>
          </w:p>
        </w:tc>
        <w:tc>
          <w:tcPr/>
          <w:p>
            <w:pPr>
              <w:pStyle w:val="Compact"/>
            </w:pPr>
            <w:r>
              <w:t xml:space="preserve">Staging server with production-equivalent data volume (anonymised clone)</w:t>
            </w:r>
          </w:p>
        </w:tc>
      </w:tr>
    </w:tbl>
    <w:bookmarkStart w:id="41" w:name="Xd395de90c2ff1cfce49b4e82b3f06c085d8064f"/>
    <w:p>
      <w:pPr>
        <w:pStyle w:val="Heading3"/>
      </w:pPr>
      <w:r>
        <w:t xml:space="preserve">2.4.1 Scope</w:t>
      </w:r>
    </w:p>
    <w:p>
      <w:pPr>
        <w:pStyle w:val="Compact"/>
        <w:numPr>
          <w:ilvl w:val="0"/>
          <w:numId w:val="1015"/>
        </w:numPr>
      </w:pPr>
      <w:r>
        <w:t xml:space="preserve">Real-user testing of complete business workflows by users unfamiliar with the implementation details.</w:t>
      </w:r>
    </w:p>
    <w:p>
      <w:pPr>
        <w:pStyle w:val="Compact"/>
        <w:numPr>
          <w:ilvl w:val="0"/>
          <w:numId w:val="1015"/>
        </w:numPr>
      </w:pPr>
      <w:r>
        <w:t xml:space="preserve">Acceptance criteria sourced directly from the approved SRS functional requirements.</w:t>
      </w:r>
    </w:p>
    <w:p>
      <w:pPr>
        <w:pStyle w:val="Compact"/>
        <w:numPr>
          <w:ilvl w:val="0"/>
          <w:numId w:val="1015"/>
        </w:numPr>
      </w:pPr>
      <w:r>
        <w:t xml:space="preserve">Usability benchmark: NFR-USAB-001 — a representative user with no prior Longhorn ERP training completes a first assigned task in ≤ 10 minutes.</w:t>
      </w:r>
    </w:p>
    <w:bookmarkEnd w:id="41"/>
    <w:bookmarkStart w:id="42" w:name="Xcb06d22b1f7c204cef9b189db819355405aea34"/>
    <w:p>
      <w:pPr>
        <w:pStyle w:val="Heading3"/>
      </w:pPr>
      <w:r>
        <w:t xml:space="preserve">2.4.2 UAT Execution Protocol</w:t>
      </w:r>
    </w:p>
    <w:p>
      <w:pPr>
        <w:pStyle w:val="Compact"/>
        <w:numPr>
          <w:ilvl w:val="0"/>
          <w:numId w:val="1016"/>
        </w:numPr>
      </w:pPr>
      <w:r>
        <w:t xml:space="preserve">The QA lead provides the product owner with a UAT test pack containing one test case per SRS acceptance criterion.</w:t>
      </w:r>
    </w:p>
    <w:p>
      <w:pPr>
        <w:pStyle w:val="Compact"/>
        <w:numPr>
          <w:ilvl w:val="0"/>
          <w:numId w:val="1016"/>
        </w:numPr>
      </w:pPr>
      <w:r>
        <w:t xml:space="preserve">Pilot tenants execute test cases on the staging environment using their own accounts.</w:t>
      </w:r>
    </w:p>
    <w:p>
      <w:pPr>
        <w:pStyle w:val="Compact"/>
        <w:numPr>
          <w:ilvl w:val="0"/>
          <w:numId w:val="1016"/>
        </w:numPr>
      </w:pPr>
      <w:r>
        <w:t xml:space="preserve">All defects discovered during UAT are logged in the defect tracker with severity assigned by the QA lead.</w:t>
      </w:r>
    </w:p>
    <w:p>
      <w:pPr>
        <w:pStyle w:val="Compact"/>
        <w:numPr>
          <w:ilvl w:val="0"/>
          <w:numId w:val="1016"/>
        </w:numPr>
      </w:pPr>
      <w:r>
        <w:t xml:space="preserve">No development team member guides or assists pilot tenants during task execution — assistance invalidates the usability benchmark.</w:t>
      </w:r>
    </w:p>
    <w:bookmarkEnd w:id="42"/>
    <w:bookmarkStart w:id="43" w:name="X87a5f6c8f95bd9b11625e00bd7d1a76a31be6bc"/>
    <w:p>
      <w:pPr>
        <w:pStyle w:val="Heading3"/>
      </w:pPr>
      <w:r>
        <w:t xml:space="preserve">2.4.3 Pass Criterion</w:t>
      </w:r>
    </w:p>
    <w:p>
      <w:pPr>
        <w:pStyle w:val="Compact"/>
        <w:numPr>
          <w:ilvl w:val="0"/>
          <w:numId w:val="1017"/>
        </w:numPr>
      </w:pPr>
      <w:r>
        <w:t xml:space="preserve">All acceptance criteria documented in the SRS are met as demonstrated by signed-off UAT test cases.</w:t>
      </w:r>
    </w:p>
    <w:p>
      <w:pPr>
        <w:pStyle w:val="Compact"/>
        <w:numPr>
          <w:ilvl w:val="0"/>
          <w:numId w:val="1017"/>
        </w:numPr>
      </w:pPr>
      <w:r>
        <w:t xml:space="preserve">Zero Critical defects open at UAT sign-off.</w:t>
      </w:r>
    </w:p>
    <w:p>
      <w:pPr>
        <w:pStyle w:val="Compact"/>
        <w:numPr>
          <w:ilvl w:val="0"/>
          <w:numId w:val="1017"/>
        </w:numPr>
      </w:pPr>
      <w:r>
        <w:t xml:space="preserve">Zero High defects open at UAT sign-off.</w:t>
      </w:r>
    </w:p>
    <w:p>
      <w:pPr>
        <w:pStyle w:val="Compact"/>
        <w:numPr>
          <w:ilvl w:val="0"/>
          <w:numId w:val="1017"/>
        </w:numPr>
      </w:pPr>
      <w:r>
        <w:t xml:space="preserve">NFR-USAB-001 benchmark met: ≥ 4 of 5 representative users complete their first assigned task in ≤ 10 minutes without assistance.</w:t>
      </w:r>
    </w:p>
    <w:bookmarkEnd w:id="43"/>
    <w:bookmarkEnd w:id="44"/>
    <w:bookmarkEnd w:id="45"/>
    <w:bookmarkStart w:id="59" w:name="test-types"/>
    <w:p>
      <w:pPr>
        <w:pStyle w:val="Heading1"/>
      </w:pPr>
      <w:r>
        <w:t xml:space="preserve">Test Types</w:t>
      </w:r>
    </w:p>
    <w:p>
      <w:pPr>
        <w:pStyle w:val="FirstParagraph"/>
      </w:pPr>
      <w:r>
        <w:t xml:space="preserve">Each test type addresses a distinct quality dimension. For every type, this section specifies the purpose, tools, execution frequency, and deterministic pass criterion.</w:t>
      </w:r>
    </w:p>
    <w:bookmarkStart w:id="46" w:name="Xfc5ec2efffd6b75c6232536a43ca102c04df135"/>
    <w:p>
      <w:pPr>
        <w:pStyle w:val="Heading2"/>
      </w:pPr>
      <w:r>
        <w:t xml:space="preserve">3.1 Functional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Purpose</w:t>
            </w:r>
          </w:p>
        </w:tc>
        <w:tc>
          <w:tcPr/>
          <w:p>
            <w:pPr>
              <w:pStyle w:val="Compact"/>
            </w:pPr>
            <w:r>
              <w:t xml:space="preserve">Verify that every FR-</w:t>
            </w:r>
            <w:r>
              <w:rPr>
                <w:i/>
                <w:iCs/>
              </w:rPr>
              <w:t xml:space="preserve">-</w:t>
            </w:r>
            <w:r>
              <w:t xml:space="preserve"> </w:t>
            </w:r>
            <w:r>
              <w:t xml:space="preserve">requirement produces the specified output when the specified input or trigger condition occurs.</w:t>
            </w:r>
          </w:p>
        </w:tc>
      </w:tr>
      <w:tr>
        <w:tc>
          <w:tcPr/>
          <w:p>
            <w:pPr>
              <w:pStyle w:val="Compact"/>
            </w:pPr>
            <w:r>
              <w:rPr>
                <w:b/>
                <w:bCs/>
              </w:rPr>
              <w:t xml:space="preserve">Tools</w:t>
            </w:r>
          </w:p>
        </w:tc>
        <w:tc>
          <w:tcPr/>
          <w:p>
            <w:pPr>
              <w:pStyle w:val="Compact"/>
            </w:pPr>
            <w:r>
              <w:t xml:space="preserve">PHPUnit 11.2 (automated); manual test scripts (browser workflows)</w:t>
            </w:r>
          </w:p>
        </w:tc>
      </w:tr>
      <w:tr>
        <w:tc>
          <w:tcPr/>
          <w:p>
            <w:pPr>
              <w:pStyle w:val="Compact"/>
            </w:pPr>
            <w:r>
              <w:rPr>
                <w:b/>
                <w:bCs/>
              </w:rPr>
              <w:t xml:space="preserve">Frequency</w:t>
            </w:r>
          </w:p>
        </w:tc>
        <w:tc>
          <w:tcPr/>
          <w:p>
            <w:pPr>
              <w:pStyle w:val="Compact"/>
            </w:pPr>
            <w:r>
              <w:t xml:space="preserve">Every pull request; all automated cases run in the CI pipeline before merge</w:t>
            </w:r>
          </w:p>
        </w:tc>
      </w:tr>
      <w:tr>
        <w:tc>
          <w:tcPr/>
          <w:p>
            <w:pPr>
              <w:pStyle w:val="Compact"/>
            </w:pPr>
            <w:r>
              <w:rPr>
                <w:b/>
                <w:bCs/>
              </w:rPr>
              <w:t xml:space="preserve">Pass Criterion</w:t>
            </w:r>
          </w:p>
        </w:tc>
        <w:tc>
          <w:tcPr/>
          <w:p>
            <w:pPr>
              <w:pStyle w:val="Compact"/>
            </w:pPr>
            <w:r>
              <w:t xml:space="preserve">100% of test cases pass; every FR-</w:t>
            </w:r>
            <w:r>
              <w:rPr>
                <w:i/>
                <w:iCs/>
              </w:rPr>
              <w:t xml:space="preserve">-</w:t>
            </w:r>
            <w:r>
              <w:t xml:space="preserve"> </w:t>
            </w:r>
            <w:r>
              <w:t xml:space="preserve">requirement has at least 1 corresponding test case with a deterministic assertion</w:t>
            </w:r>
          </w:p>
        </w:tc>
      </w:tr>
    </w:tbl>
    <w:p>
      <w:pPr>
        <w:pStyle w:val="BodyText"/>
      </w:pPr>
      <w:r>
        <w:t xml:space="preserve">Functional test IDs follow the pattern</w:t>
      </w:r>
      <w:r>
        <w:t xml:space="preserve"> </w:t>
      </w:r>
      <w:r>
        <w:rPr>
          <w:rStyle w:val="VerbatimChar"/>
        </w:rPr>
        <w:t xml:space="preserve">FT-&lt;Module&gt;-&lt;Sequence&gt;</w:t>
      </w:r>
      <w:r>
        <w:t xml:space="preserve"> </w:t>
      </w:r>
      <w:r>
        <w:t xml:space="preserve">(e.g.,</w:t>
      </w:r>
      <w:r>
        <w:t xml:space="preserve"> </w:t>
      </w:r>
      <w:r>
        <w:rPr>
          <w:rStyle w:val="VerbatimChar"/>
        </w:rPr>
        <w:t xml:space="preserve">FT-GL-001</w:t>
      </w:r>
      <w:r>
        <w:t xml:space="preserve">) and are traceable to the SRS requirement ID in the test management artefact store.</w:t>
      </w:r>
    </w:p>
    <w:p>
      <w:r>
        <w:pict>
          <v:rect style="width:0;height:1.5pt" o:hralign="center" o:hrstd="t" o:hr="t"/>
        </w:pict>
      </w:r>
    </w:p>
    <w:bookmarkEnd w:id="46"/>
    <w:bookmarkStart w:id="48" w:name="X3d0af2a8ded2dd8036ab568a3cc1257ea19ee7b"/>
    <w:p>
      <w:pPr>
        <w:pStyle w:val="Heading2"/>
      </w:pPr>
      <w:r>
        <w:t xml:space="preserve">3.2 Security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Purpose</w:t>
            </w:r>
          </w:p>
        </w:tc>
        <w:tc>
          <w:tcPr/>
          <w:p>
            <w:pPr>
              <w:pStyle w:val="Compact"/>
            </w:pPr>
            <w:r>
              <w:t xml:space="preserve">Verify that the system resists the attack vectors most relevant to a multi-tenant financial SaaS.</w:t>
            </w:r>
          </w:p>
        </w:tc>
      </w:tr>
      <w:tr>
        <w:tc>
          <w:tcPr/>
          <w:p>
            <w:pPr>
              <w:pStyle w:val="Compact"/>
            </w:pPr>
            <w:r>
              <w:rPr>
                <w:b/>
                <w:bCs/>
              </w:rPr>
              <w:t xml:space="preserve">Tools</w:t>
            </w:r>
          </w:p>
        </w:tc>
        <w:tc>
          <w:tcPr/>
          <w:p>
            <w:pPr>
              <w:pStyle w:val="Compact"/>
            </w:pPr>
            <w:r>
              <w:t xml:space="preserve">OWASP Top 10 manual checklist; PHPUnit integration tests for tenant isolation; prepared statement audit via PHPStan custom rule; manual penetration test scripts</w:t>
            </w:r>
          </w:p>
        </w:tc>
      </w:tr>
      <w:tr>
        <w:tc>
          <w:tcPr/>
          <w:p>
            <w:pPr>
              <w:pStyle w:val="Compact"/>
            </w:pPr>
            <w:r>
              <w:rPr>
                <w:b/>
                <w:bCs/>
              </w:rPr>
              <w:t xml:space="preserve">Frequency</w:t>
            </w:r>
          </w:p>
        </w:tc>
        <w:tc>
          <w:tcPr/>
          <w:p>
            <w:pPr>
              <w:pStyle w:val="Compact"/>
            </w:pPr>
            <w:r>
              <w:t xml:space="preserve">Before every release candidate; tenant isolation tests on every PR (see Level 2)</w:t>
            </w:r>
          </w:p>
        </w:tc>
      </w:tr>
      <w:tr>
        <w:tc>
          <w:tcPr/>
          <w:p>
            <w:pPr>
              <w:pStyle w:val="Compact"/>
            </w:pPr>
            <w:r>
              <w:rPr>
                <w:b/>
                <w:bCs/>
              </w:rPr>
              <w:t xml:space="preserve">Pass Criterion</w:t>
            </w:r>
          </w:p>
        </w:tc>
        <w:tc>
          <w:tcPr/>
          <w:p>
            <w:pPr>
              <w:pStyle w:val="Compact"/>
            </w:pPr>
            <w:r>
              <w:t xml:space="preserve">Zero High or Critical security findings open at release; tenant isolation penetration test returns no cross-tenant data</w:t>
            </w:r>
          </w:p>
        </w:tc>
      </w:tr>
    </w:tbl>
    <w:bookmarkStart w:id="47" w:name="X06a07ae1b4e733dcbea3e18517930d42750600f"/>
    <w:p>
      <w:pPr>
        <w:pStyle w:val="Heading3"/>
      </w:pPr>
      <w:r>
        <w:t xml:space="preserve">3.2.1 Security Test Coverage Requirements</w:t>
      </w:r>
    </w:p>
    <w:p>
      <w:pPr>
        <w:pStyle w:val="FirstParagraph"/>
      </w:pPr>
      <w:r>
        <w:t xml:space="preserve">The following attack vectors must have documented test results before any release is approved:</w:t>
      </w:r>
    </w:p>
    <w:p>
      <w:pPr>
        <w:pStyle w:val="Compact"/>
        <w:numPr>
          <w:ilvl w:val="0"/>
          <w:numId w:val="1018"/>
        </w:numPr>
      </w:pPr>
      <w:r>
        <w:rPr>
          <w:b/>
          <w:bCs/>
        </w:rPr>
        <w:t xml:space="preserve">Tenant Data Leakage (GAP-004):</w:t>
      </w:r>
      <w:r>
        <w:t xml:space="preserve"> </w:t>
      </w:r>
      <w:r>
        <w:t xml:space="preserve">Execute authenticated requests as Tenant A attempting to read, write, and delete records belonging to Tenant B across all 16 modules. Each attempt must return HTTP 403 or an empty result set — never Tenant B's data.</w:t>
      </w:r>
    </w:p>
    <w:p>
      <w:pPr>
        <w:pStyle w:val="Compact"/>
        <w:numPr>
          <w:ilvl w:val="0"/>
          <w:numId w:val="1018"/>
        </w:numPr>
      </w:pPr>
      <w:r>
        <w:rPr>
          <w:b/>
          <w:bCs/>
        </w:rPr>
        <w:t xml:space="preserve">SQL Injection:</w:t>
      </w:r>
      <w:r>
        <w:t xml:space="preserve"> </w:t>
      </w:r>
      <w:r>
        <w:t xml:space="preserve">PHPStan static analysis must confirm that every database query uses prepared statements (PDO or Eloquent query builder). No raw string interpolation in SQL expressions. Zero findings required.</w:t>
      </w:r>
    </w:p>
    <w:p>
      <w:pPr>
        <w:pStyle w:val="Compact"/>
        <w:numPr>
          <w:ilvl w:val="0"/>
          <w:numId w:val="1018"/>
        </w:numPr>
      </w:pPr>
      <w:r>
        <w:rPr>
          <w:b/>
          <w:bCs/>
        </w:rPr>
        <w:t xml:space="preserve">CSRF Token Validation:</w:t>
      </w:r>
      <w:r>
        <w:t xml:space="preserve"> </w:t>
      </w:r>
      <w:r>
        <w:t xml:space="preserve">Every state-changing web form submission (POST, PUT, DELETE) must include a valid CSRF token. Requests with a missing or invalid CSRF token must return HTTP 419. Test case executes a form submission with a deliberately invalid token and asserts HTTP 419.</w:t>
      </w:r>
    </w:p>
    <w:p>
      <w:pPr>
        <w:pStyle w:val="Compact"/>
        <w:numPr>
          <w:ilvl w:val="0"/>
          <w:numId w:val="1018"/>
        </w:numPr>
      </w:pPr>
      <w:r>
        <w:rPr>
          <w:b/>
          <w:bCs/>
        </w:rPr>
        <w:t xml:space="preserve">JWT Security (Mobile API):</w:t>
      </w:r>
      <w:r>
        <w:t xml:space="preserve"> </w:t>
      </w:r>
      <w:r>
        <w:t xml:space="preserve">Test cases must verify: (a) expired JWT returns HTTP 401; (b) revoked JWT returns HTTP 401 even before natural expiry; (c) JWT signed with a wrong secret returns HTTP 401; (d) JWT refresh token accepted only once (single-use rotation).</w:t>
      </w:r>
    </w:p>
    <w:p>
      <w:pPr>
        <w:pStyle w:val="Compact"/>
        <w:numPr>
          <w:ilvl w:val="0"/>
          <w:numId w:val="1018"/>
        </w:numPr>
      </w:pPr>
      <w:r>
        <w:rPr>
          <w:b/>
          <w:bCs/>
        </w:rPr>
        <w:t xml:space="preserve">Brute-Force Lockout:</w:t>
      </w:r>
      <w:r>
        <w:t xml:space="preserve"> </w:t>
      </w:r>
      <w:r>
        <w:t xml:space="preserve">After 5 consecutive failed login attempts from the same IP within 10 minutes, the account is locked for 15 minutes. Test case asserts that attempt 6 returns HTTP 429 and that the lockout clears after 15 minutes.</w:t>
      </w:r>
    </w:p>
    <w:p>
      <w:pPr>
        <w:pStyle w:val="Compact"/>
        <w:numPr>
          <w:ilvl w:val="0"/>
          <w:numId w:val="1018"/>
        </w:numPr>
      </w:pPr>
      <w:r>
        <w:rPr>
          <w:b/>
          <w:bCs/>
        </w:rPr>
        <w:t xml:space="preserve">OWASP Top 10 Checklist:</w:t>
      </w:r>
      <w:r>
        <w:t xml:space="preserve"> </w:t>
      </w:r>
      <w:r>
        <w:t xml:space="preserve">A documented walkthrough of all 10 categories is completed and signed off by the tech lead before each major release.</w:t>
      </w:r>
    </w:p>
    <w:p>
      <w:r>
        <w:pict>
          <v:rect style="width:0;height:1.5pt" o:hralign="center" o:hrstd="t" o:hr="t"/>
        </w:pict>
      </w:r>
    </w:p>
    <w:bookmarkEnd w:id="47"/>
    <w:bookmarkEnd w:id="48"/>
    <w:bookmarkStart w:id="51" w:name="X71a103d2e40c714453a8b1d6bd52a8345273331"/>
    <w:p>
      <w:pPr>
        <w:pStyle w:val="Heading2"/>
      </w:pPr>
      <w:r>
        <w:t xml:space="preserve">3.3 Performance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Purpose</w:t>
            </w:r>
          </w:p>
        </w:tc>
        <w:tc>
          <w:tcPr/>
          <w:p>
            <w:pPr>
              <w:pStyle w:val="Compact"/>
            </w:pPr>
            <w:r>
              <w:t xml:space="preserve">Verify that NFR performance targets are met under the specified concurrent load profile.</w:t>
            </w:r>
          </w:p>
        </w:tc>
      </w:tr>
      <w:tr>
        <w:tc>
          <w:tcPr/>
          <w:p>
            <w:pPr>
              <w:pStyle w:val="Compact"/>
            </w:pPr>
            <w:r>
              <w:rPr>
                <w:b/>
                <w:bCs/>
              </w:rPr>
              <w:t xml:space="preserve">Tools</w:t>
            </w:r>
          </w:p>
        </w:tc>
        <w:tc>
          <w:tcPr/>
          <w:p>
            <w:pPr>
              <w:pStyle w:val="Compact"/>
            </w:pPr>
            <w:r>
              <w:t xml:space="preserve">Apache JMeter or k6 (project team chooses one tool and standardises before the first performance test cycle)</w:t>
            </w:r>
          </w:p>
        </w:tc>
      </w:tr>
      <w:tr>
        <w:tc>
          <w:tcPr/>
          <w:p>
            <w:pPr>
              <w:pStyle w:val="Compact"/>
            </w:pPr>
            <w:r>
              <w:rPr>
                <w:b/>
                <w:bCs/>
              </w:rPr>
              <w:t xml:space="preserve">Frequency</w:t>
            </w:r>
          </w:p>
        </w:tc>
        <w:tc>
          <w:tcPr/>
          <w:p>
            <w:pPr>
              <w:pStyle w:val="Compact"/>
            </w:pPr>
            <w:r>
              <w:t xml:space="preserve">Before every release candidate; re-run on any commit that touches a query used in a critical path</w:t>
            </w:r>
          </w:p>
        </w:tc>
      </w:tr>
      <w:tr>
        <w:tc>
          <w:tcPr/>
          <w:p>
            <w:pPr>
              <w:pStyle w:val="Compact"/>
            </w:pPr>
            <w:r>
              <w:rPr>
                <w:b/>
                <w:bCs/>
              </w:rPr>
              <w:t xml:space="preserve">Pass Criterion</w:t>
            </w:r>
          </w:p>
        </w:tc>
        <w:tc>
          <w:tcPr/>
          <w:p>
            <w:pPr>
              <w:pStyle w:val="Compact"/>
            </w:pPr>
            <w:r>
              <w:t xml:space="preserve">All 6 NFR performance targets below are met simultaneously under the 100-concurrent-user load profile</w:t>
            </w:r>
          </w:p>
        </w:tc>
      </w:tr>
    </w:tbl>
    <w:bookmarkStart w:id="49" w:name="Xa018a4d5320834eddeda50f2407527bd70a29aa"/>
    <w:p>
      <w:pPr>
        <w:pStyle w:val="Heading3"/>
      </w:pPr>
      <w:r>
        <w:t xml:space="preserve">3.3.1 NFR Performance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NFR ID</w:t>
            </w:r>
          </w:p>
        </w:tc>
        <w:tc>
          <w:tcPr/>
          <w:p>
            <w:pPr>
              <w:pStyle w:val="Compact"/>
            </w:pPr>
            <w:r>
              <w:t xml:space="preserve">Target</w:t>
            </w:r>
          </w:p>
        </w:tc>
        <w:tc>
          <w:tcPr/>
          <w:p>
            <w:pPr>
              <w:pStyle w:val="Compact"/>
            </w:pPr>
            <w:r>
              <w:t xml:space="preserve">Load Profile</w:t>
            </w:r>
          </w:p>
        </w:tc>
      </w:tr>
      <w:tr>
        <w:tc>
          <w:tcPr/>
          <w:p>
            <w:pPr>
              <w:pStyle w:val="Compact"/>
            </w:pPr>
            <w:r>
              <w:t xml:space="preserve">NFR-PERF-001</w:t>
            </w:r>
          </w:p>
        </w:tc>
        <w:tc>
          <w:tcPr/>
          <w:p>
            <w:pPr>
              <w:pStyle w:val="Compact"/>
            </w:pPr>
            <w:r>
              <w:t xml:space="preserve">Web page load ≤ 2 s at P95</w:t>
            </w:r>
          </w:p>
        </w:tc>
        <w:tc>
          <w:tcPr/>
          <w:p>
            <w:pPr>
              <w:pStyle w:val="Compact"/>
            </w:pPr>
            <w:r>
              <w:t xml:space="preserve">100 concurrent users, standard browse pattern</w:t>
            </w:r>
          </w:p>
        </w:tc>
      </w:tr>
      <w:tr>
        <w:tc>
          <w:tcPr/>
          <w:p>
            <w:pPr>
              <w:pStyle w:val="Compact"/>
            </w:pPr>
            <w:r>
              <w:t xml:space="preserve">NFR-PERF-002</w:t>
            </w:r>
          </w:p>
        </w:tc>
        <w:tc>
          <w:tcPr/>
          <w:p>
            <w:pPr>
              <w:pStyle w:val="Compact"/>
            </w:pPr>
            <w:r>
              <w:t xml:space="preserve">Payroll run ≤ 30 s for 500 employees</w:t>
            </w:r>
          </w:p>
        </w:tc>
        <w:tc>
          <w:tcPr/>
          <w:p>
            <w:pPr>
              <w:pStyle w:val="Compact"/>
            </w:pPr>
            <w:r>
              <w:t xml:space="preserve">Single payroll run job, staging data</w:t>
            </w:r>
          </w:p>
        </w:tc>
      </w:tr>
      <w:tr>
        <w:tc>
          <w:tcPr/>
          <w:p>
            <w:pPr>
              <w:pStyle w:val="Compact"/>
            </w:pPr>
            <w:r>
              <w:t xml:space="preserve">NFR-PERF-003</w:t>
            </w:r>
          </w:p>
        </w:tc>
        <w:tc>
          <w:tcPr/>
          <w:p>
            <w:pPr>
              <w:pStyle w:val="Compact"/>
            </w:pPr>
            <w:r>
              <w:t xml:space="preserve">Mobile API response ≤ 500 ms at P95</w:t>
            </w:r>
          </w:p>
        </w:tc>
        <w:tc>
          <w:tcPr/>
          <w:p>
            <w:pPr>
              <w:pStyle w:val="Compact"/>
            </w:pPr>
            <w:r>
              <w:t xml:space="preserve">100 concurrent mobile API requests</w:t>
            </w:r>
          </w:p>
        </w:tc>
      </w:tr>
      <w:tr>
        <w:tc>
          <w:tcPr/>
          <w:p>
            <w:pPr>
              <w:pStyle w:val="Compact"/>
            </w:pPr>
            <w:r>
              <w:t xml:space="preserve">NFR-ASSET-001</w:t>
            </w:r>
          </w:p>
        </w:tc>
        <w:tc>
          <w:tcPr/>
          <w:p>
            <w:pPr>
              <w:pStyle w:val="Compact"/>
            </w:pPr>
            <w:r>
              <w:t xml:space="preserve">Depreciation run ≤ 30 s for 5,000 assets</w:t>
            </w:r>
          </w:p>
        </w:tc>
        <w:tc>
          <w:tcPr/>
          <w:p>
            <w:pPr>
              <w:pStyle w:val="Compact"/>
            </w:pPr>
            <w:r>
              <w:t xml:space="preserve">Single depreciation batch job, staging data</w:t>
            </w:r>
          </w:p>
        </w:tc>
      </w:tr>
      <w:tr>
        <w:tc>
          <w:tcPr/>
          <w:p>
            <w:pPr>
              <w:pStyle w:val="Compact"/>
            </w:pPr>
            <w:r>
              <w:t xml:space="preserve">NFR-COOP-001</w:t>
            </w:r>
          </w:p>
        </w:tc>
        <w:tc>
          <w:tcPr/>
          <w:p>
            <w:pPr>
              <w:pStyle w:val="Compact"/>
            </w:pPr>
            <w:r>
              <w:t xml:space="preserve">Cooperative bulk payment ≤ 60 s for 1,000 farmers</w:t>
            </w:r>
          </w:p>
        </w:tc>
        <w:tc>
          <w:tcPr/>
          <w:p>
            <w:pPr>
              <w:pStyle w:val="Compact"/>
            </w:pPr>
            <w:r>
              <w:t xml:space="preserve">Single bulk payment dispatch job</w:t>
            </w:r>
          </w:p>
        </w:tc>
      </w:tr>
      <w:tr>
        <w:tc>
          <w:tcPr/>
          <w:p>
            <w:pPr>
              <w:pStyle w:val="Compact"/>
            </w:pPr>
            <w:r>
              <w:t xml:space="preserve">NFR-AVAIL-001</w:t>
            </w:r>
          </w:p>
        </w:tc>
        <w:tc>
          <w:tcPr/>
          <w:p>
            <w:pPr>
              <w:pStyle w:val="Compact"/>
            </w:pPr>
            <w:r>
              <w:t xml:space="preserve">System uptime ≥ 99.5%</w:t>
            </w:r>
          </w:p>
        </w:tc>
        <w:tc>
          <w:tcPr/>
          <w:p>
            <w:pPr>
              <w:pStyle w:val="Compact"/>
            </w:pPr>
            <w:r>
              <w:t xml:space="preserve">Measured over rolling 30-day window via external uptime monitor</w:t>
            </w:r>
          </w:p>
        </w:tc>
      </w:tr>
    </w:tbl>
    <w:bookmarkEnd w:id="49"/>
    <w:bookmarkStart w:id="50" w:name="X587cfccf1dec8eb1e7205dc54af83f13a13a3ea"/>
    <w:p>
      <w:pPr>
        <w:pStyle w:val="Heading3"/>
      </w:pPr>
      <w:r>
        <w:t xml:space="preserve">3.3.2 Performance Test Data Requirements</w:t>
      </w:r>
    </w:p>
    <w:p>
      <w:pPr>
        <w:pStyle w:val="Compact"/>
        <w:numPr>
          <w:ilvl w:val="0"/>
          <w:numId w:val="1019"/>
        </w:numPr>
      </w:pPr>
      <w:r>
        <w:t xml:space="preserve">The staging database must contain ≥ 500 employee records in the payroll module before the payroll performance test executes.</w:t>
      </w:r>
    </w:p>
    <w:p>
      <w:pPr>
        <w:pStyle w:val="Compact"/>
        <w:numPr>
          <w:ilvl w:val="0"/>
          <w:numId w:val="1019"/>
        </w:numPr>
      </w:pPr>
      <w:r>
        <w:t xml:space="preserve">The staging database must contain ≥ 5,000 active asset records before the depreciation performance test executes.</w:t>
      </w:r>
    </w:p>
    <w:p>
      <w:pPr>
        <w:pStyle w:val="Compact"/>
        <w:numPr>
          <w:ilvl w:val="0"/>
          <w:numId w:val="1019"/>
        </w:numPr>
      </w:pPr>
      <w:r>
        <w:t xml:space="preserve">The staging cooperative module must contain ≥ 1,000 registered farmer records before the bulk payment test executes.</w:t>
      </w:r>
    </w:p>
    <w:p>
      <w:r>
        <w:pict>
          <v:rect style="width:0;height:1.5pt" o:hralign="center" o:hrstd="t" o:hr="t"/>
        </w:pict>
      </w:r>
    </w:p>
    <w:bookmarkEnd w:id="50"/>
    <w:bookmarkEnd w:id="51"/>
    <w:bookmarkStart w:id="52" w:name="Xe60848e1b908ef9e329860528ecbe797ed557e3"/>
    <w:p>
      <w:pPr>
        <w:pStyle w:val="Heading2"/>
      </w:pPr>
      <w:r>
        <w:t xml:space="preserve">3.4 Static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Purpose</w:t>
            </w:r>
          </w:p>
        </w:tc>
        <w:tc>
          <w:tcPr/>
          <w:p>
            <w:pPr>
              <w:pStyle w:val="Compact"/>
            </w:pPr>
            <w:r>
              <w:t xml:space="preserve">Detect type errors, undefined variables, unreachable code, and unsafe patterns before runtime.</w:t>
            </w:r>
          </w:p>
        </w:tc>
      </w:tr>
      <w:tr>
        <w:tc>
          <w:tcPr/>
          <w:p>
            <w:pPr>
              <w:pStyle w:val="Compact"/>
            </w:pPr>
            <w:r>
              <w:rPr>
                <w:b/>
                <w:bCs/>
              </w:rPr>
              <w:t xml:space="preserve">Tools</w:t>
            </w:r>
          </w:p>
        </w:tc>
        <w:tc>
          <w:tcPr/>
          <w:p>
            <w:pPr>
              <w:pStyle w:val="Compact"/>
            </w:pPr>
            <w:r>
              <w:t xml:space="preserve">PHPStan 1.11, level 8 (maximum strictness)</w:t>
            </w:r>
          </w:p>
        </w:tc>
      </w:tr>
      <w:tr>
        <w:tc>
          <w:tcPr/>
          <w:p>
            <w:pPr>
              <w:pStyle w:val="Compact"/>
            </w:pPr>
            <w:r>
              <w:rPr>
                <w:b/>
                <w:bCs/>
              </w:rPr>
              <w:t xml:space="preserve">Frequency</w:t>
            </w:r>
          </w:p>
        </w:tc>
        <w:tc>
          <w:tcPr/>
          <w:p>
            <w:pPr>
              <w:pStyle w:val="Compact"/>
            </w:pPr>
            <w:r>
              <w:t xml:space="preserve">Every commit (pre-push hook and CI pipeline)</w:t>
            </w:r>
          </w:p>
        </w:tc>
      </w:tr>
      <w:tr>
        <w:tc>
          <w:tcPr/>
          <w:p>
            <w:pPr>
              <w:pStyle w:val="Compact"/>
            </w:pPr>
            <w:r>
              <w:rPr>
                <w:b/>
                <w:bCs/>
              </w:rPr>
              <w:t xml:space="preserve">Pass Criterion</w:t>
            </w:r>
          </w:p>
        </w:tc>
        <w:tc>
          <w:tcPr/>
          <w:p>
            <w:pPr>
              <w:pStyle w:val="Compact"/>
            </w:pPr>
            <w:r>
              <w:t xml:space="preserve">Zero errors reported by PHPStan at level 8 on the branch under test</w:t>
            </w:r>
          </w:p>
        </w:tc>
      </w:tr>
    </w:tbl>
    <w:p>
      <w:pPr>
        <w:pStyle w:val="BodyText"/>
      </w:pPr>
      <w:r>
        <w:t xml:space="preserve">PHPStan configuration is maintained in</w:t>
      </w:r>
      <w:r>
        <w:t xml:space="preserve"> </w:t>
      </w:r>
      <w:r>
        <w:rPr>
          <w:rStyle w:val="VerbatimChar"/>
        </w:rPr>
        <w:t xml:space="preserve">phpstan.neon</w:t>
      </w:r>
      <w:r>
        <w:t xml:space="preserve"> </w:t>
      </w:r>
      <w:r>
        <w:t xml:space="preserve">at the project root. The baseline file (</w:t>
      </w:r>
      <w:r>
        <w:rPr>
          <w:rStyle w:val="VerbatimChar"/>
        </w:rPr>
        <w:t xml:space="preserve">phpstan-baseline.neon</w:t>
      </w:r>
      <w:r>
        <w:t xml:space="preserve">) must remain empty — no errors are grandfathered. Any suppression of a PHPStan error via</w:t>
      </w:r>
      <w:r>
        <w:t xml:space="preserve"> </w:t>
      </w:r>
      <w:r>
        <w:rPr>
          <w:rStyle w:val="VerbatimChar"/>
        </w:rPr>
        <w:t xml:space="preserve">@phpstan-ignore</w:t>
      </w:r>
      <w:r>
        <w:t xml:space="preserve"> </w:t>
      </w:r>
      <w:r>
        <w:t xml:space="preserve">requires a comment justifying the suppression and approval from the tech lead in the PR review.</w:t>
      </w:r>
    </w:p>
    <w:p>
      <w:r>
        <w:pict>
          <v:rect style="width:0;height:1.5pt" o:hralign="center" o:hrstd="t" o:hr="t"/>
        </w:pict>
      </w:r>
    </w:p>
    <w:bookmarkEnd w:id="52"/>
    <w:bookmarkStart w:id="53" w:name="X5a60f64afeaa63a60ac074d281bfac283af582d"/>
    <w:p>
      <w:pPr>
        <w:pStyle w:val="Heading2"/>
      </w:pPr>
      <w:r>
        <w:t xml:space="preserve">3.5 Code Style Compliance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Purpose</w:t>
            </w:r>
          </w:p>
        </w:tc>
        <w:tc>
          <w:tcPr/>
          <w:p>
            <w:pPr>
              <w:pStyle w:val="Compact"/>
            </w:pPr>
            <w:r>
              <w:t xml:space="preserve">Enforce consistent formatting so that code review effort focuses on logic rather than style.</w:t>
            </w:r>
          </w:p>
        </w:tc>
      </w:tr>
      <w:tr>
        <w:tc>
          <w:tcPr/>
          <w:p>
            <w:pPr>
              <w:pStyle w:val="Compact"/>
            </w:pPr>
            <w:r>
              <w:rPr>
                <w:b/>
                <w:bCs/>
              </w:rPr>
              <w:t xml:space="preserve">Tools</w:t>
            </w:r>
          </w:p>
        </w:tc>
        <w:tc>
          <w:tcPr/>
          <w:p>
            <w:pPr>
              <w:pStyle w:val="Compact"/>
            </w:pPr>
            <w:r>
              <w:t xml:space="preserve">PHP CS Fixer 3.64</w:t>
            </w:r>
          </w:p>
        </w:tc>
      </w:tr>
      <w:tr>
        <w:tc>
          <w:tcPr/>
          <w:p>
            <w:pPr>
              <w:pStyle w:val="Compact"/>
            </w:pPr>
            <w:r>
              <w:rPr>
                <w:b/>
                <w:bCs/>
              </w:rPr>
              <w:t xml:space="preserve">Frequency</w:t>
            </w:r>
          </w:p>
        </w:tc>
        <w:tc>
          <w:tcPr/>
          <w:p>
            <w:pPr>
              <w:pStyle w:val="Compact"/>
            </w:pPr>
            <w:r>
              <w:t xml:space="preserve">Every commit (pre-push hook)</w:t>
            </w:r>
          </w:p>
        </w:tc>
      </w:tr>
      <w:tr>
        <w:tc>
          <w:tcPr/>
          <w:p>
            <w:pPr>
              <w:pStyle w:val="Compact"/>
            </w:pPr>
            <w:r>
              <w:rPr>
                <w:b/>
                <w:bCs/>
              </w:rPr>
              <w:t xml:space="preserve">Pass Criterion</w:t>
            </w:r>
          </w:p>
        </w:tc>
        <w:tc>
          <w:tcPr/>
          <w:p>
            <w:pPr>
              <w:pStyle w:val="Compact"/>
            </w:pPr>
            <w:r>
              <w:t xml:space="preserve">Zero violations reported by PHP CS Fixer in</w:t>
            </w:r>
            <w:r>
              <w:t xml:space="preserve"> </w:t>
            </w:r>
            <w:r>
              <w:rPr>
                <w:rStyle w:val="VerbatimChar"/>
              </w:rPr>
              <w:t xml:space="preserve">--dry-run</w:t>
            </w:r>
            <w:r>
              <w:t xml:space="preserve"> </w:t>
            </w:r>
            <w:r>
              <w:t xml:space="preserve">mode</w:t>
            </w:r>
          </w:p>
        </w:tc>
      </w:tr>
    </w:tbl>
    <w:p>
      <w:pPr>
        <w:pStyle w:val="BodyText"/>
      </w:pPr>
      <w:r>
        <w:t xml:space="preserve">PHP CS Fixer configuration is maintained in</w:t>
      </w:r>
      <w:r>
        <w:t xml:space="preserve"> </w:t>
      </w:r>
      <w:r>
        <w:rPr>
          <w:rStyle w:val="VerbatimChar"/>
        </w:rPr>
        <w:t xml:space="preserve">.php-cs-fixer.php</w:t>
      </w:r>
      <w:r>
        <w:t xml:space="preserve"> </w:t>
      </w:r>
      <w:r>
        <w:t xml:space="preserve">at the project root. The ruleset must not be modified without a change record in the project changelog.</w:t>
      </w:r>
    </w:p>
    <w:p>
      <w:r>
        <w:pict>
          <v:rect style="width:0;height:1.5pt" o:hralign="center" o:hrstd="t" o:hr="t"/>
        </w:pict>
      </w:r>
    </w:p>
    <w:bookmarkEnd w:id="53"/>
    <w:bookmarkStart w:id="54" w:name="X3e72b0bc15036809f5559f3c4f7cf33ad2b58a2"/>
    <w:p>
      <w:pPr>
        <w:pStyle w:val="Heading2"/>
      </w:pPr>
      <w:r>
        <w:t xml:space="preserve">3.6 Regression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Purpose</w:t>
            </w:r>
          </w:p>
        </w:tc>
        <w:tc>
          <w:tcPr/>
          <w:p>
            <w:pPr>
              <w:pStyle w:val="Compact"/>
            </w:pPr>
            <w:r>
              <w:t xml:space="preserve">Confirm that previously passing functionality has not been broken by new changes.</w:t>
            </w:r>
          </w:p>
        </w:tc>
      </w:tr>
      <w:tr>
        <w:tc>
          <w:tcPr/>
          <w:p>
            <w:pPr>
              <w:pStyle w:val="Compact"/>
            </w:pPr>
            <w:r>
              <w:rPr>
                <w:b/>
                <w:bCs/>
              </w:rPr>
              <w:t xml:space="preserve">Tools</w:t>
            </w:r>
          </w:p>
        </w:tc>
        <w:tc>
          <w:tcPr/>
          <w:p>
            <w:pPr>
              <w:pStyle w:val="Compact"/>
            </w:pPr>
            <w:r>
              <w:t xml:space="preserve">Full PHPUnit 11.2 test suite (unit + integration)</w:t>
            </w:r>
          </w:p>
        </w:tc>
      </w:tr>
      <w:tr>
        <w:tc>
          <w:tcPr/>
          <w:p>
            <w:pPr>
              <w:pStyle w:val="Compact"/>
            </w:pPr>
            <w:r>
              <w:rPr>
                <w:b/>
                <w:bCs/>
              </w:rPr>
              <w:t xml:space="preserve">Frequency</w:t>
            </w:r>
          </w:p>
        </w:tc>
        <w:tc>
          <w:tcPr/>
          <w:p>
            <w:pPr>
              <w:pStyle w:val="Compact"/>
            </w:pPr>
            <w:r>
              <w:t xml:space="preserve">Before every release candidate build; after every Critical or High defect fix</w:t>
            </w:r>
          </w:p>
        </w:tc>
      </w:tr>
      <w:tr>
        <w:tc>
          <w:tcPr/>
          <w:p>
            <w:pPr>
              <w:pStyle w:val="Compact"/>
            </w:pPr>
            <w:r>
              <w:rPr>
                <w:b/>
                <w:bCs/>
              </w:rPr>
              <w:t xml:space="preserve">Pass Criterion</w:t>
            </w:r>
          </w:p>
        </w:tc>
        <w:tc>
          <w:tcPr/>
          <w:p>
            <w:pPr>
              <w:pStyle w:val="Compact"/>
            </w:pPr>
            <w:r>
              <w:t xml:space="preserve">100% of the full PHPUnit suite passes on the release branch</w:t>
            </w:r>
          </w:p>
        </w:tc>
      </w:tr>
    </w:tbl>
    <w:p>
      <w:pPr>
        <w:pStyle w:val="BodyText"/>
      </w:pPr>
      <w:r>
        <w:t xml:space="preserve">The regression suite is the complete set of unit and integration tests accumulated over the project lifecycle. No test case may be deleted without the tech lead's approval and a documented justification.</w:t>
      </w:r>
    </w:p>
    <w:p>
      <w:r>
        <w:pict>
          <v:rect style="width:0;height:1.5pt" o:hralign="center" o:hrstd="t" o:hr="t"/>
        </w:pict>
      </w:r>
    </w:p>
    <w:bookmarkEnd w:id="54"/>
    <w:bookmarkStart w:id="56" w:name="X6441ee887e24355c8714bba053d253f4d5f6f7f"/>
    <w:p>
      <w:pPr>
        <w:pStyle w:val="Heading2"/>
      </w:pPr>
      <w:r>
        <w:t xml:space="preserve">3.7 Mobile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Purpose</w:t>
            </w:r>
          </w:p>
        </w:tc>
        <w:tc>
          <w:tcPr/>
          <w:p>
            <w:pPr>
              <w:pStyle w:val="Compact"/>
            </w:pPr>
            <w:r>
              <w:t xml:space="preserve">Verify functional correctness, offline-sync behaviour, and platform-specific rendering on Android and iOS.</w:t>
            </w:r>
          </w:p>
        </w:tc>
      </w:tr>
      <w:tr>
        <w:tc>
          <w:tcPr/>
          <w:p>
            <w:pPr>
              <w:pStyle w:val="Compact"/>
            </w:pPr>
            <w:r>
              <w:rPr>
                <w:b/>
                <w:bCs/>
              </w:rPr>
              <w:t xml:space="preserve">Tools</w:t>
            </w:r>
          </w:p>
        </w:tc>
        <w:tc>
          <w:tcPr/>
          <w:p>
            <w:pPr>
              <w:pStyle w:val="Compact"/>
            </w:pPr>
            <w:r>
              <w:t xml:space="preserve">Android Emulator (API 29+) and physical Android device; iOS Simulator (iOS 16+) and physical iPhone</w:t>
            </w:r>
          </w:p>
        </w:tc>
      </w:tr>
      <w:tr>
        <w:tc>
          <w:tcPr/>
          <w:p>
            <w:pPr>
              <w:pStyle w:val="Compact"/>
            </w:pPr>
            <w:r>
              <w:rPr>
                <w:b/>
                <w:bCs/>
              </w:rPr>
              <w:t xml:space="preserve">Frequency</w:t>
            </w:r>
          </w:p>
        </w:tc>
        <w:tc>
          <w:tcPr/>
          <w:p>
            <w:pPr>
              <w:pStyle w:val="Compact"/>
            </w:pPr>
            <w:r>
              <w:t xml:space="preserve">Before every mobile release build</w:t>
            </w:r>
          </w:p>
        </w:tc>
      </w:tr>
      <w:tr>
        <w:tc>
          <w:tcPr/>
          <w:p>
            <w:pPr>
              <w:pStyle w:val="Compact"/>
            </w:pPr>
            <w:r>
              <w:rPr>
                <w:b/>
                <w:bCs/>
              </w:rPr>
              <w:t xml:space="preserve">Pass Criterion</w:t>
            </w:r>
          </w:p>
        </w:tc>
        <w:tc>
          <w:tcPr/>
          <w:p>
            <w:pPr>
              <w:pStyle w:val="Compact"/>
            </w:pPr>
            <w:r>
              <w:t xml:space="preserve">All mobile test scripts pass on both emulator/simulator and at least 1 physical device per platform; offline sync test passes</w:t>
            </w:r>
          </w:p>
        </w:tc>
      </w:tr>
    </w:tbl>
    <w:bookmarkStart w:id="55" w:name="X5cdf1469715151c29bea305958d054e12160a04"/>
    <w:p>
      <w:pPr>
        <w:pStyle w:val="Heading3"/>
      </w:pPr>
      <w:r>
        <w:t xml:space="preserve">3.7.1 Mandatory Mobile Test Scenarios</w:t>
      </w:r>
    </w:p>
    <w:p>
      <w:pPr>
        <w:pStyle w:val="Compact"/>
        <w:numPr>
          <w:ilvl w:val="0"/>
          <w:numId w:val="1020"/>
        </w:numPr>
      </w:pPr>
      <w:r>
        <w:rPr>
          <w:b/>
          <w:bCs/>
        </w:rPr>
        <w:t xml:space="preserve">Offline Mode:</w:t>
      </w:r>
      <w:r>
        <w:t xml:space="preserve"> </w:t>
      </w:r>
      <w:r>
        <w:t xml:space="preserve">Disconnect the test device from the network mid-session after loading a data form. Complete form entry and submit. Reconnect. Assert that the record is synchronised to the server within 30 seconds of reconnection and that no data is lost.</w:t>
      </w:r>
    </w:p>
    <w:p>
      <w:pPr>
        <w:pStyle w:val="Compact"/>
        <w:numPr>
          <w:ilvl w:val="0"/>
          <w:numId w:val="1020"/>
        </w:numPr>
      </w:pPr>
      <w:r>
        <w:rPr>
          <w:b/>
          <w:bCs/>
        </w:rPr>
        <w:t xml:space="preserve">JWT Refresh Flow:</w:t>
      </w:r>
      <w:r>
        <w:t xml:space="preserve"> </w:t>
      </w:r>
      <w:r>
        <w:t xml:space="preserve">Allow the access token to expire while the app is in the foreground. Assert that the app silently refreshes the token without requiring the user to re-authenticate, and that the in-progress user action completes successfully.</w:t>
      </w:r>
    </w:p>
    <w:p>
      <w:pPr>
        <w:pStyle w:val="Compact"/>
        <w:numPr>
          <w:ilvl w:val="0"/>
          <w:numId w:val="1020"/>
        </w:numPr>
      </w:pPr>
      <w:r>
        <w:rPr>
          <w:b/>
          <w:bCs/>
        </w:rPr>
        <w:t xml:space="preserve">Platform Rendering:</w:t>
      </w:r>
      <w:r>
        <w:t xml:space="preserve"> </w:t>
      </w:r>
      <w:r>
        <w:t xml:space="preserve">Execute the full mobile smoke test script on an Android device (API 29) and an iOS device (iOS 16) to verify that all screens render without layout overflow, truncation, or missing elements.</w:t>
      </w:r>
    </w:p>
    <w:p>
      <w:r>
        <w:pict>
          <v:rect style="width:0;height:1.5pt" o:hralign="center" o:hrstd="t" o:hr="t"/>
        </w:pict>
      </w:r>
    </w:p>
    <w:bookmarkEnd w:id="55"/>
    <w:bookmarkEnd w:id="56"/>
    <w:bookmarkStart w:id="57" w:name="Xe0e6c3db487a1394177a4a89fb4bdb8302de713"/>
    <w:p>
      <w:pPr>
        <w:pStyle w:val="Heading2"/>
      </w:pPr>
      <w:r>
        <w:t xml:space="preserve">3.8 Accessibility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Purpose</w:t>
            </w:r>
          </w:p>
        </w:tc>
        <w:tc>
          <w:tcPr/>
          <w:p>
            <w:pPr>
              <w:pStyle w:val="Compact"/>
            </w:pPr>
            <w:r>
              <w:t xml:space="preserve">Verify conformance to WCAG 2.1 Level AA on the web interface.</w:t>
            </w:r>
          </w:p>
        </w:tc>
      </w:tr>
      <w:tr>
        <w:tc>
          <w:tcPr/>
          <w:p>
            <w:pPr>
              <w:pStyle w:val="Compact"/>
            </w:pPr>
            <w:r>
              <w:rPr>
                <w:b/>
                <w:bCs/>
              </w:rPr>
              <w:t xml:space="preserve">Tools</w:t>
            </w:r>
          </w:p>
        </w:tc>
        <w:tc>
          <w:tcPr/>
          <w:p>
            <w:pPr>
              <w:pStyle w:val="Compact"/>
            </w:pPr>
            <w:r>
              <w:t xml:space="preserve">axe browser extension (automated scan); manual keyboard-navigation test</w:t>
            </w:r>
          </w:p>
        </w:tc>
      </w:tr>
      <w:tr>
        <w:tc>
          <w:tcPr/>
          <w:p>
            <w:pPr>
              <w:pStyle w:val="Compact"/>
            </w:pPr>
            <w:r>
              <w:rPr>
                <w:b/>
                <w:bCs/>
              </w:rPr>
              <w:t xml:space="preserve">Frequency</w:t>
            </w:r>
          </w:p>
        </w:tc>
        <w:tc>
          <w:tcPr/>
          <w:p>
            <w:pPr>
              <w:pStyle w:val="Compact"/>
            </w:pPr>
            <w:r>
              <w:t xml:space="preserve">Selected screens audited before each major release</w:t>
            </w:r>
          </w:p>
        </w:tc>
      </w:tr>
      <w:tr>
        <w:tc>
          <w:tcPr/>
          <w:p>
            <w:pPr>
              <w:pStyle w:val="Compact"/>
            </w:pPr>
            <w:r>
              <w:rPr>
                <w:b/>
                <w:bCs/>
              </w:rPr>
              <w:t xml:space="preserve">Pass Criterion</w:t>
            </w:r>
          </w:p>
        </w:tc>
        <w:tc>
          <w:tcPr/>
          <w:p>
            <w:pPr>
              <w:pStyle w:val="Compact"/>
            </w:pPr>
            <w:r>
              <w:t xml:space="preserve">Zero axe-reported violations at WCAG 2.1 AA level on audited screens; all interactive elements reachable via keyboard Tab sequence</w:t>
            </w:r>
          </w:p>
        </w:tc>
      </w:tr>
    </w:tbl>
    <w:p>
      <w:pPr>
        <w:pStyle w:val="BodyText"/>
      </w:pPr>
      <w:r>
        <w:t xml:space="preserve">Screens prioritised for accessibility audit: login, dashboard, invoice entry form, payroll run initiation, and the cooperative intake form.</w:t>
      </w:r>
    </w:p>
    <w:p>
      <w:r>
        <w:pict>
          <v:rect style="width:0;height:1.5pt" o:hralign="center" o:hrstd="t" o:hr="t"/>
        </w:pict>
      </w:r>
    </w:p>
    <w:bookmarkEnd w:id="57"/>
    <w:bookmarkStart w:id="58" w:name="Xcec04b0cbb91bd632310c0829efb324e349034e"/>
    <w:p>
      <w:pPr>
        <w:pStyle w:val="Heading2"/>
      </w:pPr>
      <w:r>
        <w:t xml:space="preserve">3.9 Usability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rPr>
                <w:b/>
                <w:bCs/>
              </w:rPr>
              <w:t xml:space="preserve">Purpose</w:t>
            </w:r>
          </w:p>
        </w:tc>
        <w:tc>
          <w:tcPr/>
          <w:p>
            <w:pPr>
              <w:pStyle w:val="Compact"/>
            </w:pPr>
            <w:r>
              <w:t xml:space="preserve">Validate NFR-USAB-001: a first-time user can complete a primary task without assistance.</w:t>
            </w:r>
          </w:p>
        </w:tc>
      </w:tr>
      <w:tr>
        <w:tc>
          <w:tcPr/>
          <w:p>
            <w:pPr>
              <w:pStyle w:val="Compact"/>
            </w:pPr>
            <w:r>
              <w:rPr>
                <w:b/>
                <w:bCs/>
              </w:rPr>
              <w:t xml:space="preserve">Tools</w:t>
            </w:r>
          </w:p>
        </w:tc>
        <w:tc>
          <w:tcPr/>
          <w:p>
            <w:pPr>
              <w:pStyle w:val="Compact"/>
            </w:pPr>
            <w:r>
              <w:t xml:space="preserve">Moderated task-observation sessions; screen recording</w:t>
            </w:r>
          </w:p>
        </w:tc>
      </w:tr>
      <w:tr>
        <w:tc>
          <w:tcPr/>
          <w:p>
            <w:pPr>
              <w:pStyle w:val="Compact"/>
            </w:pPr>
            <w:r>
              <w:rPr>
                <w:b/>
                <w:bCs/>
              </w:rPr>
              <w:t xml:space="preserve">Frequency</w:t>
            </w:r>
          </w:p>
        </w:tc>
        <w:tc>
          <w:tcPr/>
          <w:p>
            <w:pPr>
              <w:pStyle w:val="Compact"/>
            </w:pPr>
            <w:r>
              <w:t xml:space="preserve">Before the first pilot tenant onboarding and before each major UX change release</w:t>
            </w:r>
          </w:p>
        </w:tc>
      </w:tr>
      <w:tr>
        <w:tc>
          <w:tcPr/>
          <w:p>
            <w:pPr>
              <w:pStyle w:val="Compact"/>
            </w:pPr>
            <w:r>
              <w:rPr>
                <w:b/>
                <w:bCs/>
              </w:rPr>
              <w:t xml:space="preserve">Pass Criterion</w:t>
            </w:r>
          </w:p>
        </w:tc>
        <w:tc>
          <w:tcPr/>
          <w:p>
            <w:pPr>
              <w:pStyle w:val="Compact"/>
            </w:pPr>
            <w:r>
              <w:t xml:space="preserve">≥ 4 of 5 representative users, with no prior Longhorn ERP training, complete their first assigned task in ≤ 10 minutes without assistance from the development or product team</w:t>
            </w:r>
          </w:p>
        </w:tc>
      </w:tr>
    </w:tbl>
    <w:p>
      <w:pPr>
        <w:pStyle w:val="BodyText"/>
      </w:pPr>
      <w:r>
        <w:t xml:space="preserve">Representative users are recruited from the target tenant profile (accounting clerks or farm cooperative managers with standard computer literacy). Sessions are recorded with participant consent and findings are logged as usability defects or enhancement requests in the defect tracker.</w:t>
      </w:r>
    </w:p>
    <w:bookmarkEnd w:id="58"/>
    <w:bookmarkEnd w:id="59"/>
    <w:bookmarkStart w:id="73" w:name="test-environments"/>
    <w:p>
      <w:pPr>
        <w:pStyle w:val="Heading1"/>
      </w:pPr>
      <w:r>
        <w:t xml:space="preserve">Test Environments</w:t>
      </w:r>
    </w:p>
    <w:bookmarkStart w:id="60" w:name="X329c38331665c039476fe8e6c2c949ed5ebffc3"/>
    <w:p>
      <w:pPr>
        <w:pStyle w:val="Heading2"/>
      </w:pPr>
      <w:r>
        <w:t xml:space="preserve">4.1 Environment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Environment</w:t>
            </w:r>
          </w:p>
        </w:tc>
        <w:tc>
          <w:tcPr/>
          <w:p>
            <w:pPr>
              <w:pStyle w:val="Compact"/>
            </w:pPr>
            <w:r>
              <w:t xml:space="preserve">Purpose</w:t>
            </w:r>
          </w:p>
        </w:tc>
        <w:tc>
          <w:tcPr/>
          <w:p>
            <w:pPr>
              <w:pStyle w:val="Compact"/>
            </w:pPr>
            <w:r>
              <w:t xml:space="preserve">Database</w:t>
            </w:r>
          </w:p>
        </w:tc>
        <w:tc>
          <w:tcPr/>
          <w:p>
            <w:pPr>
              <w:pStyle w:val="Compact"/>
            </w:pPr>
            <w:r>
              <w:t xml:space="preserve">Data</w:t>
            </w:r>
          </w:p>
        </w:tc>
        <w:tc>
          <w:tcPr/>
          <w:p>
            <w:pPr>
              <w:pStyle w:val="Compact"/>
            </w:pPr>
            <w:r>
              <w:t xml:space="preserve">Reset Cycle</w:t>
            </w:r>
          </w:p>
        </w:tc>
      </w:tr>
      <w:tr>
        <w:tc>
          <w:tcPr/>
          <w:p>
            <w:pPr>
              <w:pStyle w:val="Compact"/>
            </w:pPr>
            <w:r>
              <w:t xml:space="preserve">Development (local)</w:t>
            </w:r>
          </w:p>
        </w:tc>
        <w:tc>
          <w:tcPr/>
          <w:p>
            <w:pPr>
              <w:pStyle w:val="Compact"/>
            </w:pPr>
            <w:r>
              <w:t xml:space="preserve">Unit tests and integration tests</w:t>
            </w:r>
          </w:p>
        </w:tc>
        <w:tc>
          <w:tcPr/>
          <w:p>
            <w:pPr>
              <w:pStyle w:val="Compact"/>
            </w:pPr>
            <w:r>
              <w:t xml:space="preserve">MySQL test schema, isolated per developer workstation</w:t>
            </w:r>
          </w:p>
        </w:tc>
        <w:tc>
          <w:tcPr/>
          <w:p>
            <w:pPr>
              <w:pStyle w:val="Compact"/>
            </w:pPr>
            <w:r>
              <w:t xml:space="preserve">Seeded fixtures generated by seed scripts</w:t>
            </w:r>
          </w:p>
        </w:tc>
        <w:tc>
          <w:tcPr/>
          <w:p>
            <w:pPr>
              <w:pStyle w:val="Compact"/>
            </w:pPr>
            <w:r>
              <w:t xml:space="preserve">Per test class (transactional rollback or schema rebuild)</w:t>
            </w:r>
          </w:p>
        </w:tc>
      </w:tr>
      <w:tr>
        <w:tc>
          <w:tcPr/>
          <w:p>
            <w:pPr>
              <w:pStyle w:val="Compact"/>
            </w:pPr>
            <w:r>
              <w:t xml:space="preserve">Staging</w:t>
            </w:r>
          </w:p>
        </w:tc>
        <w:tc>
          <w:tcPr/>
          <w:p>
            <w:pPr>
              <w:pStyle w:val="Compact"/>
            </w:pPr>
            <w:r>
              <w:t xml:space="preserve">System tests, UAT, performance tests, security tests</w:t>
            </w:r>
          </w:p>
        </w:tc>
        <w:tc>
          <w:tcPr/>
          <w:p>
            <w:pPr>
              <w:pStyle w:val="Compact"/>
            </w:pPr>
            <w:r>
              <w:t xml:space="preserve">MySQL 9.1 production-equivalent schema and engine version</w:t>
            </w:r>
          </w:p>
        </w:tc>
        <w:tc>
          <w:tcPr/>
          <w:p>
            <w:pPr>
              <w:pStyle w:val="Compact"/>
            </w:pPr>
            <w:r>
              <w:t xml:space="preserve">Anonymised production clone or volume-equivalent synthetic data</w:t>
            </w:r>
          </w:p>
        </w:tc>
        <w:tc>
          <w:tcPr/>
          <w:p>
            <w:pPr>
              <w:pStyle w:val="Compact"/>
            </w:pPr>
            <w:r>
              <w:t xml:space="preserve">Full reset weekly; partial reset on demand</w:t>
            </w:r>
          </w:p>
        </w:tc>
      </w:tr>
      <w:tr>
        <w:tc>
          <w:tcPr/>
          <w:p>
            <w:pPr>
              <w:pStyle w:val="Compact"/>
            </w:pPr>
            <w:r>
              <w:t xml:space="preserve">Production</w:t>
            </w:r>
          </w:p>
        </w:tc>
        <w:tc>
          <w:tcPr/>
          <w:p>
            <w:pPr>
              <w:pStyle w:val="Compact"/>
            </w:pPr>
            <w:r>
              <w:t xml:space="preserve">Smoke tests only, executed immediately post-deployment</w:t>
            </w:r>
          </w:p>
        </w:tc>
        <w:tc>
          <w:tcPr/>
          <w:p>
            <w:pPr>
              <w:pStyle w:val="Compact"/>
            </w:pPr>
            <w:r>
              <w:t xml:space="preserve">Production (live)</w:t>
            </w:r>
          </w:p>
        </w:tc>
        <w:tc>
          <w:tcPr/>
          <w:p>
            <w:pPr>
              <w:pStyle w:val="Compact"/>
            </w:pPr>
            <w:r>
              <w:t xml:space="preserve">Live tenant data</w:t>
            </w:r>
          </w:p>
        </w:tc>
        <w:tc>
          <w:tcPr/>
          <w:p>
            <w:pPr>
              <w:pStyle w:val="Compact"/>
            </w:pPr>
            <w:r>
              <w:t xml:space="preserve">Never reset — read-only smoke probes only</w:t>
            </w:r>
          </w:p>
        </w:tc>
      </w:tr>
    </w:tbl>
    <w:bookmarkEnd w:id="60"/>
    <w:bookmarkStart w:id="64" w:name="X1c62403b8793da76e7b07f7a5e8211d9970e341"/>
    <w:p>
      <w:pPr>
        <w:pStyle w:val="Heading2"/>
      </w:pPr>
      <w:r>
        <w:t xml:space="preserve">4.2 Development Environment</w:t>
      </w:r>
    </w:p>
    <w:bookmarkStart w:id="61" w:name="X889d3a62820ae6c904f287d2b443c0dca78c9c6"/>
    <w:p>
      <w:pPr>
        <w:pStyle w:val="Heading3"/>
      </w:pPr>
      <w:r>
        <w:t xml:space="preserve">4.2.1 Configuration</w:t>
      </w:r>
    </w:p>
    <w:p>
      <w:pPr>
        <w:pStyle w:val="Compact"/>
        <w:numPr>
          <w:ilvl w:val="0"/>
          <w:numId w:val="1021"/>
        </w:numPr>
      </w:pPr>
      <w:r>
        <w:t xml:space="preserve">Every developer runs a local Apache + PHP 8.3 + MySQL 9.1 stack matching the production versions.</w:t>
      </w:r>
    </w:p>
    <w:p>
      <w:pPr>
        <w:pStyle w:val="Compact"/>
        <w:numPr>
          <w:ilvl w:val="0"/>
          <w:numId w:val="1021"/>
        </w:numPr>
      </w:pPr>
      <w:r>
        <w:t xml:space="preserve">The test database schema is a separate named database (e.g.,</w:t>
      </w:r>
      <w:r>
        <w:t xml:space="preserve"> </w:t>
      </w:r>
      <w:r>
        <w:rPr>
          <w:rStyle w:val="VerbatimChar"/>
        </w:rPr>
        <w:t xml:space="preserve">longhorn_erp_test</w:t>
      </w:r>
      <w:r>
        <w:t xml:space="preserve">) distinct from the development database (</w:t>
      </w:r>
      <w:r>
        <w:rPr>
          <w:rStyle w:val="VerbatimChar"/>
        </w:rPr>
        <w:t xml:space="preserve">longhorn_erp_dev</w:t>
      </w:r>
      <w:r>
        <w:t xml:space="preserve">).</w:t>
      </w:r>
    </w:p>
    <w:p>
      <w:pPr>
        <w:pStyle w:val="Compact"/>
        <w:numPr>
          <w:ilvl w:val="0"/>
          <w:numId w:val="1021"/>
        </w:numPr>
      </w:pPr>
      <w:r>
        <w:t xml:space="preserve">PHPUnit is configured via</w:t>
      </w:r>
      <w:r>
        <w:t xml:space="preserve"> </w:t>
      </w:r>
      <w:r>
        <w:rPr>
          <w:rStyle w:val="VerbatimChar"/>
        </w:rPr>
        <w:t xml:space="preserve">phpunit.xml</w:t>
      </w:r>
      <w:r>
        <w:t xml:space="preserve"> </w:t>
      </w:r>
      <w:r>
        <w:t xml:space="preserve">to use the test database. The</w:t>
      </w:r>
      <w:r>
        <w:t xml:space="preserve"> </w:t>
      </w:r>
      <w:r>
        <w:rPr>
          <w:rStyle w:val="VerbatimChar"/>
        </w:rPr>
        <w:t xml:space="preserve">APP_ENV=testing</w:t>
      </w:r>
      <w:r>
        <w:t xml:space="preserve"> </w:t>
      </w:r>
      <w:r>
        <w:t xml:space="preserve">environment variable must be set before any test run.</w:t>
      </w:r>
    </w:p>
    <w:bookmarkEnd w:id="61"/>
    <w:bookmarkStart w:id="62" w:name="Xdf83ec683456eea7e15238c5dc4aa2b22b39089"/>
    <w:p>
      <w:pPr>
        <w:pStyle w:val="Heading3"/>
      </w:pPr>
      <w:r>
        <w:t xml:space="preserve">4.2.2 Data Seeding</w:t>
      </w:r>
    </w:p>
    <w:p>
      <w:pPr>
        <w:pStyle w:val="Compact"/>
        <w:numPr>
          <w:ilvl w:val="0"/>
          <w:numId w:val="1022"/>
        </w:numPr>
      </w:pPr>
      <w:r>
        <w:t xml:space="preserve">Seed scripts reside in</w:t>
      </w:r>
      <w:r>
        <w:t xml:space="preserve"> </w:t>
      </w:r>
      <w:r>
        <w:rPr>
          <w:rStyle w:val="VerbatimChar"/>
        </w:rPr>
        <w:t xml:space="preserve">database/seeders/testing/</w:t>
      </w:r>
      <w:r>
        <w:t xml:space="preserve"> </w:t>
      </w:r>
      <w:r>
        <w:t xml:space="preserve">and are invoked by</w:t>
      </w:r>
      <w:r>
        <w:t xml:space="preserve"> </w:t>
      </w:r>
      <w:r>
        <w:rPr>
          <w:rStyle w:val="VerbatimChar"/>
        </w:rPr>
        <w:t xml:space="preserve">php artisan db:seed --env=testing</w:t>
      </w:r>
      <w:r>
        <w:t xml:space="preserve"> </w:t>
      </w:r>
      <w:r>
        <w:t xml:space="preserve">(or the equivalent framework command).</w:t>
      </w:r>
    </w:p>
    <w:p>
      <w:pPr>
        <w:pStyle w:val="Compact"/>
        <w:numPr>
          <w:ilvl w:val="0"/>
          <w:numId w:val="1022"/>
        </w:numPr>
      </w:pPr>
      <w:r>
        <w:t xml:space="preserve">Seed scripts must be deterministic: the same seed script run twice on an empty schema produces identical data.</w:t>
      </w:r>
    </w:p>
    <w:p>
      <w:pPr>
        <w:pStyle w:val="Compact"/>
        <w:numPr>
          <w:ilvl w:val="0"/>
          <w:numId w:val="1022"/>
        </w:numPr>
      </w:pPr>
      <w:r>
        <w:t xml:space="preserve">Each integration test class wraps its database interactions in a transaction that is rolled back in</w:t>
      </w:r>
      <w:r>
        <w:t xml:space="preserve"> </w:t>
      </w:r>
      <w:r>
        <w:rPr>
          <w:rStyle w:val="VerbatimChar"/>
        </w:rPr>
        <w:t xml:space="preserve">tearDown()</w:t>
      </w:r>
      <w:r>
        <w:t xml:space="preserve">, ensuring test isolation without requiring a full schema rebuild between tests.</w:t>
      </w:r>
    </w:p>
    <w:bookmarkEnd w:id="62"/>
    <w:bookmarkStart w:id="63" w:name="Xdb4ba13183eceb12a7a706ae6509735070a891f"/>
    <w:p>
      <w:pPr>
        <w:pStyle w:val="Heading3"/>
      </w:pPr>
      <w:r>
        <w:t xml:space="preserve">4.2.3 Secrets Management</w:t>
      </w:r>
    </w:p>
    <w:p>
      <w:pPr>
        <w:pStyle w:val="Compact"/>
        <w:numPr>
          <w:ilvl w:val="0"/>
          <w:numId w:val="1023"/>
        </w:numPr>
      </w:pPr>
      <w:r>
        <w:t xml:space="preserve">Database credentials, API keys, and JWT secrets are never committed to the repository.</w:t>
      </w:r>
    </w:p>
    <w:p>
      <w:pPr>
        <w:pStyle w:val="Compact"/>
        <w:numPr>
          <w:ilvl w:val="0"/>
          <w:numId w:val="1023"/>
        </w:numPr>
      </w:pPr>
      <w:r>
        <w:t xml:space="preserve">All secrets for the test environment are loaded from</w:t>
      </w:r>
      <w:r>
        <w:t xml:space="preserve"> </w:t>
      </w:r>
      <w:r>
        <w:rPr>
          <w:rStyle w:val="VerbatimChar"/>
        </w:rPr>
        <w:t xml:space="preserve">.env.testing</w:t>
      </w:r>
      <w:r>
        <w:t xml:space="preserve">, which is listed in</w:t>
      </w:r>
      <w:r>
        <w:t xml:space="preserve"> </w:t>
      </w:r>
      <w:r>
        <w:rPr>
          <w:rStyle w:val="VerbatimChar"/>
        </w:rPr>
        <w:t xml:space="preserve">.gitignore</w:t>
      </w:r>
      <w:r>
        <w:t xml:space="preserve">.</w:t>
      </w:r>
    </w:p>
    <w:p>
      <w:pPr>
        <w:pStyle w:val="Compact"/>
        <w:numPr>
          <w:ilvl w:val="0"/>
          <w:numId w:val="1023"/>
        </w:numPr>
      </w:pPr>
      <w:r>
        <w:t xml:space="preserve">CI/CD pipelines inject secrets via environment variables from the secrets manager.</w:t>
      </w:r>
    </w:p>
    <w:bookmarkEnd w:id="63"/>
    <w:bookmarkEnd w:id="64"/>
    <w:bookmarkStart w:id="69" w:name="Xe78390f95e2d9f2fade2cb96f26db99e5580482"/>
    <w:p>
      <w:pPr>
        <w:pStyle w:val="Heading2"/>
      </w:pPr>
      <w:r>
        <w:t xml:space="preserve">4.3 Staging Environment</w:t>
      </w:r>
    </w:p>
    <w:bookmarkStart w:id="65" w:name="X1de812367ef40e83f314f2f0a243d5296ebfcc3"/>
    <w:p>
      <w:pPr>
        <w:pStyle w:val="Heading3"/>
      </w:pPr>
      <w:r>
        <w:t xml:space="preserve">4.3.1 Configuration</w:t>
      </w:r>
    </w:p>
    <w:p>
      <w:pPr>
        <w:pStyle w:val="Compact"/>
        <w:numPr>
          <w:ilvl w:val="0"/>
          <w:numId w:val="1024"/>
        </w:numPr>
      </w:pPr>
      <w:r>
        <w:t xml:space="preserve">Staging mirrors the production server specification: Apache, PHP 8.3, MySQL 9.1, identical</w:t>
      </w:r>
      <w:r>
        <w:t xml:space="preserve"> </w:t>
      </w:r>
      <w:r>
        <w:rPr>
          <w:rStyle w:val="VerbatimChar"/>
        </w:rPr>
        <w:t xml:space="preserve">php.ini</w:t>
      </w:r>
      <w:r>
        <w:t xml:space="preserve"> </w:t>
      </w:r>
      <w:r>
        <w:t xml:space="preserve">settings.</w:t>
      </w:r>
    </w:p>
    <w:p>
      <w:pPr>
        <w:pStyle w:val="Compact"/>
        <w:numPr>
          <w:ilvl w:val="0"/>
          <w:numId w:val="1024"/>
        </w:numPr>
      </w:pPr>
      <w:r>
        <w:t xml:space="preserve">SSL/TLS is enabled on staging using a valid certificate so that JWT and CSRF tests execute under realistic transport security conditions.</w:t>
      </w:r>
    </w:p>
    <w:p>
      <w:pPr>
        <w:pStyle w:val="Compact"/>
        <w:numPr>
          <w:ilvl w:val="0"/>
          <w:numId w:val="1024"/>
        </w:numPr>
      </w:pPr>
      <w:r>
        <w:t xml:space="preserve">The staging environment is accessible only via VPN or allowlisted IP ranges; it is not publicly routable.</w:t>
      </w:r>
    </w:p>
    <w:bookmarkEnd w:id="65"/>
    <w:bookmarkStart w:id="66" w:name="Xde0a987ceccc842f17c431e2514f62b716959c9"/>
    <w:p>
      <w:pPr>
        <w:pStyle w:val="Heading3"/>
      </w:pPr>
      <w:r>
        <w:t xml:space="preserve">4.3.2 Tenant Isolation Requirement</w:t>
      </w:r>
    </w:p>
    <w:p>
      <w:pPr>
        <w:pStyle w:val="Compact"/>
        <w:numPr>
          <w:ilvl w:val="0"/>
          <w:numId w:val="1025"/>
        </w:numPr>
      </w:pPr>
      <w:r>
        <w:t xml:space="preserve">Staging always contains a minimum of 2 test tenants (</w:t>
      </w:r>
      <w:r>
        <w:rPr>
          <w:rStyle w:val="VerbatimChar"/>
        </w:rPr>
        <w:t xml:space="preserve">tenant_id = 1</w:t>
      </w:r>
      <w:r>
        <w:t xml:space="preserve"> </w:t>
      </w:r>
      <w:r>
        <w:t xml:space="preserve">and</w:t>
      </w:r>
      <w:r>
        <w:t xml:space="preserve"> </w:t>
      </w:r>
      <w:r>
        <w:rPr>
          <w:rStyle w:val="VerbatimChar"/>
        </w:rPr>
        <w:t xml:space="preserve">tenant_id = 2</w:t>
      </w:r>
      <w:r>
        <w:t xml:space="preserve">) with distinct, non-overlapping data sets.</w:t>
      </w:r>
    </w:p>
    <w:p>
      <w:pPr>
        <w:pStyle w:val="Compact"/>
        <w:numPr>
          <w:ilvl w:val="0"/>
          <w:numId w:val="1025"/>
        </w:numPr>
      </w:pPr>
      <w:r>
        <w:t xml:space="preserve">Before every system or security test cycle, a verification script asserts that no record in any module table for</w:t>
      </w:r>
      <w:r>
        <w:t xml:space="preserve"> </w:t>
      </w:r>
      <w:r>
        <w:rPr>
          <w:rStyle w:val="VerbatimChar"/>
        </w:rPr>
        <w:t xml:space="preserve">tenant_id = 1</w:t>
      </w:r>
      <w:r>
        <w:t xml:space="preserve"> </w:t>
      </w:r>
      <w:r>
        <w:t xml:space="preserve">shares a primary key with a record for</w:t>
      </w:r>
      <w:r>
        <w:t xml:space="preserve"> </w:t>
      </w:r>
      <w:r>
        <w:rPr>
          <w:rStyle w:val="VerbatimChar"/>
        </w:rPr>
        <w:t xml:space="preserve">tenant_id = 2</w:t>
      </w:r>
      <w:r>
        <w:t xml:space="preserve">.</w:t>
      </w:r>
    </w:p>
    <w:p>
      <w:pPr>
        <w:pStyle w:val="Compact"/>
        <w:numPr>
          <w:ilvl w:val="0"/>
          <w:numId w:val="1025"/>
        </w:numPr>
      </w:pPr>
      <w:r>
        <w:t xml:space="preserve">Any cross-tenant access attempt (authenticated as Tenant A, requesting a resource belonging to Tenant B) must return HTTP 403 or an empty result set. A response containing Tenant B's data is a Critical defect that halts the test cycle immediately.</w:t>
      </w:r>
    </w:p>
    <w:bookmarkEnd w:id="66"/>
    <w:bookmarkStart w:id="67" w:name="Xb21b2369cf05e1dd431cfafedfe95e3fe447621"/>
    <w:p>
      <w:pPr>
        <w:pStyle w:val="Heading3"/>
      </w:pPr>
      <w:r>
        <w:t xml:space="preserve">4.3.3 Performance Test Data Volume</w:t>
      </w:r>
    </w:p>
    <w:p>
      <w:pPr>
        <w:pStyle w:val="Compact"/>
        <w:numPr>
          <w:ilvl w:val="0"/>
          <w:numId w:val="1026"/>
        </w:numPr>
      </w:pPr>
      <w:r>
        <w:t xml:space="preserve">The staging database must be populated to the volume thresholds specified in Section 3.3.2 before performance tests execute.</w:t>
      </w:r>
    </w:p>
    <w:p>
      <w:pPr>
        <w:pStyle w:val="Compact"/>
        <w:numPr>
          <w:ilvl w:val="0"/>
          <w:numId w:val="1026"/>
        </w:numPr>
      </w:pPr>
      <w:r>
        <w:t xml:space="preserve">The anonymised production clone is produced by the</w:t>
      </w:r>
      <w:r>
        <w:t xml:space="preserve"> </w:t>
      </w:r>
      <w:r>
        <w:rPr>
          <w:rStyle w:val="VerbatimChar"/>
        </w:rPr>
        <w:t xml:space="preserve">scripts/anonymise-dump.sh</w:t>
      </w:r>
      <w:r>
        <w:t xml:space="preserve"> </w:t>
      </w:r>
      <w:r>
        <w:t xml:space="preserve">script, which replaces all personally identifiable fields (names, phone numbers, national IDs, bank account numbers) with synthetic equivalents before import into staging.</w:t>
      </w:r>
    </w:p>
    <w:bookmarkEnd w:id="67"/>
    <w:bookmarkStart w:id="68" w:name="X097ca18ff6ff7862ff4073f76433afa0f56000f"/>
    <w:p>
      <w:pPr>
        <w:pStyle w:val="Heading3"/>
      </w:pPr>
      <w:r>
        <w:t xml:space="preserve">4.3.4 Reset Schedule</w:t>
      </w:r>
    </w:p>
    <w:p>
      <w:pPr>
        <w:pStyle w:val="Compact"/>
        <w:numPr>
          <w:ilvl w:val="0"/>
          <w:numId w:val="1027"/>
        </w:numPr>
      </w:pPr>
      <w:r>
        <w:t xml:space="preserve">A full staging environment reset (schema drop and re-import from the latest anonymised clone) is scheduled every Sunday at 02:00 EAT.</w:t>
      </w:r>
    </w:p>
    <w:p>
      <w:pPr>
        <w:pStyle w:val="Compact"/>
        <w:numPr>
          <w:ilvl w:val="0"/>
          <w:numId w:val="1027"/>
        </w:numPr>
      </w:pPr>
      <w:r>
        <w:t xml:space="preserve">An on-demand reset can be triggered by the QA lead via the</w:t>
      </w:r>
      <w:r>
        <w:t xml:space="preserve"> </w:t>
      </w:r>
      <w:r>
        <w:rPr>
          <w:rStyle w:val="VerbatimChar"/>
        </w:rPr>
        <w:t xml:space="preserve">scripts/reset-staging.sh</w:t>
      </w:r>
      <w:r>
        <w:t xml:space="preserve"> </w:t>
      </w:r>
      <w:r>
        <w:t xml:space="preserve">script. The reset log is archived in the project's operations log.</w:t>
      </w:r>
    </w:p>
    <w:bookmarkEnd w:id="68"/>
    <w:bookmarkEnd w:id="69"/>
    <w:bookmarkStart w:id="72" w:name="Xd5782d262aa1b4ace8056e5481c6f1ed087b729"/>
    <w:p>
      <w:pPr>
        <w:pStyle w:val="Heading2"/>
      </w:pPr>
      <w:r>
        <w:t xml:space="preserve">4.4 Production Environment</w:t>
      </w:r>
    </w:p>
    <w:bookmarkStart w:id="70" w:name="X927925d6877c753d2117c11f4b6a045b5e44cb6"/>
    <w:p>
      <w:pPr>
        <w:pStyle w:val="Heading3"/>
      </w:pPr>
      <w:r>
        <w:t xml:space="preserve">4.4.1 Post-Deployment Smoke Tests</w:t>
      </w:r>
    </w:p>
    <w:p>
      <w:pPr>
        <w:pStyle w:val="Compact"/>
        <w:numPr>
          <w:ilvl w:val="0"/>
          <w:numId w:val="1028"/>
        </w:numPr>
      </w:pPr>
      <w:r>
        <w:t xml:space="preserve">Immediately after every production deployment, the QA lead executes a documented smoke test script that covers:</w:t>
      </w:r>
    </w:p>
    <w:p>
      <w:pPr>
        <w:pStyle w:val="Compact"/>
        <w:numPr>
          <w:ilvl w:val="1"/>
          <w:numId w:val="1029"/>
        </w:numPr>
      </w:pPr>
      <w:r>
        <w:t xml:space="preserve">Login succeeds for a designated smoke-test account.</w:t>
      </w:r>
    </w:p>
    <w:p>
      <w:pPr>
        <w:pStyle w:val="Compact"/>
        <w:numPr>
          <w:ilvl w:val="1"/>
          <w:numId w:val="1029"/>
        </w:numPr>
      </w:pPr>
      <w:r>
        <w:t xml:space="preserve">Dashboard loads within 3 s (manual measurement).</w:t>
      </w:r>
    </w:p>
    <w:p>
      <w:pPr>
        <w:pStyle w:val="Compact"/>
        <w:numPr>
          <w:ilvl w:val="1"/>
          <w:numId w:val="1029"/>
        </w:numPr>
      </w:pPr>
      <w:r>
        <w:t xml:space="preserve">A read-only GL report query returns a non-empty result set.</w:t>
      </w:r>
    </w:p>
    <w:p>
      <w:pPr>
        <w:pStyle w:val="Compact"/>
        <w:numPr>
          <w:ilvl w:val="1"/>
          <w:numId w:val="1029"/>
        </w:numPr>
      </w:pPr>
      <w:r>
        <w:t xml:space="preserve">Mobile API health endpoint returns HTTP 200 with the correct build version string.</w:t>
      </w:r>
    </w:p>
    <w:p>
      <w:pPr>
        <w:pStyle w:val="Compact"/>
        <w:numPr>
          <w:ilvl w:val="0"/>
          <w:numId w:val="1028"/>
        </w:numPr>
      </w:pPr>
      <w:r>
        <w:t xml:space="preserve">If any smoke test assertion fails, the deployment is rolled back immediately.</w:t>
      </w:r>
    </w:p>
    <w:bookmarkEnd w:id="70"/>
    <w:bookmarkStart w:id="71" w:name="X8c19eaa1753f7f0d43e8e63d32a6b9ecd24c949"/>
    <w:p>
      <w:pPr>
        <w:pStyle w:val="Heading3"/>
      </w:pPr>
      <w:r>
        <w:t xml:space="preserve">4.4.2 Data Safety Constraints</w:t>
      </w:r>
    </w:p>
    <w:p>
      <w:pPr>
        <w:pStyle w:val="Compact"/>
        <w:numPr>
          <w:ilvl w:val="0"/>
          <w:numId w:val="1030"/>
        </w:numPr>
      </w:pPr>
      <w:r>
        <w:t xml:space="preserve">No test data is written to the production database under any circumstances.</w:t>
      </w:r>
    </w:p>
    <w:p>
      <w:pPr>
        <w:pStyle w:val="Compact"/>
        <w:numPr>
          <w:ilvl w:val="0"/>
          <w:numId w:val="1030"/>
        </w:numPr>
      </w:pPr>
      <w:r>
        <w:t xml:space="preserve">The smoke-test account is a read-only system user with no write permissions. It cannot create, modify, or delete any record.</w:t>
      </w:r>
    </w:p>
    <w:p>
      <w:pPr>
        <w:pStyle w:val="Compact"/>
        <w:numPr>
          <w:ilvl w:val="0"/>
          <w:numId w:val="1030"/>
        </w:numPr>
      </w:pPr>
      <w:r>
        <w:t xml:space="preserve">Production database credentials are never loaded in any developer's local environment.</w:t>
      </w:r>
    </w:p>
    <w:bookmarkEnd w:id="71"/>
    <w:bookmarkEnd w:id="72"/>
    <w:bookmarkEnd w:id="73"/>
    <w:bookmarkStart w:id="79" w:name="defect-management"/>
    <w:p>
      <w:pPr>
        <w:pStyle w:val="Heading1"/>
      </w:pPr>
      <w:r>
        <w:t xml:space="preserve">Defect Management</w:t>
      </w:r>
    </w:p>
    <w:bookmarkStart w:id="74" w:name="X595a5e580a8c27e10180cfc8a20d5818a53b35b"/>
    <w:p>
      <w:pPr>
        <w:pStyle w:val="Heading2"/>
      </w:pPr>
      <w:r>
        <w:t xml:space="preserve">5.1 Defect Lifecycle</w:t>
      </w:r>
    </w:p>
    <w:p>
      <w:pPr>
        <w:pStyle w:val="FirstParagraph"/>
      </w:pPr>
      <w:r>
        <w:t xml:space="preserve">All defects discovered during any test level follow the lifecycle below. Transitions are controlled by role: developers transition defects to Fixed; the QA lead transitions them to Closed, Rejected, or Deferred.</w:t>
      </w:r>
    </w:p>
    <w:p>
      <w:pPr>
        <w:pStyle w:val="SourceCode"/>
      </w:pPr>
      <w:r>
        <w:rPr>
          <w:rStyle w:val="VerbatimChar"/>
        </w:rPr>
        <w:t xml:space="preserve">Open → In Progress → Fixed → Retest → Closed</w:t>
      </w:r>
      <w:r>
        <w:br/>
      </w:r>
      <w:r>
        <w:rPr>
          <w:rStyle w:val="VerbatimChar"/>
        </w:rPr>
        <w:t xml:space="preserve">                                    ↘ Rejected</w:t>
      </w:r>
      <w:r>
        <w:br/>
      </w:r>
      <w:r>
        <w:rPr>
          <w:rStyle w:val="VerbatimChar"/>
        </w:rPr>
        <w:t xml:space="preserve">                                    ↘ Deferred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Definition</w:t>
            </w:r>
          </w:p>
        </w:tc>
      </w:tr>
      <w:tr>
        <w:tc>
          <w:tcPr/>
          <w:p>
            <w:pPr>
              <w:pStyle w:val="Compact"/>
            </w:pPr>
            <w:r>
              <w:rPr>
                <w:b/>
                <w:bCs/>
              </w:rPr>
              <w:t xml:space="preserve">Open</w:t>
            </w:r>
          </w:p>
        </w:tc>
        <w:tc>
          <w:tcPr/>
          <w:p>
            <w:pPr>
              <w:pStyle w:val="Compact"/>
            </w:pPr>
            <w:r>
              <w:t xml:space="preserve">Defect logged, not yet assigned to a developer.</w:t>
            </w:r>
          </w:p>
        </w:tc>
      </w:tr>
      <w:tr>
        <w:tc>
          <w:tcPr/>
          <w:p>
            <w:pPr>
              <w:pStyle w:val="Compact"/>
            </w:pPr>
            <w:r>
              <w:rPr>
                <w:b/>
                <w:bCs/>
              </w:rPr>
              <w:t xml:space="preserve">In Progress</w:t>
            </w:r>
          </w:p>
        </w:tc>
        <w:tc>
          <w:tcPr/>
          <w:p>
            <w:pPr>
              <w:pStyle w:val="Compact"/>
            </w:pPr>
            <w:r>
              <w:t xml:space="preserve">Developer has accepted the defect and is working on a fix.</w:t>
            </w:r>
          </w:p>
        </w:tc>
      </w:tr>
      <w:tr>
        <w:tc>
          <w:tcPr/>
          <w:p>
            <w:pPr>
              <w:pStyle w:val="Compact"/>
            </w:pPr>
            <w:r>
              <w:rPr>
                <w:b/>
                <w:bCs/>
              </w:rPr>
              <w:t xml:space="preserve">Fixed</w:t>
            </w:r>
          </w:p>
        </w:tc>
        <w:tc>
          <w:tcPr/>
          <w:p>
            <w:pPr>
              <w:pStyle w:val="Compact"/>
            </w:pPr>
            <w:r>
              <w:t xml:space="preserve">Developer has committed a fix and a new automated regression test (for Critical and High defects). The fix is available on the test branch.</w:t>
            </w:r>
          </w:p>
        </w:tc>
      </w:tr>
      <w:tr>
        <w:tc>
          <w:tcPr/>
          <w:p>
            <w:pPr>
              <w:pStyle w:val="Compact"/>
            </w:pPr>
            <w:r>
              <w:rPr>
                <w:b/>
                <w:bCs/>
              </w:rPr>
              <w:t xml:space="preserve">Retest</w:t>
            </w:r>
          </w:p>
        </w:tc>
        <w:tc>
          <w:tcPr/>
          <w:p>
            <w:pPr>
              <w:pStyle w:val="Compact"/>
            </w:pPr>
            <w:r>
              <w:t xml:space="preserve">QA lead is verifying the fix against the original defect reproduction steps.</w:t>
            </w:r>
          </w:p>
        </w:tc>
      </w:tr>
      <w:tr>
        <w:tc>
          <w:tcPr/>
          <w:p>
            <w:pPr>
              <w:pStyle w:val="Compact"/>
            </w:pPr>
            <w:r>
              <w:rPr>
                <w:b/>
                <w:bCs/>
              </w:rPr>
              <w:t xml:space="preserve">Closed</w:t>
            </w:r>
          </w:p>
        </w:tc>
        <w:tc>
          <w:tcPr/>
          <w:p>
            <w:pPr>
              <w:pStyle w:val="Compact"/>
            </w:pPr>
            <w:r>
              <w:t xml:space="preserve">QA lead has confirmed the fix resolves the defect and the regression test passes.</w:t>
            </w:r>
          </w:p>
        </w:tc>
      </w:tr>
      <w:tr>
        <w:tc>
          <w:tcPr/>
          <w:p>
            <w:pPr>
              <w:pStyle w:val="Compact"/>
            </w:pPr>
            <w:r>
              <w:rPr>
                <w:b/>
                <w:bCs/>
              </w:rPr>
              <w:t xml:space="preserve">Rejected</w:t>
            </w:r>
          </w:p>
        </w:tc>
        <w:tc>
          <w:tcPr/>
          <w:p>
            <w:pPr>
              <w:pStyle w:val="Compact"/>
            </w:pPr>
            <w:r>
              <w:t xml:space="preserve">QA lead or developer has determined the reported behaviour is not a defect (working as designed or cannot be reproduced). Justification is mandatory.</w:t>
            </w:r>
          </w:p>
        </w:tc>
      </w:tr>
      <w:tr>
        <w:tc>
          <w:tcPr/>
          <w:p>
            <w:pPr>
              <w:pStyle w:val="Compact"/>
            </w:pPr>
            <w:r>
              <w:rPr>
                <w:b/>
                <w:bCs/>
              </w:rPr>
              <w:t xml:space="preserve">Deferred</w:t>
            </w:r>
          </w:p>
        </w:tc>
        <w:tc>
          <w:tcPr/>
          <w:p>
            <w:pPr>
              <w:pStyle w:val="Compact"/>
            </w:pPr>
            <w:r>
              <w:t xml:space="preserve">Product owner has approved deferral to a future sprint. Deferral is only valid for Medium and Low defects. Critical and High defects may not be deferred.</w:t>
            </w:r>
          </w:p>
        </w:tc>
      </w:tr>
    </w:tbl>
    <w:bookmarkEnd w:id="74"/>
    <w:bookmarkStart w:id="75" w:name="X23bdfa7bbb4b2918b95203b5b31e5abf9039846"/>
    <w:p>
      <w:pPr>
        <w:pStyle w:val="Heading2"/>
      </w:pPr>
      <w:r>
        <w:t xml:space="preserve">5.2 Defect Record Fields</w:t>
      </w:r>
    </w:p>
    <w:p>
      <w:pPr>
        <w:pStyle w:val="FirstParagraph"/>
      </w:pPr>
      <w:r>
        <w:t xml:space="preserve">Every defect record must contain all of the following fields. Incomplete records are returned to the reporter before triage.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rPr>
                <w:b/>
                <w:bCs/>
              </w:rPr>
              <w:t xml:space="preserve">ID</w:t>
            </w:r>
          </w:p>
        </w:tc>
        <w:tc>
          <w:tcPr/>
          <w:p>
            <w:pPr>
              <w:pStyle w:val="Compact"/>
            </w:pPr>
            <w:r>
              <w:t xml:space="preserve">Unique defect identifier, format</w:t>
            </w:r>
            <w:r>
              <w:t xml:space="preserve"> </w:t>
            </w:r>
            <w:r>
              <w:rPr>
                <w:rStyle w:val="VerbatimChar"/>
              </w:rPr>
              <w:t xml:space="preserve">DEF-&lt;sequence&gt;</w:t>
            </w:r>
            <w:r>
              <w:t xml:space="preserve"> </w:t>
            </w:r>
            <w:r>
              <w:t xml:space="preserve">(e.g.,</w:t>
            </w:r>
            <w:r>
              <w:t xml:space="preserve"> </w:t>
            </w:r>
            <w:r>
              <w:rPr>
                <w:rStyle w:val="VerbatimChar"/>
              </w:rPr>
              <w:t xml:space="preserve">DEF-0042</w:t>
            </w:r>
            <w:r>
              <w:t xml:space="preserve">)</w:t>
            </w:r>
          </w:p>
        </w:tc>
      </w:tr>
      <w:tr>
        <w:tc>
          <w:tcPr/>
          <w:p>
            <w:pPr>
              <w:pStyle w:val="Compact"/>
            </w:pPr>
            <w:r>
              <w:rPr>
                <w:b/>
                <w:bCs/>
              </w:rPr>
              <w:t xml:space="preserve">Title</w:t>
            </w:r>
          </w:p>
        </w:tc>
        <w:tc>
          <w:tcPr/>
          <w:p>
            <w:pPr>
              <w:pStyle w:val="Compact"/>
            </w:pPr>
            <w:r>
              <w:t xml:space="preserve">One-sentence description of the observed failure (active voice, specific module named)</w:t>
            </w:r>
          </w:p>
        </w:tc>
      </w:tr>
      <w:tr>
        <w:tc>
          <w:tcPr/>
          <w:p>
            <w:pPr>
              <w:pStyle w:val="Compact"/>
            </w:pPr>
            <w:r>
              <w:rPr>
                <w:b/>
                <w:bCs/>
              </w:rPr>
              <w:t xml:space="preserve">Severity</w:t>
            </w:r>
          </w:p>
        </w:tc>
        <w:tc>
          <w:tcPr/>
          <w:p>
            <w:pPr>
              <w:pStyle w:val="Compact"/>
            </w:pPr>
            <w:r>
              <w:t xml:space="preserve">Critical / High / Medium / Low (see Section 1.5)</w:t>
            </w:r>
          </w:p>
        </w:tc>
      </w:tr>
      <w:tr>
        <w:tc>
          <w:tcPr/>
          <w:p>
            <w:pPr>
              <w:pStyle w:val="Compact"/>
            </w:pPr>
            <w:r>
              <w:rPr>
                <w:b/>
                <w:bCs/>
              </w:rPr>
              <w:t xml:space="preserve">Module</w:t>
            </w:r>
          </w:p>
        </w:tc>
        <w:tc>
          <w:tcPr/>
          <w:p>
            <w:pPr>
              <w:pStyle w:val="Compact"/>
            </w:pPr>
            <w:r>
              <w:t xml:space="preserve">The Longhorn ERP module where the defect was observed</w:t>
            </w:r>
          </w:p>
        </w:tc>
      </w:tr>
      <w:tr>
        <w:tc>
          <w:tcPr/>
          <w:p>
            <w:pPr>
              <w:pStyle w:val="Compact"/>
            </w:pPr>
            <w:r>
              <w:rPr>
                <w:b/>
                <w:bCs/>
              </w:rPr>
              <w:t xml:space="preserve">Steps to Reproduce</w:t>
            </w:r>
          </w:p>
        </w:tc>
        <w:tc>
          <w:tcPr/>
          <w:p>
            <w:pPr>
              <w:pStyle w:val="Compact"/>
            </w:pPr>
            <w:r>
              <w:t xml:space="preserve">Numbered ordered list of steps; reproducible from step 1 on a clean test environment</w:t>
            </w:r>
          </w:p>
        </w:tc>
      </w:tr>
      <w:tr>
        <w:tc>
          <w:tcPr/>
          <w:p>
            <w:pPr>
              <w:pStyle w:val="Compact"/>
            </w:pPr>
            <w:r>
              <w:rPr>
                <w:b/>
                <w:bCs/>
              </w:rPr>
              <w:t xml:space="preserve">Expected Result</w:t>
            </w:r>
          </w:p>
        </w:tc>
        <w:tc>
          <w:tcPr/>
          <w:p>
            <w:pPr>
              <w:pStyle w:val="Compact"/>
            </w:pPr>
            <w:r>
              <w:t xml:space="preserve">The deterministic output defined by the SRS requirement or NFR</w:t>
            </w:r>
          </w:p>
        </w:tc>
      </w:tr>
      <w:tr>
        <w:tc>
          <w:tcPr/>
          <w:p>
            <w:pPr>
              <w:pStyle w:val="Compact"/>
            </w:pPr>
            <w:r>
              <w:rPr>
                <w:b/>
                <w:bCs/>
              </w:rPr>
              <w:t xml:space="preserve">Actual Result</w:t>
            </w:r>
          </w:p>
        </w:tc>
        <w:tc>
          <w:tcPr/>
          <w:p>
            <w:pPr>
              <w:pStyle w:val="Compact"/>
            </w:pPr>
            <w:r>
              <w:t xml:space="preserve">The observed output that deviates from the expected result</w:t>
            </w:r>
          </w:p>
        </w:tc>
      </w:tr>
      <w:tr>
        <w:tc>
          <w:tcPr/>
          <w:p>
            <w:pPr>
              <w:pStyle w:val="Compact"/>
            </w:pPr>
            <w:r>
              <w:rPr>
                <w:b/>
                <w:bCs/>
              </w:rPr>
              <w:t xml:space="preserve">Environment</w:t>
            </w:r>
          </w:p>
        </w:tc>
        <w:tc>
          <w:tcPr/>
          <w:p>
            <w:pPr>
              <w:pStyle w:val="Compact"/>
            </w:pPr>
            <w:r>
              <w:t xml:space="preserve">Development / Staging / Production; include PHP version, browser/mobile OS version</w:t>
            </w:r>
          </w:p>
        </w:tc>
      </w:tr>
      <w:tr>
        <w:tc>
          <w:tcPr/>
          <w:p>
            <w:pPr>
              <w:pStyle w:val="Compact"/>
            </w:pPr>
            <w:r>
              <w:rPr>
                <w:b/>
                <w:bCs/>
              </w:rPr>
              <w:t xml:space="preserve">Build Version</w:t>
            </w:r>
          </w:p>
        </w:tc>
        <w:tc>
          <w:tcPr/>
          <w:p>
            <w:pPr>
              <w:pStyle w:val="Compact"/>
            </w:pPr>
            <w:r>
              <w:t xml:space="preserve">The application version tag under which the defect was observed</w:t>
            </w:r>
          </w:p>
        </w:tc>
      </w:tr>
      <w:tr>
        <w:tc>
          <w:tcPr/>
          <w:p>
            <w:pPr>
              <w:pStyle w:val="Compact"/>
            </w:pPr>
            <w:r>
              <w:rPr>
                <w:b/>
                <w:bCs/>
              </w:rPr>
              <w:t xml:space="preserve">Assignee</w:t>
            </w:r>
          </w:p>
        </w:tc>
        <w:tc>
          <w:tcPr/>
          <w:p>
            <w:pPr>
              <w:pStyle w:val="Compact"/>
            </w:pPr>
            <w:r>
              <w:t xml:space="preserve">Developer responsible for the fix</w:t>
            </w:r>
          </w:p>
        </w:tc>
      </w:tr>
      <w:tr>
        <w:tc>
          <w:tcPr/>
          <w:p>
            <w:pPr>
              <w:pStyle w:val="Compact"/>
            </w:pPr>
            <w:r>
              <w:rPr>
                <w:b/>
                <w:bCs/>
              </w:rPr>
              <w:t xml:space="preserve">Reporter</w:t>
            </w:r>
          </w:p>
        </w:tc>
        <w:tc>
          <w:tcPr/>
          <w:p>
            <w:pPr>
              <w:pStyle w:val="Compact"/>
            </w:pPr>
            <w:r>
              <w:t xml:space="preserve">Person who logged the defect</w:t>
            </w:r>
          </w:p>
        </w:tc>
      </w:tr>
    </w:tbl>
    <w:bookmarkEnd w:id="75"/>
    <w:bookmarkStart w:id="76" w:name="X02e2e92ad28c812fa0bfedd5a26020bec8badf4"/>
    <w:p>
      <w:pPr>
        <w:pStyle w:val="Heading2"/>
      </w:pPr>
      <w:r>
        <w:t xml:space="preserve">5.3 Severity SLA</w:t>
      </w:r>
    </w:p>
    <w:p>
      <w:pPr>
        <w:pStyle w:val="FirstParagraph"/>
      </w:pPr>
      <w:r>
        <w:t xml:space="preserve">Resolution time is measured from the moment the defect status changes to In Progress.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Fix SLA</w:t>
            </w:r>
          </w:p>
        </w:tc>
        <w:tc>
          <w:tcPr/>
          <w:p>
            <w:pPr>
              <w:pStyle w:val="Compact"/>
            </w:pPr>
            <w:r>
              <w:t xml:space="preserve">Retest SLA</w:t>
            </w:r>
          </w:p>
        </w:tc>
      </w:tr>
      <w:tr>
        <w:tc>
          <w:tcPr/>
          <w:p>
            <w:pPr>
              <w:pStyle w:val="Compact"/>
            </w:pPr>
            <w:r>
              <w:rPr>
                <w:b/>
                <w:bCs/>
              </w:rPr>
              <w:t xml:space="preserve">Critical</w:t>
            </w:r>
          </w:p>
        </w:tc>
        <w:tc>
          <w:tcPr/>
          <w:p>
            <w:pPr>
              <w:pStyle w:val="Compact"/>
            </w:pPr>
            <w:r>
              <w:t xml:space="preserve">Fix committed within 4 hours of In Progress assignment</w:t>
            </w:r>
          </w:p>
        </w:tc>
        <w:tc>
          <w:tcPr/>
          <w:p>
            <w:pPr>
              <w:pStyle w:val="Compact"/>
            </w:pPr>
            <w:r>
              <w:t xml:space="preserve">Retested within 2 hours of Fixed status</w:t>
            </w:r>
          </w:p>
        </w:tc>
      </w:tr>
      <w:tr>
        <w:tc>
          <w:tcPr/>
          <w:p>
            <w:pPr>
              <w:pStyle w:val="Compact"/>
            </w:pPr>
            <w:r>
              <w:rPr>
                <w:b/>
                <w:bCs/>
              </w:rPr>
              <w:t xml:space="preserve">High</w:t>
            </w:r>
          </w:p>
        </w:tc>
        <w:tc>
          <w:tcPr/>
          <w:p>
            <w:pPr>
              <w:pStyle w:val="Compact"/>
            </w:pPr>
            <w:r>
              <w:t xml:space="preserve">Fix committed within 24 hours of In Progress assignment</w:t>
            </w:r>
          </w:p>
        </w:tc>
        <w:tc>
          <w:tcPr/>
          <w:p>
            <w:pPr>
              <w:pStyle w:val="Compact"/>
            </w:pPr>
            <w:r>
              <w:t xml:space="preserve">Retested within 4 hours of Fixed status</w:t>
            </w:r>
          </w:p>
        </w:tc>
      </w:tr>
      <w:tr>
        <w:tc>
          <w:tcPr/>
          <w:p>
            <w:pPr>
              <w:pStyle w:val="Compact"/>
            </w:pPr>
            <w:r>
              <w:rPr>
                <w:b/>
                <w:bCs/>
              </w:rPr>
              <w:t xml:space="preserve">Medium</w:t>
            </w:r>
          </w:p>
        </w:tc>
        <w:tc>
          <w:tcPr/>
          <w:p>
            <w:pPr>
              <w:pStyle w:val="Compact"/>
            </w:pPr>
            <w:r>
              <w:t xml:space="preserve">Fix committed within the current sprint</w:t>
            </w:r>
          </w:p>
        </w:tc>
        <w:tc>
          <w:tcPr/>
          <w:p>
            <w:pPr>
              <w:pStyle w:val="Compact"/>
            </w:pPr>
            <w:r>
              <w:t xml:space="preserve">Retested within the current sprint</w:t>
            </w:r>
          </w:p>
        </w:tc>
      </w:tr>
      <w:tr>
        <w:tc>
          <w:tcPr/>
          <w:p>
            <w:pPr>
              <w:pStyle w:val="Compact"/>
            </w:pPr>
            <w:r>
              <w:rPr>
                <w:b/>
                <w:bCs/>
              </w:rPr>
              <w:t xml:space="preserve">Low</w:t>
            </w:r>
          </w:p>
        </w:tc>
        <w:tc>
          <w:tcPr/>
          <w:p>
            <w:pPr>
              <w:pStyle w:val="Compact"/>
            </w:pPr>
            <w:r>
              <w:t xml:space="preserve">Placed in backlog; prioritised at product owner's discretion</w:t>
            </w:r>
          </w:p>
        </w:tc>
        <w:tc>
          <w:tcPr/>
          <w:p>
            <w:pPr>
              <w:pStyle w:val="Compact"/>
            </w:pPr>
            <w:r>
              <w:t xml:space="preserve">Retested at next available QA slot</w:t>
            </w:r>
          </w:p>
        </w:tc>
      </w:tr>
    </w:tbl>
    <w:p>
      <w:pPr>
        <w:pStyle w:val="BodyText"/>
      </w:pPr>
      <w:r>
        <w:t xml:space="preserve">SLA breaches for Critical and High defects are escalated immediately to the project lead. A Critical SLA breach beyond 8 hours total triggers a project incident report.</w:t>
      </w:r>
    </w:p>
    <w:bookmarkEnd w:id="76"/>
    <w:bookmarkStart w:id="77" w:name="Xfb72bd8d8a44594476efb1efb9ffccad1a00838"/>
    <w:p>
      <w:pPr>
        <w:pStyle w:val="Heading2"/>
      </w:pPr>
      <w:r>
        <w:t xml:space="preserve">5.4 Security Defect Protocol</w:t>
      </w:r>
    </w:p>
    <w:p>
      <w:pPr>
        <w:pStyle w:val="FirstParagraph"/>
      </w:pPr>
      <w:r>
        <w:t xml:space="preserve">Security defects require a restricted disclosure procedure regardless of functional severity.</w:t>
      </w:r>
    </w:p>
    <w:p>
      <w:pPr>
        <w:pStyle w:val="Compact"/>
        <w:numPr>
          <w:ilvl w:val="0"/>
          <w:numId w:val="1031"/>
        </w:numPr>
      </w:pPr>
      <w:r>
        <w:t xml:space="preserve">Any defect that involves unauthorised data access, authentication bypass, tenant data leakage, or injection vulnerability is classified as Critical at the time of logging, even if the immediate functional impact appears minor.</w:t>
      </w:r>
    </w:p>
    <w:p>
      <w:pPr>
        <w:pStyle w:val="Compact"/>
        <w:numPr>
          <w:ilvl w:val="0"/>
          <w:numId w:val="1031"/>
        </w:numPr>
      </w:pPr>
      <w:r>
        <w:t xml:space="preserve">Security defect records are visible only to the tech lead and product owner until the defect reaches Closed status. All other team members see only the defect ID and the status "Security — Restricted."</w:t>
      </w:r>
    </w:p>
    <w:p>
      <w:pPr>
        <w:pStyle w:val="Compact"/>
        <w:numPr>
          <w:ilvl w:val="0"/>
          <w:numId w:val="1031"/>
        </w:numPr>
      </w:pPr>
      <w:r>
        <w:t xml:space="preserve">No security defect details are shared in public channels, commit messages, or pull request descriptions. The fix is committed with a generic message referencing the defect ID (e.g.,</w:t>
      </w:r>
      <w:r>
        <w:t xml:space="preserve"> </w:t>
      </w:r>
      <w:r>
        <w:rPr>
          <w:rStyle w:val="VerbatimChar"/>
        </w:rPr>
        <w:t xml:space="preserve">fix: resolve DEF-0042</w:t>
      </w:r>
      <w:r>
        <w:t xml:space="preserve">).</w:t>
      </w:r>
    </w:p>
    <w:p>
      <w:pPr>
        <w:pStyle w:val="Compact"/>
        <w:numPr>
          <w:ilvl w:val="0"/>
          <w:numId w:val="1031"/>
        </w:numPr>
      </w:pPr>
      <w:r>
        <w:t xml:space="preserve">After closure, the tech lead conducts a root-cause analysis and documents whether a systemic code pattern change is required to prevent recurrence.</w:t>
      </w:r>
    </w:p>
    <w:bookmarkEnd w:id="77"/>
    <w:bookmarkStart w:id="78" w:name="X2a2f5d32dcfa52489542eb7690711bbe10ac9b0"/>
    <w:p>
      <w:pPr>
        <w:pStyle w:val="Heading2"/>
      </w:pPr>
      <w:r>
        <w:t xml:space="preserve">5.5 Regression Test Requirement on Fix</w:t>
      </w:r>
    </w:p>
    <w:p>
      <w:pPr>
        <w:pStyle w:val="FirstParagraph"/>
      </w:pPr>
      <w:r>
        <w:t xml:space="preserve">Every Critical and High defect fix must be accompanied by a new automated test case that satisfies the following conditions:</w:t>
      </w:r>
    </w:p>
    <w:p>
      <w:pPr>
        <w:pStyle w:val="Compact"/>
        <w:numPr>
          <w:ilvl w:val="0"/>
          <w:numId w:val="1032"/>
        </w:numPr>
      </w:pPr>
      <w:r>
        <w:t xml:space="preserve">The test case would have failed before the fix was applied (verified by reverting the fix and confirming the test fails).</w:t>
      </w:r>
    </w:p>
    <w:p>
      <w:pPr>
        <w:pStyle w:val="Compact"/>
        <w:numPr>
          <w:ilvl w:val="0"/>
          <w:numId w:val="1032"/>
        </w:numPr>
      </w:pPr>
      <w:r>
        <w:t xml:space="preserve">The test case passes after the fix is applied.</w:t>
      </w:r>
    </w:p>
    <w:p>
      <w:pPr>
        <w:pStyle w:val="Compact"/>
        <w:numPr>
          <w:ilvl w:val="0"/>
          <w:numId w:val="1032"/>
        </w:numPr>
      </w:pPr>
      <w:r>
        <w:t xml:space="preserve">The test case is added to the appropriate PHPUnit suite (unit or integration) and runs in the CI pipeline on every subsequent pull request.</w:t>
      </w:r>
    </w:p>
    <w:p>
      <w:pPr>
        <w:pStyle w:val="Compact"/>
        <w:numPr>
          <w:ilvl w:val="0"/>
          <w:numId w:val="1032"/>
        </w:numPr>
      </w:pPr>
      <w:r>
        <w:t xml:space="preserve">The test case ID is recorded in the defect record's</w:t>
      </w:r>
      <w:r>
        <w:t xml:space="preserve"> </w:t>
      </w:r>
      <w:r>
        <w:rPr>
          <w:b/>
          <w:bCs/>
        </w:rPr>
        <w:t xml:space="preserve">Regression Test</w:t>
      </w:r>
      <w:r>
        <w:t xml:space="preserve"> </w:t>
      </w:r>
      <w:r>
        <w:t xml:space="preserve">field before the defect is transitioned to Closed.</w:t>
      </w:r>
    </w:p>
    <w:p>
      <w:pPr>
        <w:pStyle w:val="FirstParagraph"/>
      </w:pPr>
      <w:r>
        <w:t xml:space="preserve">Defects that lack a linked regression test case may not be transitioned to Closed by the QA lead.</w:t>
      </w:r>
    </w:p>
    <w:bookmarkEnd w:id="78"/>
    <w:bookmarkEnd w:id="79"/>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Test Strategy</dc:title>
  <dc:creator/>
  <cp:keywords/>
  <dcterms:created xsi:type="dcterms:W3CDTF">2026-04-05T03:50:20Z</dcterms:created>
  <dcterms:modified xsi:type="dcterms:W3CDTF">2026-04-05T03:50:20Z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Testing Documentation — Quality Assurance Strategy</vt:lpwstr>
  </property>
  <property fmtid="{D5CDD505-2E9C-101B-9397-08002B2CF9AE}" pid="5" name="version">
    <vt:lpwstr>1.0</vt:lpwstr>
  </property>
</Properties>
</file>