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Longhorn ERP — Software Requirements Specification: Procurement</w:t>
      </w:r>
    </w:p>
    <w:p>
      <w:pPr>
        <w:pStyle w:val="Subtitle"/>
      </w:pPr>
      <w:r>
        <w:t xml:space="preserve">Document Set 02 — Requirements Engineering</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Product</w:t>
            </w:r>
          </w:p>
        </w:tc>
        <w:tc>
          <w:tcPr/>
          <w:p>
            <w:pPr>
              <w:pStyle w:val="Compact"/>
            </w:pPr>
            <w:r>
              <w:t xml:space="preserve">Longhorn ERP</w:t>
            </w:r>
          </w:p>
        </w:tc>
      </w:tr>
      <w:tr>
        <w:tc>
          <w:tcPr/>
          <w:p>
            <w:pPr>
              <w:pStyle w:val="Compact"/>
            </w:pPr>
            <w:r>
              <w:rPr>
                <w:b/>
                <w:bCs/>
              </w:rPr>
              <w:t xml:space="preserve">Document</w:t>
            </w:r>
          </w:p>
        </w:tc>
        <w:tc>
          <w:tcPr/>
          <w:p>
            <w:pPr>
              <w:pStyle w:val="Compact"/>
            </w:pPr>
            <w:r>
              <w:t xml:space="preserve">SRS — Procurement</w:t>
            </w:r>
          </w:p>
        </w:tc>
      </w:tr>
      <w:tr>
        <w:tc>
          <w:tcPr/>
          <w:p>
            <w:pPr>
              <w:pStyle w:val="Compact"/>
            </w:pPr>
            <w:r>
              <w:rPr>
                <w:b/>
                <w:bCs/>
              </w:rPr>
              <w:t xml:space="preserve">Owner</w:t>
            </w:r>
          </w:p>
        </w:tc>
        <w:tc>
          <w:tcPr/>
          <w:p>
            <w:pPr>
              <w:pStyle w:val="Compact"/>
            </w:pPr>
            <w:r>
              <w:t xml:space="preserve">Chwezi Core Systems</w:t>
            </w:r>
          </w:p>
        </w:tc>
      </w:tr>
      <w:tr>
        <w:tc>
          <w:tcPr/>
          <w:p>
            <w:pPr>
              <w:pStyle w:val="Compact"/>
            </w:pPr>
            <w:r>
              <w:rPr>
                <w:b/>
                <w:bCs/>
              </w:rPr>
              <w:t xml:space="preserve">Website</w:t>
            </w:r>
          </w:p>
        </w:tc>
        <w:tc>
          <w:tcPr/>
          <w:p>
            <w:pPr>
              <w:pStyle w:val="Compact"/>
            </w:pPr>
            <w:r>
              <w:t xml:space="preserve">chwezicore.com</w:t>
            </w:r>
          </w:p>
        </w:tc>
      </w:tr>
      <w:tr>
        <w:tc>
          <w:tcPr/>
          <w:p>
            <w:pPr>
              <w:pStyle w:val="Compact"/>
            </w:pPr>
            <w:r>
              <w:rPr>
                <w:b/>
                <w:bCs/>
              </w:rPr>
              <w:t xml:space="preserve">Contact</w:t>
            </w:r>
          </w:p>
        </w:tc>
        <w:tc>
          <w:tcPr/>
          <w:p>
            <w:pPr>
              <w:pStyle w:val="Compact"/>
            </w:pPr>
            <w:hyperlink r:id="rId19">
              <w:r>
                <w:rPr>
                  <w:rStyle w:val="Hyperlink"/>
                </w:rPr>
                <w:t xml:space="preserve">info@chwezicore.com</w:t>
              </w:r>
            </w:hyperlink>
          </w:p>
        </w:tc>
      </w:tr>
      <w:tr>
        <w:tc>
          <w:tcPr/>
          <w:p>
            <w:pPr>
              <w:pStyle w:val="Compact"/>
            </w:pPr>
            <w:r>
              <w:rPr>
                <w:b/>
                <w:bCs/>
              </w:rPr>
              <w:t xml:space="preserve">Lead Developer</w:t>
            </w:r>
          </w:p>
        </w:tc>
        <w:tc>
          <w:tcPr/>
          <w:p>
            <w:pPr>
              <w:pStyle w:val="Compact"/>
            </w:pPr>
            <w:r>
              <w:t xml:space="preserve">Peter Bamuhigire</w:t>
            </w:r>
          </w:p>
        </w:tc>
      </w:tr>
      <w:tr>
        <w:tc>
          <w:tcPr/>
          <w:p>
            <w:pPr>
              <w:pStyle w:val="Compact"/>
            </w:pPr>
            <w:r>
              <w:rPr>
                <w:b/>
                <w:bCs/>
              </w:rPr>
              <w:t xml:space="preserve">Dev Website</w:t>
            </w:r>
          </w:p>
        </w:tc>
        <w:tc>
          <w:tcPr/>
          <w:p>
            <w:pPr>
              <w:pStyle w:val="Compact"/>
            </w:pPr>
            <w:r>
              <w:t xml:space="preserve">techguypeter.com</w:t>
            </w:r>
          </w:p>
        </w:tc>
      </w:tr>
      <w:tr>
        <w:tc>
          <w:tcPr/>
          <w:p>
            <w:pPr>
              <w:pStyle w:val="Compact"/>
            </w:pPr>
            <w:r>
              <w:rPr>
                <w:b/>
                <w:bCs/>
              </w:rPr>
              <w:t xml:space="preserve">Dev Contact</w:t>
            </w:r>
          </w:p>
        </w:tc>
        <w:tc>
          <w:tcPr/>
          <w:p>
            <w:pPr>
              <w:pStyle w:val="Compact"/>
            </w:pPr>
            <w:hyperlink r:id="rId20">
              <w:r>
                <w:rPr>
                  <w:rStyle w:val="Hyperlink"/>
                </w:rPr>
                <w:t xml:space="preserve">peter@techguypeter.com</w:t>
              </w:r>
            </w:hyperlink>
            <w:r>
              <w:t xml:space="preserve"> </w:t>
            </w:r>
            <w:r>
              <w:t xml:space="preserve">/ +256784464178</w:t>
            </w:r>
          </w:p>
        </w:tc>
      </w:tr>
      <w:tr>
        <w:tc>
          <w:tcPr/>
          <w:p>
            <w:pPr>
              <w:pStyle w:val="Compact"/>
            </w:pPr>
            <w:r>
              <w:rPr>
                <w:b/>
                <w:bCs/>
              </w:rPr>
              <w:t xml:space="preserve">Version</w:t>
            </w:r>
          </w:p>
        </w:tc>
        <w:tc>
          <w:tcPr/>
          <w:p>
            <w:pPr>
              <w:pStyle w:val="Compact"/>
            </w:pPr>
            <w:r>
              <w:t xml:space="preserve">1.0 Draft</w:t>
            </w:r>
          </w:p>
        </w:tc>
      </w:tr>
      <w:tr>
        <w:tc>
          <w:tcPr/>
          <w:p>
            <w:pPr>
              <w:pStyle w:val="Compact"/>
            </w:pPr>
            <w:r>
              <w:rPr>
                <w:b/>
                <w:bCs/>
              </w:rPr>
              <w:t xml:space="preserve">Date</w:t>
            </w:r>
          </w:p>
        </w:tc>
        <w:tc>
          <w:tcPr/>
          <w:p>
            <w:pPr>
              <w:pStyle w:val="Compact"/>
            </w:pPr>
            <w:r>
              <w:t xml:space="preserve">2026-04-05</w:t>
            </w:r>
          </w:p>
        </w:tc>
      </w:tr>
      <w:tr>
        <w:tc>
          <w:tcPr/>
          <w:p>
            <w:pPr>
              <w:pStyle w:val="Compact"/>
            </w:pPr>
            <w:r>
              <w:rPr>
                <w:b/>
                <w:bCs/>
              </w:rPr>
              <w:t xml:space="preserve">Classification</w:t>
            </w:r>
          </w:p>
        </w:tc>
        <w:tc>
          <w:tcPr/>
          <w:p>
            <w:pPr>
              <w:pStyle w:val="Compact"/>
            </w:pPr>
            <w:r>
              <w:t xml:space="preserve">Confidential — Internal Use Only</w:t>
            </w:r>
          </w:p>
        </w:tc>
      </w:tr>
    </w:tbl>
    <w:p>
      <w:pPr>
        <w:pStyle w:val="BodyText"/>
      </w:pPr>
      <w:r>
        <w:rPr>
          <w:i/>
          <w:iCs/>
        </w:rPr>
        <w:t xml:space="preserve">This document is the property of Chwezi Core Systems. Unauthorised reproduction or distribution is prohibited.</w:t>
      </w:r>
    </w:p>
    <w:bookmarkStart w:id="28" w:name="Xf347340d5300349e3dc76f748e688f2a8da0996"/>
    <w:p>
      <w:pPr>
        <w:pStyle w:val="Heading1"/>
      </w:pPr>
      <w:r>
        <w:t xml:space="preserve">Introduction to the Procurement Module SRS</w:t>
      </w:r>
    </w:p>
    <w:bookmarkStart w:id="21" w:name="Xe94c4103db6bb764aa3b798144b782dac27f424"/>
    <w:p>
      <w:pPr>
        <w:pStyle w:val="Heading2"/>
      </w:pPr>
      <w:r>
        <w:t xml:space="preserve">1.1 Purpose</w:t>
      </w:r>
    </w:p>
    <w:p>
      <w:pPr>
        <w:pStyle w:val="FirstParagraph"/>
      </w:pPr>
      <w:r>
        <w:t xml:space="preserve">This Software Requirements Specification (SRS) defines all functional and non-functional requirements for the Procurement module of Longhorn ERP. The document targets software engineers, quality assurance analysts, and system architects responsible for implementing and verifying this module. All requirements are prospective and use the prescriptive form "The system shall...".</w:t>
      </w:r>
    </w:p>
    <w:bookmarkEnd w:id="21"/>
    <w:bookmarkStart w:id="22" w:name="X3378fde8998068a01e48267892e5cd923e9bc15"/>
    <w:p>
      <w:pPr>
        <w:pStyle w:val="Heading2"/>
      </w:pPr>
      <w:r>
        <w:t xml:space="preserve">1.2 Scope</w:t>
      </w:r>
    </w:p>
    <w:p>
      <w:pPr>
        <w:pStyle w:val="FirstParagraph"/>
      </w:pPr>
      <w:r>
        <w:t xml:space="preserve">The Procurement module governs the end-to-end acquisition of goods and services within Longhorn ERP. It covers supplier lifecycle management, purchase requisitions, request for quotations (RFQ), purchase orders (PO), goods receipt, supplier invoice processing, payment management, and compliance with the Uganda Public Procurement and Disposal of Public Assets (PPDA) Act.</w:t>
      </w:r>
    </w:p>
    <w:p>
      <w:pPr>
        <w:pStyle w:val="BodyText"/>
      </w:pPr>
      <w:r>
        <w:t xml:space="preserve">The module integrates with:</w:t>
      </w:r>
    </w:p>
    <w:p>
      <w:pPr>
        <w:pStyle w:val="Compact"/>
        <w:numPr>
          <w:ilvl w:val="0"/>
          <w:numId w:val="1001"/>
        </w:numPr>
      </w:pPr>
      <w:r>
        <w:rPr>
          <w:b/>
          <w:bCs/>
        </w:rPr>
        <w:t xml:space="preserve">Inventory</w:t>
      </w:r>
      <w:r>
        <w:t xml:space="preserve"> </w:t>
      </w:r>
      <w:r>
        <w:t xml:space="preserve">— goods receipt posts stock movements.</w:t>
      </w:r>
    </w:p>
    <w:p>
      <w:pPr>
        <w:pStyle w:val="Compact"/>
        <w:numPr>
          <w:ilvl w:val="0"/>
          <w:numId w:val="1001"/>
        </w:numPr>
      </w:pPr>
      <w:r>
        <w:rPr>
          <w:b/>
          <w:bCs/>
        </w:rPr>
        <w:t xml:space="preserve">Accounts Payable</w:t>
      </w:r>
      <w:r>
        <w:t xml:space="preserve"> </w:t>
      </w:r>
      <w:r>
        <w:t xml:space="preserve">— supplier invoices and payments post to the General Ledger.</w:t>
      </w:r>
    </w:p>
    <w:p>
      <w:pPr>
        <w:pStyle w:val="Compact"/>
        <w:numPr>
          <w:ilvl w:val="0"/>
          <w:numId w:val="1001"/>
        </w:numPr>
      </w:pPr>
      <w:r>
        <w:rPr>
          <w:b/>
          <w:bCs/>
        </w:rPr>
        <w:t xml:space="preserve">General Ledger</w:t>
      </w:r>
      <w:r>
        <w:t xml:space="preserve"> </w:t>
      </w:r>
      <w:r>
        <w:t xml:space="preserve">— every procurement transaction generates journal entries.</w:t>
      </w:r>
    </w:p>
    <w:p>
      <w:pPr>
        <w:pStyle w:val="Compact"/>
        <w:numPr>
          <w:ilvl w:val="0"/>
          <w:numId w:val="1001"/>
        </w:numPr>
      </w:pPr>
      <w:r>
        <w:rPr>
          <w:b/>
          <w:bCs/>
        </w:rPr>
        <w:t xml:space="preserve">RBAC</w:t>
      </w:r>
      <w:r>
        <w:t xml:space="preserve"> </w:t>
      </w:r>
      <w:r>
        <w:t xml:space="preserve">— approval workflows enforce role-based access at each threshold level.</w:t>
      </w:r>
    </w:p>
    <w:p>
      <w:pPr>
        <w:pStyle w:val="FirstParagraph"/>
      </w:pPr>
      <w:r>
        <w:t xml:space="preserve">The module does not cover customer-facing sales, payroll disbursements, or fixed asset disposal.</w:t>
      </w:r>
    </w:p>
    <w:bookmarkEnd w:id="22"/>
    <w:bookmarkStart w:id="23" w:name="Xdcd9e0be80539285b0dee6b18acf31a8b125019"/>
    <w:p>
      <w:pPr>
        <w:pStyle w:val="Heading2"/>
      </w:pPr>
      <w:r>
        <w:t xml:space="preserve">1.3 Business Goals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Goal</w:t>
            </w:r>
          </w:p>
        </w:tc>
      </w:tr>
      <w:tr>
        <w:tc>
          <w:tcPr/>
          <w:p>
            <w:pPr>
              <w:pStyle w:val="Compact"/>
            </w:pPr>
            <w:r>
              <w:t xml:space="preserve">BG-001</w:t>
            </w:r>
          </w:p>
        </w:tc>
        <w:tc>
          <w:tcPr/>
          <w:p>
            <w:pPr>
              <w:pStyle w:val="Compact"/>
            </w:pPr>
            <w:r>
              <w:t xml:space="preserve">Cost control through enforced PO approval and three-way match before payment.</w:t>
            </w:r>
          </w:p>
        </w:tc>
      </w:tr>
      <w:tr>
        <w:tc>
          <w:tcPr/>
          <w:p>
            <w:pPr>
              <w:pStyle w:val="Compact"/>
            </w:pPr>
            <w:r>
              <w:t xml:space="preserve">BG-002</w:t>
            </w:r>
          </w:p>
        </w:tc>
        <w:tc>
          <w:tcPr/>
          <w:p>
            <w:pPr>
              <w:pStyle w:val="Compact"/>
            </w:pPr>
            <w:r>
              <w:t xml:space="preserve">Regulatory compliance with the PPDA Act and Uganda tax obligations (VAT, WHT).</w:t>
            </w:r>
          </w:p>
        </w:tc>
      </w:tr>
      <w:tr>
        <w:tc>
          <w:tcPr/>
          <w:p>
            <w:pPr>
              <w:pStyle w:val="Compact"/>
            </w:pPr>
            <w:r>
              <w:t xml:space="preserve">BG-003</w:t>
            </w:r>
          </w:p>
        </w:tc>
        <w:tc>
          <w:tcPr/>
          <w:p>
            <w:pPr>
              <w:pStyle w:val="Compact"/>
            </w:pPr>
            <w:r>
              <w:t xml:space="preserve">Cash-flow visibility through creditors aging and scheduled payment runs.</w:t>
            </w:r>
          </w:p>
        </w:tc>
      </w:tr>
      <w:tr>
        <w:tc>
          <w:tcPr/>
          <w:p>
            <w:pPr>
              <w:pStyle w:val="Compact"/>
            </w:pPr>
            <w:r>
              <w:t xml:space="preserve">BG-004</w:t>
            </w:r>
          </w:p>
        </w:tc>
        <w:tc>
          <w:tcPr/>
          <w:p>
            <w:pPr>
              <w:pStyle w:val="Compact"/>
            </w:pPr>
            <w:r>
              <w:t xml:space="preserve">Audit readiness via immutable approval chains and PPDA procurement reports.</w:t>
            </w:r>
          </w:p>
        </w:tc>
      </w:tr>
    </w:tbl>
    <w:bookmarkEnd w:id="23"/>
    <w:bookmarkStart w:id="24" w:name="Xe790482990ea7cb6ce5f5db595401aad619afd8"/>
    <w:p>
      <w:pPr>
        <w:pStyle w:val="Heading2"/>
      </w:pPr>
      <w:r>
        <w:t xml:space="preserve">1.4 Applicable Standards and Regulations</w:t>
      </w:r>
    </w:p>
    <w:p>
      <w:pPr>
        <w:pStyle w:val="Compact"/>
        <w:numPr>
          <w:ilvl w:val="0"/>
          <w:numId w:val="1002"/>
        </w:numPr>
      </w:pPr>
      <w:r>
        <w:t xml:space="preserve">Uganda Public Procurement and Disposal of Public Assets Act (PPDA Act) — procurement method thresholds and open-tender obligations.</w:t>
      </w:r>
    </w:p>
    <w:p>
      <w:pPr>
        <w:pStyle w:val="Compact"/>
        <w:numPr>
          <w:ilvl w:val="0"/>
          <w:numId w:val="1002"/>
        </w:numPr>
      </w:pPr>
      <w:r>
        <w:t xml:space="preserve">Uganda VAT Act — input VAT recording on supplier invoices.</w:t>
      </w:r>
    </w:p>
    <w:p>
      <w:pPr>
        <w:pStyle w:val="Compact"/>
        <w:numPr>
          <w:ilvl w:val="0"/>
          <w:numId w:val="1002"/>
        </w:numPr>
      </w:pPr>
      <w:r>
        <w:t xml:space="preserve">Uganda Income Tax Act — withholding tax (WHT) deduction on qualifying supplier payments.</w:t>
      </w:r>
    </w:p>
    <w:p>
      <w:pPr>
        <w:pStyle w:val="Compact"/>
        <w:numPr>
          <w:ilvl w:val="0"/>
          <w:numId w:val="1002"/>
        </w:numPr>
      </w:pPr>
      <w:r>
        <w:t xml:space="preserve">IEEE Std 830-1998 — SRS quality attributes: correct, unambiguous, complete, consistent, ranked, verifiable, modifiable, traceable.</w:t>
      </w:r>
    </w:p>
    <w:p>
      <w:pPr>
        <w:pStyle w:val="Compact"/>
        <w:numPr>
          <w:ilvl w:val="0"/>
          <w:numId w:val="1002"/>
        </w:numPr>
      </w:pPr>
      <w:r>
        <w:t xml:space="preserve">IEEE Std 610.12-1990 — standard glossary of software engineering terminology.</w:t>
      </w:r>
    </w:p>
    <w:p>
      <w:pPr>
        <w:pStyle w:val="Compact"/>
        <w:numPr>
          <w:ilvl w:val="0"/>
          <w:numId w:val="1002"/>
        </w:numPr>
      </w:pPr>
      <w:r>
        <w:t xml:space="preserve">IEEE Std 1012-2016 — software verification and validation.</w:t>
      </w:r>
    </w:p>
    <w:bookmarkEnd w:id="24"/>
    <w:bookmarkStart w:id="25" w:name="X312925c6272fceee4becfe17ec0d6861bf43227"/>
    <w:p>
      <w:pPr>
        <w:pStyle w:val="Heading2"/>
      </w:pPr>
      <w:r>
        <w:t xml:space="preserve">1.5 Definitions and Acronyms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GRN</w:t>
            </w:r>
          </w:p>
        </w:tc>
        <w:tc>
          <w:tcPr/>
          <w:p>
            <w:pPr>
              <w:pStyle w:val="Compact"/>
            </w:pPr>
            <w:r>
              <w:t xml:space="preserve">Goods Receipt Note — document recording physical receipt of goods against a PO.</w:t>
            </w:r>
          </w:p>
        </w:tc>
      </w:tr>
      <w:tr>
        <w:tc>
          <w:tcPr/>
          <w:p>
            <w:pPr>
              <w:pStyle w:val="Compact"/>
            </w:pPr>
            <w:r>
              <w:t xml:space="preserve">PO</w:t>
            </w:r>
          </w:p>
        </w:tc>
        <w:tc>
          <w:tcPr/>
          <w:p>
            <w:pPr>
              <w:pStyle w:val="Compact"/>
            </w:pPr>
            <w:r>
              <w:t xml:space="preserve">Purchase Order — a binding document issued to a supplier authorising delivery of goods or services.</w:t>
            </w:r>
          </w:p>
        </w:tc>
      </w:tr>
      <w:tr>
        <w:tc>
          <w:tcPr/>
          <w:p>
            <w:pPr>
              <w:pStyle w:val="Compact"/>
            </w:pPr>
            <w:r>
              <w:t xml:space="preserve">PPDA</w:t>
            </w:r>
          </w:p>
        </w:tc>
        <w:tc>
          <w:tcPr/>
          <w:p>
            <w:pPr>
              <w:pStyle w:val="Compact"/>
            </w:pPr>
            <w:r>
              <w:t xml:space="preserve">Public Procurement and Disposal of Public Assets — Uganda's public procurement regulatory body.</w:t>
            </w:r>
          </w:p>
        </w:tc>
      </w:tr>
      <w:tr>
        <w:tc>
          <w:tcPr/>
          <w:p>
            <w:pPr>
              <w:pStyle w:val="Compact"/>
            </w:pPr>
            <w:r>
              <w:t xml:space="preserve">PR</w:t>
            </w:r>
          </w:p>
        </w:tc>
        <w:tc>
          <w:tcPr/>
          <w:p>
            <w:pPr>
              <w:pStyle w:val="Compact"/>
            </w:pPr>
            <w:r>
              <w:t xml:space="preserve">Purchase Requisition — an internal request to purchase goods or services.</w:t>
            </w:r>
          </w:p>
        </w:tc>
      </w:tr>
      <w:tr>
        <w:tc>
          <w:tcPr/>
          <w:p>
            <w:pPr>
              <w:pStyle w:val="Compact"/>
            </w:pPr>
            <w:r>
              <w:t xml:space="preserve">RFQ</w:t>
            </w:r>
          </w:p>
        </w:tc>
        <w:tc>
          <w:tcPr/>
          <w:p>
            <w:pPr>
              <w:pStyle w:val="Compact"/>
            </w:pPr>
            <w:r>
              <w:t xml:space="preserve">Request for Quotation — a solicitation sent to suppliers to obtain competitive price quotations.</w:t>
            </w:r>
          </w:p>
        </w:tc>
      </w:tr>
      <w:tr>
        <w:tc>
          <w:tcPr/>
          <w:p>
            <w:pPr>
              <w:pStyle w:val="Compact"/>
            </w:pPr>
            <w:r>
              <w:t xml:space="preserve">SRS</w:t>
            </w:r>
          </w:p>
        </w:tc>
        <w:tc>
          <w:tcPr/>
          <w:p>
            <w:pPr>
              <w:pStyle w:val="Compact"/>
            </w:pPr>
            <w:r>
              <w:t xml:space="preserve">Software Requirements Specification.</w:t>
            </w:r>
          </w:p>
        </w:tc>
      </w:tr>
      <w:tr>
        <w:tc>
          <w:tcPr/>
          <w:p>
            <w:pPr>
              <w:pStyle w:val="Compact"/>
            </w:pPr>
            <w:r>
              <w:t xml:space="preserve">TIN</w:t>
            </w:r>
          </w:p>
        </w:tc>
        <w:tc>
          <w:tcPr/>
          <w:p>
            <w:pPr>
              <w:pStyle w:val="Compact"/>
            </w:pPr>
            <w:r>
              <w:t xml:space="preserve">Tax Identification Number — issued by the Uganda Revenue Authority.</w:t>
            </w:r>
          </w:p>
        </w:tc>
      </w:tr>
      <w:tr>
        <w:tc>
          <w:tcPr/>
          <w:p>
            <w:pPr>
              <w:pStyle w:val="Compact"/>
            </w:pPr>
            <w:r>
              <w:t xml:space="preserve">VAT</w:t>
            </w:r>
          </w:p>
        </w:tc>
        <w:tc>
          <w:tcPr/>
          <w:p>
            <w:pPr>
              <w:pStyle w:val="Compact"/>
            </w:pPr>
            <w:r>
              <w:t xml:space="preserve">Value Added Tax — applied to supplier invoices per the Uganda VAT Act.</w:t>
            </w:r>
          </w:p>
        </w:tc>
      </w:tr>
      <w:tr>
        <w:tc>
          <w:tcPr/>
          <w:p>
            <w:pPr>
              <w:pStyle w:val="Compact"/>
            </w:pPr>
            <w:r>
              <w:t xml:space="preserve">WHT</w:t>
            </w:r>
          </w:p>
        </w:tc>
        <w:tc>
          <w:tcPr/>
          <w:p>
            <w:pPr>
              <w:pStyle w:val="Compact"/>
            </w:pPr>
            <w:r>
              <w:t xml:space="preserve">Withholding Tax — tax deducted at source from qualifying supplier payments.</w:t>
            </w:r>
          </w:p>
        </w:tc>
      </w:tr>
      <w:tr>
        <w:tc>
          <w:tcPr/>
          <w:p>
            <w:pPr>
              <w:pStyle w:val="Compact"/>
            </w:pPr>
            <w:r>
              <w:t xml:space="preserve">3-way match</w:t>
            </w:r>
          </w:p>
        </w:tc>
        <w:tc>
          <w:tcPr/>
          <w:p>
            <w:pPr>
              <w:pStyle w:val="Compact"/>
            </w:pPr>
            <w:r>
              <w:t xml:space="preserve">Cross-validation of PO price, GRN quantity, and supplier invoice values before approving payment.</w:t>
            </w:r>
          </w:p>
        </w:tc>
      </w:tr>
    </w:tbl>
    <w:bookmarkEnd w:id="25"/>
    <w:bookmarkStart w:id="26" w:name="X57c574edcfc1545d529458b4b0eb8ccf0451acc"/>
    <w:p>
      <w:pPr>
        <w:pStyle w:val="Heading2"/>
      </w:pPr>
      <w:r>
        <w:t xml:space="preserve">1.6 Document Conventions</w:t>
      </w:r>
    </w:p>
    <w:p>
      <w:pPr>
        <w:pStyle w:val="Compact"/>
        <w:numPr>
          <w:ilvl w:val="0"/>
          <w:numId w:val="1003"/>
        </w:numPr>
      </w:pPr>
      <w:r>
        <w:t xml:space="preserve">Functional requirements carry the identifier pattern</w:t>
      </w:r>
      <w:r>
        <w:t xml:space="preserve"> </w:t>
      </w:r>
      <w:r>
        <w:rPr>
          <w:rStyle w:val="VerbatimChar"/>
        </w:rPr>
        <w:t xml:space="preserve">FR-PROC-NNN</w:t>
      </w:r>
      <w:r>
        <w:t xml:space="preserve">.</w:t>
      </w:r>
    </w:p>
    <w:p>
      <w:pPr>
        <w:pStyle w:val="Compact"/>
        <w:numPr>
          <w:ilvl w:val="0"/>
          <w:numId w:val="1003"/>
        </w:numPr>
      </w:pPr>
      <w:r>
        <w:t xml:space="preserve">Non-functional requirements carry the identifier pattern</w:t>
      </w:r>
      <w:r>
        <w:t xml:space="preserve"> </w:t>
      </w:r>
      <w:r>
        <w:rPr>
          <w:rStyle w:val="VerbatimChar"/>
        </w:rPr>
        <w:t xml:space="preserve">NFR-PROC-NNN</w:t>
      </w:r>
      <w:r>
        <w:t xml:space="preserve">.</w:t>
      </w:r>
    </w:p>
    <w:p>
      <w:pPr>
        <w:pStyle w:val="Compact"/>
        <w:numPr>
          <w:ilvl w:val="0"/>
          <w:numId w:val="1003"/>
        </w:numPr>
      </w:pPr>
      <w:r>
        <w:rPr>
          <w:rStyle w:val="VerbatimChar"/>
        </w:rPr>
        <w:t xml:space="preserve">[CONTEXT-GAP: &lt;topic&gt;]</w:t>
      </w:r>
      <w:r>
        <w:t xml:space="preserve"> </w:t>
      </w:r>
      <w:r>
        <w:t xml:space="preserve">marks a requirement whose detail cannot be confirmed from available context.</w:t>
      </w:r>
    </w:p>
    <w:p>
      <w:pPr>
        <w:pStyle w:val="Compact"/>
        <w:numPr>
          <w:ilvl w:val="0"/>
          <w:numId w:val="1003"/>
        </w:numPr>
      </w:pPr>
      <w:r>
        <w:rPr>
          <w:rStyle w:val="VerbatimChar"/>
        </w:rPr>
        <w:t xml:space="preserve">[GLOSSARY-GAP: &lt;term&gt;]</w:t>
      </w:r>
      <w:r>
        <w:t xml:space="preserve"> </w:t>
      </w:r>
      <w:r>
        <w:t xml:space="preserve">marks a term used but not yet defined in the project glossary.</w:t>
      </w:r>
    </w:p>
    <w:p>
      <w:pPr>
        <w:pStyle w:val="Compact"/>
        <w:numPr>
          <w:ilvl w:val="0"/>
          <w:numId w:val="1003"/>
        </w:numPr>
      </w:pPr>
      <w:r>
        <w:rPr>
          <w:rStyle w:val="VerbatimChar"/>
        </w:rPr>
        <w:t xml:space="preserve">[V&amp;V-FAIL: &lt;reason&gt;]</w:t>
      </w:r>
      <w:r>
        <w:t xml:space="preserve"> </w:t>
      </w:r>
      <w:r>
        <w:t xml:space="preserve">marks a requirement that fails the IEEE 1012 verification criteria.</w:t>
      </w:r>
    </w:p>
    <w:bookmarkEnd w:id="26"/>
    <w:bookmarkStart w:id="27" w:name="X4fce5c8a52336fd73b78fd119d4fbc554812c7c"/>
    <w:p>
      <w:pPr>
        <w:pStyle w:val="Heading2"/>
      </w:pPr>
      <w:r>
        <w:t xml:space="preserve">1.7 Overview of This Document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Content</w:t>
            </w:r>
          </w:p>
        </w:tc>
      </w:tr>
      <w:tr>
        <w:tc>
          <w:tcPr/>
          <w:p>
            <w:pPr>
              <w:pStyle w:val="Compact"/>
            </w:pPr>
            <w:r>
              <w:t xml:space="preserve">2</w:t>
            </w:r>
          </w:p>
        </w:tc>
        <w:tc>
          <w:tcPr/>
          <w:p>
            <w:pPr>
              <w:pStyle w:val="Compact"/>
            </w:pPr>
            <w:r>
              <w:t xml:space="preserve">Supplier Management</w:t>
            </w:r>
          </w:p>
        </w:tc>
      </w:tr>
      <w:tr>
        <w:tc>
          <w:tcPr/>
          <w:p>
            <w:pPr>
              <w:pStyle w:val="Compact"/>
            </w:pPr>
            <w:r>
              <w:t xml:space="preserve">3</w:t>
            </w:r>
          </w:p>
        </w:tc>
        <w:tc>
          <w:tcPr/>
          <w:p>
            <w:pPr>
              <w:pStyle w:val="Compact"/>
            </w:pPr>
            <w:r>
              <w:t xml:space="preserve">Purchase Requisitions and RFQ</w:t>
            </w:r>
          </w:p>
        </w:tc>
      </w:tr>
      <w:tr>
        <w:tc>
          <w:tcPr/>
          <w:p>
            <w:pPr>
              <w:pStyle w:val="Compact"/>
            </w:pPr>
            <w:r>
              <w:t xml:space="preserve">4</w:t>
            </w:r>
          </w:p>
        </w:tc>
        <w:tc>
          <w:tcPr/>
          <w:p>
            <w:pPr>
              <w:pStyle w:val="Compact"/>
            </w:pPr>
            <w:r>
              <w:t xml:space="preserve">Purchase Orders</w:t>
            </w:r>
          </w:p>
        </w:tc>
      </w:tr>
      <w:tr>
        <w:tc>
          <w:tcPr/>
          <w:p>
            <w:pPr>
              <w:pStyle w:val="Compact"/>
            </w:pPr>
            <w:r>
              <w:t xml:space="preserve">5</w:t>
            </w:r>
          </w:p>
        </w:tc>
        <w:tc>
          <w:tcPr/>
          <w:p>
            <w:pPr>
              <w:pStyle w:val="Compact"/>
            </w:pPr>
            <w:r>
              <w:t xml:space="preserve">Goods Receipt</w:t>
            </w:r>
          </w:p>
        </w:tc>
      </w:tr>
      <w:tr>
        <w:tc>
          <w:tcPr/>
          <w:p>
            <w:pPr>
              <w:pStyle w:val="Compact"/>
            </w:pPr>
            <w:r>
              <w:t xml:space="preserve">6</w:t>
            </w:r>
          </w:p>
        </w:tc>
        <w:tc>
          <w:tcPr/>
          <w:p>
            <w:pPr>
              <w:pStyle w:val="Compact"/>
            </w:pPr>
            <w:r>
              <w:t xml:space="preserve">Supplier Invoices</w:t>
            </w:r>
          </w:p>
        </w:tc>
      </w:tr>
      <w:tr>
        <w:tc>
          <w:tcPr/>
          <w:p>
            <w:pPr>
              <w:pStyle w:val="Compact"/>
            </w:pPr>
            <w:r>
              <w:t xml:space="preserve">7</w:t>
            </w:r>
          </w:p>
        </w:tc>
        <w:tc>
          <w:tcPr/>
          <w:p>
            <w:pPr>
              <w:pStyle w:val="Compact"/>
            </w:pPr>
            <w:r>
              <w:t xml:space="preserve">Payments and Creditors Aging</w:t>
            </w:r>
          </w:p>
        </w:tc>
      </w:tr>
      <w:tr>
        <w:tc>
          <w:tcPr/>
          <w:p>
            <w:pPr>
              <w:pStyle w:val="Compact"/>
            </w:pPr>
            <w:r>
              <w:t xml:space="preserve">8</w:t>
            </w:r>
          </w:p>
        </w:tc>
        <w:tc>
          <w:tcPr/>
          <w:p>
            <w:pPr>
              <w:pStyle w:val="Compact"/>
            </w:pPr>
            <w:r>
              <w:t xml:space="preserve">PPDA Compliance</w:t>
            </w:r>
          </w:p>
        </w:tc>
      </w:tr>
      <w:tr>
        <w:tc>
          <w:tcPr/>
          <w:p>
            <w:pPr>
              <w:pStyle w:val="Compact"/>
            </w:pPr>
            <w:r>
              <w:t xml:space="preserve">9</w:t>
            </w:r>
          </w:p>
        </w:tc>
        <w:tc>
          <w:tcPr/>
          <w:p>
            <w:pPr>
              <w:pStyle w:val="Compact"/>
            </w:pPr>
            <w:r>
              <w:t xml:space="preserve">Non-Functional Requirements</w:t>
            </w:r>
          </w:p>
        </w:tc>
      </w:tr>
      <w:tr>
        <w:tc>
          <w:tcPr/>
          <w:p>
            <w:pPr>
              <w:pStyle w:val="Compact"/>
            </w:pPr>
            <w:r>
              <w:t xml:space="preserve">10</w:t>
            </w:r>
          </w:p>
        </w:tc>
        <w:tc>
          <w:tcPr/>
          <w:p>
            <w:pPr>
              <w:pStyle w:val="Compact"/>
            </w:pPr>
            <w:r>
              <w:t xml:space="preserve">Traceability Matrix</w:t>
            </w:r>
          </w:p>
        </w:tc>
      </w:tr>
    </w:tbl>
    <w:bookmarkEnd w:id="27"/>
    <w:bookmarkEnd w:id="28"/>
    <w:bookmarkStart w:id="32" w:name="supplier-management"/>
    <w:p>
      <w:pPr>
        <w:pStyle w:val="Heading1"/>
      </w:pPr>
      <w:r>
        <w:t xml:space="preserve">Supplier Management</w:t>
      </w:r>
    </w:p>
    <w:bookmarkStart w:id="29" w:name="Xaaedca1e1f7f8bafe093120ca8334d9cbfaef13"/>
    <w:p>
      <w:pPr>
        <w:pStyle w:val="Heading2"/>
      </w:pPr>
      <w:r>
        <w:t xml:space="preserve">2.1 Overview</w:t>
      </w:r>
    </w:p>
    <w:p>
      <w:pPr>
        <w:pStyle w:val="FirstParagraph"/>
      </w:pPr>
      <w:r>
        <w:t xml:space="preserve">Supplier Management maintains the supplier master and all associated reference data required by downstream procurement workflows. Every active supplier record is globally unique per tenant.</w:t>
      </w:r>
    </w:p>
    <w:bookmarkEnd w:id="29"/>
    <w:bookmarkStart w:id="30" w:name="X4d4490c8e0bf4372ddcaf7e593d44916fb2616f"/>
    <w:p>
      <w:pPr>
        <w:pStyle w:val="Heading2"/>
      </w:pPr>
      <w:r>
        <w:t xml:space="preserve">2.2 Functional Requirements</w:t>
      </w:r>
    </w:p>
    <w:p>
      <w:pPr>
        <w:pStyle w:val="FirstParagraph"/>
      </w:pPr>
      <w:r>
        <w:rPr>
          <w:b/>
          <w:bCs/>
        </w:rPr>
        <w:t xml:space="preserve">FR-PROC-001</w:t>
      </w:r>
      <w:r>
        <w:t xml:space="preserve"> </w:t>
      </w:r>
      <w:r>
        <w:t xml:space="preserve">— When a user submits a new supplier record, the system shall validate that the supplier name is unique within the tenant and that the Tax Identification Number (TIN) conforms to the URA 10-digit numeric format; if either validation fails, the system shall reject the record and return a descriptive error message.</w:t>
      </w:r>
    </w:p>
    <w:p>
      <w:pPr>
        <w:pStyle w:val="BodyText"/>
      </w:pPr>
      <w:r>
        <w:rPr>
          <w:b/>
          <w:bCs/>
        </w:rPr>
        <w:t xml:space="preserve">FR-PROC-002</w:t>
      </w:r>
      <w:r>
        <w:t xml:space="preserve"> </w:t>
      </w:r>
      <w:r>
        <w:t xml:space="preserve">— When a supplier record is saved, the system shall persist the following mandatory fields: supplier name, TIN, primary contact name, primary phone number, payment terms (net days), and withholding tax (WHT) status (exempt or subject to WHT).</w:t>
      </w:r>
    </w:p>
    <w:p>
      <w:pPr>
        <w:pStyle w:val="BodyText"/>
      </w:pPr>
      <w:r>
        <w:rPr>
          <w:b/>
          <w:bCs/>
        </w:rPr>
        <w:t xml:space="preserve">FR-PROC-003</w:t>
      </w:r>
      <w:r>
        <w:t xml:space="preserve"> </w:t>
      </w:r>
      <w:r>
        <w:t xml:space="preserve">— When a user adds a bank account to a supplier record, the system shall store bank name, branch name, account number, and account name; the system shall permit multiple bank accounts per supplier and designate exactly one as the default payment account.</w:t>
      </w:r>
    </w:p>
    <w:p>
      <w:pPr>
        <w:pStyle w:val="BodyText"/>
      </w:pPr>
      <w:r>
        <w:rPr>
          <w:b/>
          <w:bCs/>
        </w:rPr>
        <w:t xml:space="preserve">FR-PROC-004</w:t>
      </w:r>
      <w:r>
        <w:t xml:space="preserve"> </w:t>
      </w:r>
      <w:r>
        <w:t xml:space="preserve">— When a user updates a supplier record, the system shall write the previous field values, new field values, user identity, and timestamp to the audit log before committing the change.</w:t>
      </w:r>
    </w:p>
    <w:p>
      <w:pPr>
        <w:pStyle w:val="BodyText"/>
      </w:pPr>
      <w:r>
        <w:rPr>
          <w:b/>
          <w:bCs/>
        </w:rPr>
        <w:t xml:space="preserve">FR-PROC-005</w:t>
      </w:r>
      <w:r>
        <w:t xml:space="preserve"> </w:t>
      </w:r>
      <w:r>
        <w:t xml:space="preserve">— When a user deactivates a supplier, the system shall block creation of new purchase orders against that supplier and display a warning on any in-progress documents linked to that supplier.</w:t>
      </w:r>
    </w:p>
    <w:p>
      <w:pPr>
        <w:pStyle w:val="BodyText"/>
      </w:pPr>
      <w:r>
        <w:rPr>
          <w:b/>
          <w:bCs/>
        </w:rPr>
        <w:t xml:space="preserve">FR-PROC-006</w:t>
      </w:r>
      <w:r>
        <w:t xml:space="preserve"> </w:t>
      </w:r>
      <w:r>
        <w:t xml:space="preserve">— The system shall provide a supplier search interface that filters by supplier name, TIN, and active/inactive status and returns results within 500 ms for a tenant dataset of ≤ 10,000 supplier records.</w:t>
      </w:r>
    </w:p>
    <w:bookmarkEnd w:id="30"/>
    <w:bookmarkStart w:id="31" w:name="Xadfd4a463bfa3587aff46e9e33f82a9b651ccbf"/>
    <w:p>
      <w:pPr>
        <w:pStyle w:val="Heading2"/>
      </w:pPr>
      <w:r>
        <w:t xml:space="preserve">2.3 Supplier Categories and Tags</w:t>
      </w:r>
    </w:p>
    <w:p>
      <w:pPr>
        <w:pStyle w:val="FirstParagraph"/>
      </w:pPr>
      <w:r>
        <w:rPr>
          <w:b/>
          <w:bCs/>
        </w:rPr>
        <w:t xml:space="preserve">FR-PROC-007</w:t>
      </w:r>
      <w:r>
        <w:t xml:space="preserve"> </w:t>
      </w:r>
      <w:r>
        <w:t xml:space="preserve">— The system shall allow users to assign one or more configurable category tags to each supplier (e.g., "Goods", "Services", "Contractor", "Import") and shall support filtering purchase reports by tag.</w:t>
      </w:r>
    </w:p>
    <w:p>
      <w:pPr>
        <w:pStyle w:val="BodyText"/>
      </w:pPr>
      <w:r>
        <w:rPr>
          <w:b/>
          <w:bCs/>
        </w:rPr>
        <w:t xml:space="preserve">FR-PROC-008</w:t>
      </w:r>
      <w:r>
        <w:t xml:space="preserve"> </w:t>
      </w:r>
      <w:r>
        <w:t xml:space="preserve">— When a supplier is tagged as "Import", the system shall expose a landed cost allocation option on all goods receipt notes raised against that supplier.</w:t>
      </w:r>
    </w:p>
    <w:bookmarkEnd w:id="31"/>
    <w:bookmarkEnd w:id="32"/>
    <w:bookmarkStart w:id="35" w:name="X18c741a27a07eb4f9d4958294efeb6ee843fa8c"/>
    <w:p>
      <w:pPr>
        <w:pStyle w:val="Heading1"/>
      </w:pPr>
      <w:r>
        <w:t xml:space="preserve">Purchase Requisitions and Request for Quotation</w:t>
      </w:r>
    </w:p>
    <w:bookmarkStart w:id="33" w:name="X78b910ba7271b9ee1b5263628348b7b4ff31a97"/>
    <w:p>
      <w:pPr>
        <w:pStyle w:val="Heading2"/>
      </w:pPr>
      <w:r>
        <w:t xml:space="preserve">3.1 Purchase Requisition</w:t>
      </w:r>
    </w:p>
    <w:p>
      <w:pPr>
        <w:pStyle w:val="FirstParagraph"/>
      </w:pPr>
      <w:r>
        <w:rPr>
          <w:b/>
          <w:bCs/>
        </w:rPr>
        <w:t xml:space="preserve">FR-PROC-009</w:t>
      </w:r>
      <w:r>
        <w:t xml:space="preserve"> </w:t>
      </w:r>
      <w:r>
        <w:t xml:space="preserve">— When a user submits a Purchase Requisition (PR), the system shall assign a unique identifier in the format</w:t>
      </w:r>
      <w:r>
        <w:t xml:space="preserve"> </w:t>
      </w:r>
      <w:r>
        <w:rPr>
          <w:rStyle w:val="VerbatimChar"/>
        </w:rPr>
        <w:t xml:space="preserve">PR-YYYY-NNNN</w:t>
      </w:r>
      <w:r>
        <w:t xml:space="preserve">, record the requesting user, department, item descriptions, estimated quantities, required-by date, and justification narrative.</w:t>
      </w:r>
    </w:p>
    <w:p>
      <w:pPr>
        <w:pStyle w:val="BodyText"/>
      </w:pPr>
      <w:r>
        <w:rPr>
          <w:b/>
          <w:bCs/>
        </w:rPr>
        <w:t xml:space="preserve">FR-PROC-010</w:t>
      </w:r>
      <w:r>
        <w:t xml:space="preserve"> </w:t>
      </w:r>
      <w:r>
        <w:t xml:space="preserve">— When a PR is submitted, the system shall route it through the tenant-configured approval workflow; the system shall block conversion of an unapproved PR to an RFQ or Purchase Order (PO).</w:t>
      </w:r>
    </w:p>
    <w:p>
      <w:pPr>
        <w:pStyle w:val="BodyText"/>
      </w:pPr>
      <w:r>
        <w:rPr>
          <w:b/>
          <w:bCs/>
        </w:rPr>
        <w:t xml:space="preserve">FR-PROC-011</w:t>
      </w:r>
      <w:r>
        <w:t xml:space="preserve"> </w:t>
      </w:r>
      <w:r>
        <w:t xml:space="preserve">— When a PR approver approves or rejects a PR, the system shall notify the requesting user via in-app notification and email, recording the approver identity and decision timestamp in the audit log.</w:t>
      </w:r>
    </w:p>
    <w:p>
      <w:pPr>
        <w:pStyle w:val="BodyText"/>
      </w:pPr>
      <w:r>
        <w:rPr>
          <w:b/>
          <w:bCs/>
        </w:rPr>
        <w:t xml:space="preserve">FR-PROC-012</w:t>
      </w:r>
      <w:r>
        <w:t xml:space="preserve"> </w:t>
      </w:r>
      <w:r>
        <w:t xml:space="preserve">— The system shall enforce PPDA method-selection thresholds on PRs: if the estimated value exceeds the configurable direct-procurement ceiling</w:t>
      </w:r>
      <w:r>
        <w:t xml:space="preserve"> </w:t>
      </w:r>
      <w:r>
        <w:rPr>
          <w:rStyle w:val="VerbatimChar"/>
        </w:rPr>
        <w:t xml:space="preserve">[CONTEXT-GAP: GAP-006 — PPDA current threshold values]</w:t>
      </w:r>
      <w:r>
        <w:t xml:space="preserve">, the system shall flag the PR as requiring open tender and prevent direct supplier selection.</w:t>
      </w:r>
    </w:p>
    <w:bookmarkEnd w:id="33"/>
    <w:bookmarkStart w:id="34" w:name="X4cc9256673d1da91be1f39357c8974972454b7e"/>
    <w:p>
      <w:pPr>
        <w:pStyle w:val="Heading2"/>
      </w:pPr>
      <w:r>
        <w:t xml:space="preserve">3.2 Request for Quotation</w:t>
      </w:r>
    </w:p>
    <w:p>
      <w:pPr>
        <w:pStyle w:val="FirstParagraph"/>
      </w:pPr>
      <w:r>
        <w:rPr>
          <w:b/>
          <w:bCs/>
        </w:rPr>
        <w:t xml:space="preserve">FR-PROC-013</w:t>
      </w:r>
      <w:r>
        <w:t xml:space="preserve"> </w:t>
      </w:r>
      <w:r>
        <w:t xml:space="preserve">— When a user converts an approved PR to an RFQ, the system shall copy all line items from the PR to the RFQ, assign a unique identifier in the format</w:t>
      </w:r>
      <w:r>
        <w:t xml:space="preserve"> </w:t>
      </w:r>
      <w:r>
        <w:rPr>
          <w:rStyle w:val="VerbatimChar"/>
        </w:rPr>
        <w:t xml:space="preserve">RFQ-YYYY-NNNN</w:t>
      </w:r>
      <w:r>
        <w:t xml:space="preserve">, and allow the user to add or remove suppliers to receive the solicitation.</w:t>
      </w:r>
    </w:p>
    <w:p>
      <w:pPr>
        <w:pStyle w:val="BodyText"/>
      </w:pPr>
      <w:r>
        <w:rPr>
          <w:b/>
          <w:bCs/>
        </w:rPr>
        <w:t xml:space="preserve">FR-PROC-014</w:t>
      </w:r>
      <w:r>
        <w:t xml:space="preserve"> </w:t>
      </w:r>
      <w:r>
        <w:t xml:space="preserve">— When a user dispatches an RFQ, the system shall generate a PDF quotation request document branded with the tenant logo and transmit it to each selected supplier via email; the RFQ PDF shall include item descriptions, quantities, delivery location, and quotation deadline.</w:t>
      </w:r>
    </w:p>
    <w:p>
      <w:pPr>
        <w:pStyle w:val="BodyText"/>
      </w:pPr>
      <w:r>
        <w:rPr>
          <w:b/>
          <w:bCs/>
        </w:rPr>
        <w:t xml:space="preserve">FR-PROC-015</w:t>
      </w:r>
      <w:r>
        <w:t xml:space="preserve"> </w:t>
      </w:r>
      <w:r>
        <w:t xml:space="preserve">— When a supplier quotation response is captured, the system shall store unit price, currency, delivery lead time, validity period, and any supplier notes against the corresponding RFQ line.</w:t>
      </w:r>
    </w:p>
    <w:p>
      <w:pPr>
        <w:pStyle w:val="BodyText"/>
      </w:pPr>
      <w:r>
        <w:rPr>
          <w:b/>
          <w:bCs/>
        </w:rPr>
        <w:t xml:space="preserve">FR-PROC-016</w:t>
      </w:r>
      <w:r>
        <w:t xml:space="preserve"> </w:t>
      </w:r>
      <w:r>
        <w:t xml:space="preserve">— The system shall provide a side-by-side supplier comparison view that ranks all received quotations by unit price per line item, flags the lowest price, and highlights items where the price variance across suppliers exceeds a configurable threshold.</w:t>
      </w:r>
    </w:p>
    <w:bookmarkEnd w:id="34"/>
    <w:bookmarkEnd w:id="35"/>
    <w:bookmarkStart w:id="39" w:name="purchase-orders"/>
    <w:p>
      <w:pPr>
        <w:pStyle w:val="Heading1"/>
      </w:pPr>
      <w:r>
        <w:t xml:space="preserve">Purchase Orders</w:t>
      </w:r>
    </w:p>
    <w:bookmarkStart w:id="36" w:name="Xb7de82890cb264120a91b9dfe8e84051e8e7d93"/>
    <w:p>
      <w:pPr>
        <w:pStyle w:val="Heading2"/>
      </w:pPr>
      <w:r>
        <w:t xml:space="preserve">4.1 PO Creation and Approval</w:t>
      </w:r>
    </w:p>
    <w:p>
      <w:pPr>
        <w:pStyle w:val="FirstParagraph"/>
      </w:pPr>
      <w:r>
        <w:rPr>
          <w:b/>
          <w:bCs/>
        </w:rPr>
        <w:t xml:space="preserve">FR-PROC-017</w:t>
      </w:r>
      <w:r>
        <w:t xml:space="preserve"> </w:t>
      </w:r>
      <w:r>
        <w:t xml:space="preserve">— When a user creates a Purchase Order (PO), the system shall assign a unique identifier in the format</w:t>
      </w:r>
      <w:r>
        <w:t xml:space="preserve"> </w:t>
      </w:r>
      <w:r>
        <w:rPr>
          <w:rStyle w:val="VerbatimChar"/>
        </w:rPr>
        <w:t xml:space="preserve">PO-YYYY-NNNN</w:t>
      </w:r>
      <w:r>
        <w:t xml:space="preserve">, record supplier, line items with item code, description, ordered quantity, agreed unit price, currency, and expected delivery date.</w:t>
      </w:r>
    </w:p>
    <w:p>
      <w:pPr>
        <w:pStyle w:val="BodyText"/>
      </w:pPr>
      <w:r>
        <w:rPr>
          <w:b/>
          <w:bCs/>
        </w:rPr>
        <w:t xml:space="preserve">FR-PROC-018</w:t>
      </w:r>
      <w:r>
        <w:t xml:space="preserve"> </w:t>
      </w:r>
      <w:r>
        <w:t xml:space="preserve">— When a PO is submitted for approval, the system shall enforce the tenant-configured multi-level approval matrix based on PO value; the system shall lock the PO for editing until the approval process completes.</w:t>
      </w:r>
    </w:p>
    <w:p>
      <w:pPr>
        <w:pStyle w:val="BodyText"/>
      </w:pPr>
      <w:r>
        <w:rPr>
          <w:b/>
          <w:bCs/>
        </w:rPr>
        <w:t xml:space="preserve">FR-PROC-019</w:t>
      </w:r>
      <w:r>
        <w:t xml:space="preserve"> </w:t>
      </w:r>
      <w:r>
        <w:t xml:space="preserve">— When an approver approves a PO, the system shall stamp the approval with the approver identity, role, and timestamp; when all required approval levels confirm, the system shall transition the PO status to "Approved" and permit issuance to the supplier.</w:t>
      </w:r>
    </w:p>
    <w:p>
      <w:pPr>
        <w:pStyle w:val="BodyText"/>
      </w:pPr>
      <w:r>
        <w:rPr>
          <w:b/>
          <w:bCs/>
        </w:rPr>
        <w:t xml:space="preserve">FR-PROC-020</w:t>
      </w:r>
      <w:r>
        <w:t xml:space="preserve"> </w:t>
      </w:r>
      <w:r>
        <w:t xml:space="preserve">— When a user issues an approved PO to the supplier, the system shall generate a PDF Local Purchase Order (LPO) branded with the tenant logo and transmit it via email; the LPO shall display all line items, agreed prices, delivery address, and authorised signatory.</w:t>
      </w:r>
    </w:p>
    <w:bookmarkEnd w:id="36"/>
    <w:bookmarkStart w:id="37" w:name="X92c1e39ff558895536464d9b019af97eebd77ce"/>
    <w:p>
      <w:pPr>
        <w:pStyle w:val="Heading2"/>
      </w:pPr>
      <w:r>
        <w:t xml:space="preserve">4.2 PO Amendment</w:t>
      </w:r>
    </w:p>
    <w:p>
      <w:pPr>
        <w:pStyle w:val="FirstParagraph"/>
      </w:pPr>
      <w:r>
        <w:rPr>
          <w:b/>
          <w:bCs/>
        </w:rPr>
        <w:t xml:space="preserve">FR-PROC-021</w:t>
      </w:r>
      <w:r>
        <w:t xml:space="preserve"> </w:t>
      </w:r>
      <w:r>
        <w:t xml:space="preserve">— When a user amends an issued PO (quantity or price change), the system shall create a new PO revision, increment the revision counter, and re-route the amended PO through the full approval workflow before re-issuing.</w:t>
      </w:r>
    </w:p>
    <w:p>
      <w:pPr>
        <w:pStyle w:val="BodyText"/>
      </w:pPr>
      <w:r>
        <w:rPr>
          <w:b/>
          <w:bCs/>
        </w:rPr>
        <w:t xml:space="preserve">FR-PROC-022</w:t>
      </w:r>
      <w:r>
        <w:t xml:space="preserve"> </w:t>
      </w:r>
      <w:r>
        <w:t xml:space="preserve">— The system shall maintain a complete revision history for every PO, recording each version's line items, values, approvals, and issuance timestamps; this history shall be read-only and non-deletable.</w:t>
      </w:r>
    </w:p>
    <w:bookmarkEnd w:id="37"/>
    <w:bookmarkStart w:id="38" w:name="X7e2d859f15ae656972d6d85129d4d32db8ab547"/>
    <w:p>
      <w:pPr>
        <w:pStyle w:val="Heading2"/>
      </w:pPr>
      <w:r>
        <w:t xml:space="preserve">4.3 PO Closure</w:t>
      </w:r>
    </w:p>
    <w:p>
      <w:pPr>
        <w:pStyle w:val="FirstParagraph"/>
      </w:pPr>
      <w:r>
        <w:rPr>
          <w:b/>
          <w:bCs/>
        </w:rPr>
        <w:t xml:space="preserve">FR-PROC-023</w:t>
      </w:r>
      <w:r>
        <w:t xml:space="preserve"> </w:t>
      </w:r>
      <w:r>
        <w:t xml:space="preserve">— When a PO reaches fully received status (all line quantities receipted via GRN), the system shall automatically transition the PO status to "Closed" and prevent further goods receipt entries against it.</w:t>
      </w:r>
    </w:p>
    <w:p>
      <w:pPr>
        <w:pStyle w:val="BodyText"/>
      </w:pPr>
      <w:r>
        <w:rPr>
          <w:b/>
          <w:bCs/>
        </w:rPr>
        <w:t xml:space="preserve">FR-PROC-024</w:t>
      </w:r>
      <w:r>
        <w:t xml:space="preserve"> </w:t>
      </w:r>
      <w:r>
        <w:t xml:space="preserve">— When a user manually closes a partial PO, the system shall record the closure reason and the unreceived quantity against each line and flag the closure in the audit log.</w:t>
      </w:r>
    </w:p>
    <w:bookmarkEnd w:id="38"/>
    <w:bookmarkEnd w:id="39"/>
    <w:bookmarkStart w:id="42" w:name="goods-receipt"/>
    <w:p>
      <w:pPr>
        <w:pStyle w:val="Heading1"/>
      </w:pPr>
      <w:r>
        <w:t xml:space="preserve">Goods Receipt</w:t>
      </w:r>
    </w:p>
    <w:bookmarkStart w:id="40" w:name="X57f395b7bcee5b875964ba5e3e77aab84dd3a5d"/>
    <w:p>
      <w:pPr>
        <w:pStyle w:val="Heading2"/>
      </w:pPr>
      <w:r>
        <w:t xml:space="preserve">5.1 Goods Receipt Note</w:t>
      </w:r>
    </w:p>
    <w:p>
      <w:pPr>
        <w:pStyle w:val="FirstParagraph"/>
      </w:pPr>
      <w:r>
        <w:rPr>
          <w:b/>
          <w:bCs/>
        </w:rPr>
        <w:t xml:space="preserve">FR-PROC-025</w:t>
      </w:r>
      <w:r>
        <w:t xml:space="preserve"> </w:t>
      </w:r>
      <w:r>
        <w:t xml:space="preserve">— When a user creates a Goods Receipt Note (GRN), the system shall require selection of the originating PO; the system shall pre-populate line items, ordered quantities, and supplier details from the PO and permit only partial or full quantity entries not exceeding the outstanding PO quantity.</w:t>
      </w:r>
    </w:p>
    <w:p>
      <w:pPr>
        <w:pStyle w:val="BodyText"/>
      </w:pPr>
      <w:r>
        <w:rPr>
          <w:b/>
          <w:bCs/>
        </w:rPr>
        <w:t xml:space="preserve">FR-PROC-026</w:t>
      </w:r>
      <w:r>
        <w:t xml:space="preserve"> </w:t>
      </w:r>
      <w:r>
        <w:t xml:space="preserve">— When a GRN is confirmed, the system shall post stock movements to the Inventory module, incrementing the on-hand quantity for each received item at the receiving branch, and shall generate the corresponding journal entry (Debit: Stock, Credit: Goods Received Not Invoiced).</w:t>
      </w:r>
    </w:p>
    <w:p>
      <w:pPr>
        <w:pStyle w:val="BodyText"/>
      </w:pPr>
      <w:r>
        <w:rPr>
          <w:b/>
          <w:bCs/>
        </w:rPr>
        <w:t xml:space="preserve">FR-PROC-027</w:t>
      </w:r>
      <w:r>
        <w:t xml:space="preserve"> </w:t>
      </w:r>
      <w:r>
        <w:t xml:space="preserve">— When a GRN is confirmed against an import supplier, the system shall provide a landed cost allocation screen where the user may distribute additional costs (freight, insurance, import duty, clearing fees) across GRN line items by weight, value, or quantity; the allocated landed cost shall be added to the per-unit stock cost.</w:t>
      </w:r>
    </w:p>
    <w:p>
      <w:pPr>
        <w:pStyle w:val="BodyText"/>
      </w:pPr>
      <w:r>
        <w:rPr>
          <w:b/>
          <w:bCs/>
        </w:rPr>
        <w:t xml:space="preserve">FR-PROC-028</w:t>
      </w:r>
      <w:r>
        <w:t xml:space="preserve"> </w:t>
      </w:r>
      <w:r>
        <w:t xml:space="preserve">— The system shall allow a standalone GRN (not linked to a PO) for emergency or unplanned receipts; the user shall be required to supply a justification reason, and the standalone GRN shall trigger a post-receipt approval notification to the procurement manager.</w:t>
      </w:r>
    </w:p>
    <w:p>
      <w:pPr>
        <w:pStyle w:val="BodyText"/>
      </w:pPr>
      <w:r>
        <w:rPr>
          <w:b/>
          <w:bCs/>
        </w:rPr>
        <w:t xml:space="preserve">FR-PROC-029</w:t>
      </w:r>
      <w:r>
        <w:t xml:space="preserve"> </w:t>
      </w:r>
      <w:r>
        <w:t xml:space="preserve">— When goods are returned to a supplier, the system shall create a Goods Return Note (GRN-R) that reverses the original GRN stock movement and the associated GL journal entry.</w:t>
      </w:r>
    </w:p>
    <w:bookmarkEnd w:id="40"/>
    <w:bookmarkStart w:id="41" w:name="X60011d24a480fd430e4e8bcb5021d64a7737b3e"/>
    <w:p>
      <w:pPr>
        <w:pStyle w:val="Heading2"/>
      </w:pPr>
      <w:r>
        <w:t xml:space="preserve">5.2 Barcode and Mobile Capture</w:t>
      </w:r>
    </w:p>
    <w:p>
      <w:pPr>
        <w:pStyle w:val="FirstParagraph"/>
      </w:pPr>
      <w:r>
        <w:rPr>
          <w:b/>
          <w:bCs/>
        </w:rPr>
        <w:t xml:space="preserve">FR-PROC-030</w:t>
      </w:r>
      <w:r>
        <w:t xml:space="preserve"> </w:t>
      </w:r>
      <w:r>
        <w:t xml:space="preserve">— When a user scans a product barcode during GRN entry, the system shall resolve the barcode to the corresponding item record and auto-populate the item line, reducing manual data entry errors.</w:t>
      </w:r>
    </w:p>
    <w:p>
      <w:pPr>
        <w:pStyle w:val="BodyText"/>
      </w:pPr>
      <w:r>
        <w:rPr>
          <w:b/>
          <w:bCs/>
        </w:rPr>
        <w:t xml:space="preserve">FR-PROC-031</w:t>
      </w:r>
      <w:r>
        <w:t xml:space="preserve"> </w:t>
      </w:r>
      <w:r>
        <w:t xml:space="preserve">— The system shall support GRN entry on the mobile application; items scanned offline shall be queued and synchronised when network connectivity is restored, with conflict resolution based on the last-confirmed PO outstanding quantity.</w:t>
      </w:r>
    </w:p>
    <w:bookmarkEnd w:id="41"/>
    <w:bookmarkEnd w:id="42"/>
    <w:bookmarkStart w:id="47" w:name="supplier-invoices-and-three-way-matching"/>
    <w:p>
      <w:pPr>
        <w:pStyle w:val="Heading1"/>
      </w:pPr>
      <w:r>
        <w:t xml:space="preserve">Supplier Invoices and Three-Way Matching</w:t>
      </w:r>
    </w:p>
    <w:bookmarkStart w:id="43" w:name="X3124156044aadc07c3845a13402debfc659c5d2"/>
    <w:p>
      <w:pPr>
        <w:pStyle w:val="Heading2"/>
      </w:pPr>
      <w:r>
        <w:t xml:space="preserve">6.1 Invoice Capture</w:t>
      </w:r>
    </w:p>
    <w:p>
      <w:pPr>
        <w:pStyle w:val="FirstParagraph"/>
      </w:pPr>
      <w:r>
        <w:rPr>
          <w:b/>
          <w:bCs/>
        </w:rPr>
        <w:t xml:space="preserve">FR-PROC-032</w:t>
      </w:r>
      <w:r>
        <w:t xml:space="preserve"> </w:t>
      </w:r>
      <w:r>
        <w:t xml:space="preserve">— When a user captures a supplier invoice, the system shall require linkage to one or more approved POs; the system shall pre-populate line items from the PO and allow the user to confirm the invoiced quantities and unit prices supplied by the vendor.</w:t>
      </w:r>
    </w:p>
    <w:p>
      <w:pPr>
        <w:pStyle w:val="BodyText"/>
      </w:pPr>
      <w:r>
        <w:rPr>
          <w:b/>
          <w:bCs/>
        </w:rPr>
        <w:t xml:space="preserve">FR-PROC-033</w:t>
      </w:r>
      <w:r>
        <w:t xml:space="preserve"> </w:t>
      </w:r>
      <w:r>
        <w:t xml:space="preserve">— When a supplier invoice is saved, the system shall assign a unique internal identifier in the format</w:t>
      </w:r>
      <w:r>
        <w:t xml:space="preserve"> </w:t>
      </w:r>
      <w:r>
        <w:rPr>
          <w:rStyle w:val="VerbatimChar"/>
        </w:rPr>
        <w:t xml:space="preserve">SINV-YYYY-NNNN</w:t>
      </w:r>
      <w:r>
        <w:t xml:space="preserve"> </w:t>
      </w:r>
      <w:r>
        <w:t xml:space="preserve">and record supplier TIN, invoice number as stated by the supplier, invoice date, due date derived from supplier payment terms, currency, and line-level VAT.</w:t>
      </w:r>
    </w:p>
    <w:bookmarkEnd w:id="43"/>
    <w:bookmarkStart w:id="44" w:name="Xc48e97d3d024362f6b24282146e5f6bd8efa30c"/>
    <w:p>
      <w:pPr>
        <w:pStyle w:val="Heading2"/>
      </w:pPr>
      <w:r>
        <w:t xml:space="preserve">6.2 Three-Way Match</w:t>
      </w:r>
    </w:p>
    <w:p>
      <w:pPr>
        <w:pStyle w:val="FirstParagraph"/>
      </w:pPr>
      <w:r>
        <w:rPr>
          <w:b/>
          <w:bCs/>
        </w:rPr>
        <w:t xml:space="preserve">FR-PROC-034</w:t>
      </w:r>
      <w:r>
        <w:t xml:space="preserve"> </w:t>
      </w:r>
      <w:r>
        <w:t xml:space="preserve">— When a supplier invoice is submitted for matching, the system shall perform a three-way match: (a) compare invoice unit prices against the approved PO, (b) compare invoiced quantities against confirmed GRN quantities, and (c) compare invoice total against PO total including approved amendments. If any variance exceeds the configurable tolerance (default: 0%), the system shall flag the mismatch, prevent payment, and notify the procurement manager.</w:t>
      </w:r>
    </w:p>
    <w:p>
      <w:pPr>
        <w:pStyle w:val="BodyText"/>
      </w:pPr>
      <w:r>
        <w:rPr>
          <w:b/>
          <w:bCs/>
        </w:rPr>
        <w:t xml:space="preserve">FR-PROC-035</w:t>
      </w:r>
      <w:r>
        <w:t xml:space="preserve"> </w:t>
      </w:r>
      <w:r>
        <w:t xml:space="preserve">— When a three-way match discrepancy is detected, the system shall display a side-by-side comparison of PO value, GRN quantity, and invoice value per line, colour-code mismatched lines in red, and require a named approver to override before proceeding to payment.</w:t>
      </w:r>
    </w:p>
    <w:bookmarkEnd w:id="44"/>
    <w:bookmarkStart w:id="45" w:name="X430033c1e6d06a90bfb9446d316d5a5eefe0364"/>
    <w:p>
      <w:pPr>
        <w:pStyle w:val="Heading2"/>
      </w:pPr>
      <w:r>
        <w:t xml:space="preserve">6.3 WHT Deduction</w:t>
      </w:r>
    </w:p>
    <w:p>
      <w:pPr>
        <w:pStyle w:val="FirstParagraph"/>
      </w:pPr>
      <w:r>
        <w:rPr>
          <w:b/>
          <w:bCs/>
        </w:rPr>
        <w:t xml:space="preserve">FR-PROC-036</w:t>
      </w:r>
      <w:r>
        <w:t xml:space="preserve"> </w:t>
      </w:r>
      <w:r>
        <w:t xml:space="preserve">— When a supplier invoice is approved for payment and the supplier is marked as subject to WHT, the system shall calculate and display the withholding tax amount:</w:t>
      </w:r>
      <w:r>
        <w:t xml:space="preserve"> </w:t>
      </w:r>
      <m:oMath>
        <m:r>
          <m:t>W</m:t>
        </m:r>
        <m:r>
          <m:t>H</m:t>
        </m:r>
        <m:r>
          <m:t>T</m:t>
        </m:r>
        <m:r>
          <m:rPr>
            <m:sty m:val="p"/>
          </m:rPr>
          <m:t>=</m:t>
        </m:r>
        <m:r>
          <m:t>I</m:t>
        </m:r>
        <m:r>
          <m:t>n</m:t>
        </m:r>
        <m:r>
          <m:t>v</m:t>
        </m:r>
        <m:r>
          <m:t>o</m:t>
        </m:r>
        <m:r>
          <m:t>i</m:t>
        </m:r>
        <m:r>
          <m:t>c</m:t>
        </m:r>
        <m:r>
          <m:t>e</m:t>
        </m:r>
        <m:r>
          <m:t>N</m:t>
        </m:r>
        <m:r>
          <m:t>e</m:t>
        </m:r>
        <m:r>
          <m:t>t</m:t>
        </m:r>
        <m:r>
          <m:rPr>
            <m:sty m:val="p"/>
          </m:rPr>
          <m:t>×</m:t>
        </m:r>
        <m:r>
          <m:t>W</m:t>
        </m:r>
        <m:r>
          <m:t>H</m:t>
        </m:r>
        <m:r>
          <m:t>T</m:t>
        </m:r>
        <m:r>
          <m:t>R</m:t>
        </m:r>
        <m:r>
          <m:t>a</m:t>
        </m:r>
        <m:r>
          <m:t>t</m:t>
        </m:r>
        <m:r>
          <m:t>e</m:t>
        </m:r>
      </m:oMath>
      <w:r>
        <w:t xml:space="preserve"> </w:t>
      </w:r>
      <w:r>
        <w:t xml:space="preserve">where the default rate is 6% for service suppliers not registered for VAT; the WHT amount shall be deducted from the payment disbursement and posted as a liability to the WHT payable account.</w:t>
      </w:r>
    </w:p>
    <w:bookmarkEnd w:id="45"/>
    <w:bookmarkStart w:id="46" w:name="X3b9353fdca9d558eb75ed0cd70964941a2f4a68"/>
    <w:p>
      <w:pPr>
        <w:pStyle w:val="Heading2"/>
      </w:pPr>
      <w:r>
        <w:t xml:space="preserve">6.4 Credit Notes</w:t>
      </w:r>
    </w:p>
    <w:p>
      <w:pPr>
        <w:pStyle w:val="FirstParagraph"/>
      </w:pPr>
      <w:r>
        <w:rPr>
          <w:b/>
          <w:bCs/>
        </w:rPr>
        <w:t xml:space="preserve">FR-PROC-037</w:t>
      </w:r>
      <w:r>
        <w:t xml:space="preserve"> </w:t>
      </w:r>
      <w:r>
        <w:t xml:space="preserve">— When a user records a supplier credit note, the system shall link it to the originating supplier invoice, reduce the outstanding payable balance, and reverse the corresponding GL debit by posting a credit to the relevant expense or stock account.</w:t>
      </w:r>
    </w:p>
    <w:bookmarkEnd w:id="46"/>
    <w:bookmarkEnd w:id="47"/>
    <w:bookmarkStart w:id="51" w:name="supplier-payments-and-creditors-aging"/>
    <w:p>
      <w:pPr>
        <w:pStyle w:val="Heading1"/>
      </w:pPr>
      <w:r>
        <w:t xml:space="preserve">Supplier Payments and Creditors Aging</w:t>
      </w:r>
    </w:p>
    <w:bookmarkStart w:id="48" w:name="Xbc8e2267bcac2348481bdf3742f81b85e67f082"/>
    <w:p>
      <w:pPr>
        <w:pStyle w:val="Heading2"/>
      </w:pPr>
      <w:r>
        <w:t xml:space="preserve">7.1 Payment Processing</w:t>
      </w:r>
    </w:p>
    <w:p>
      <w:pPr>
        <w:pStyle w:val="FirstParagraph"/>
      </w:pPr>
      <w:r>
        <w:rPr>
          <w:b/>
          <w:bCs/>
        </w:rPr>
        <w:t xml:space="preserve">FR-PROC-038</w:t>
      </w:r>
      <w:r>
        <w:t xml:space="preserve"> </w:t>
      </w:r>
      <w:r>
        <w:t xml:space="preserve">— When a user schedules a supplier payment, the system shall display all outstanding approved invoices for the selected supplier, allow multi-invoice selection, and confirm the net amount after deducting any pending WHT and credit notes.</w:t>
      </w:r>
    </w:p>
    <w:p>
      <w:pPr>
        <w:pStyle w:val="BodyText"/>
      </w:pPr>
      <w:r>
        <w:rPr>
          <w:b/>
          <w:bCs/>
        </w:rPr>
        <w:t xml:space="preserve">FR-PROC-039</w:t>
      </w:r>
      <w:r>
        <w:t xml:space="preserve"> </w:t>
      </w:r>
      <w:r>
        <w:t xml:space="preserve">— When a payment is confirmed, the system shall post the journal entry (Debit: Accounts Payable, Credit: Bank/Cash), update the outstanding invoice balance to zero or the remaining unpaid amount, and record payment date, amount, payment method, and the bank account debited.</w:t>
      </w:r>
    </w:p>
    <w:p>
      <w:pPr>
        <w:pStyle w:val="BodyText"/>
      </w:pPr>
      <w:r>
        <w:rPr>
          <w:b/>
          <w:bCs/>
        </w:rPr>
        <w:t xml:space="preserve">FR-PROC-040</w:t>
      </w:r>
      <w:r>
        <w:t xml:space="preserve"> </w:t>
      </w:r>
      <w:r>
        <w:t xml:space="preserve">— The system shall support the following payment methods: bank transfer (with reference number), mobile money (MTN MoMo or Airtel Money — bulk disbursement), and cash; the payment method shall be recorded on each payment record.</w:t>
      </w:r>
    </w:p>
    <w:p>
      <w:pPr>
        <w:pStyle w:val="BodyText"/>
      </w:pPr>
      <w:r>
        <w:rPr>
          <w:b/>
          <w:bCs/>
        </w:rPr>
        <w:t xml:space="preserve">FR-PROC-041</w:t>
      </w:r>
      <w:r>
        <w:t xml:space="preserve"> </w:t>
      </w:r>
      <w:r>
        <w:t xml:space="preserve">— When a payment is applied to multiple invoices, the system shall allocate the payment amount across invoices in oldest-first order (FIFO allocation) by default; users shall be permitted to override allocation manually.</w:t>
      </w:r>
    </w:p>
    <w:bookmarkEnd w:id="48"/>
    <w:bookmarkStart w:id="49" w:name="Xa8ecf42cd4250aaec373c8ac7814bc41042e681"/>
    <w:p>
      <w:pPr>
        <w:pStyle w:val="Heading2"/>
      </w:pPr>
      <w:r>
        <w:t xml:space="preserve">7.2 Payment Runs</w:t>
      </w:r>
    </w:p>
    <w:p>
      <w:pPr>
        <w:pStyle w:val="FirstParagraph"/>
      </w:pPr>
      <w:r>
        <w:rPr>
          <w:b/>
          <w:bCs/>
        </w:rPr>
        <w:t xml:space="preserve">FR-PROC-042</w:t>
      </w:r>
      <w:r>
        <w:t xml:space="preserve"> </w:t>
      </w:r>
      <w:r>
        <w:t xml:space="preserve">— The system shall provide a batch payment-run function that selects all approved invoices with a due date on or before a user-specified cut-off date, computes the total payable per supplier, and generates a payment summary report before final confirmation.</w:t>
      </w:r>
    </w:p>
    <w:p>
      <w:pPr>
        <w:pStyle w:val="BodyText"/>
      </w:pPr>
      <w:r>
        <w:rPr>
          <w:b/>
          <w:bCs/>
        </w:rPr>
        <w:t xml:space="preserve">FR-PROC-043</w:t>
      </w:r>
      <w:r>
        <w:t xml:space="preserve"> </w:t>
      </w:r>
      <w:r>
        <w:t xml:space="preserve">— When a payment run is confirmed, the system shall generate a bank payment file in the tenant's configured format and post all payment journal entries simultaneously within a single database transaction.</w:t>
      </w:r>
    </w:p>
    <w:bookmarkEnd w:id="49"/>
    <w:bookmarkStart w:id="50" w:name="Xd6fc5e97f4779886fe1c110a29a546f61363f2f"/>
    <w:p>
      <w:pPr>
        <w:pStyle w:val="Heading2"/>
      </w:pPr>
      <w:r>
        <w:t xml:space="preserve">7.3 Creditors Aging</w:t>
      </w:r>
    </w:p>
    <w:p>
      <w:pPr>
        <w:pStyle w:val="FirstParagraph"/>
      </w:pPr>
      <w:r>
        <w:rPr>
          <w:b/>
          <w:bCs/>
        </w:rPr>
        <w:t xml:space="preserve">FR-PROC-044</w:t>
      </w:r>
      <w:r>
        <w:t xml:space="preserve"> </w:t>
      </w:r>
      <w:r>
        <w:t xml:space="preserve">— The system shall provide a creditors aging report that groups outstanding payables by supplier into the following buckets: current (0–30 days), 31–60 days, 61–90 days, and &gt; 90 days; the report shall display totals per bucket and a grand total per supplier.</w:t>
      </w:r>
    </w:p>
    <w:p>
      <w:pPr>
        <w:pStyle w:val="BodyText"/>
      </w:pPr>
      <w:r>
        <w:rPr>
          <w:b/>
          <w:bCs/>
        </w:rPr>
        <w:t xml:space="preserve">FR-PROC-045</w:t>
      </w:r>
      <w:r>
        <w:t xml:space="preserve"> </w:t>
      </w:r>
      <w:r>
        <w:t xml:space="preserve">— The creditors aging report shall be exportable as PDF and XLSX and shall reflect balances as at a user-specified report date.</w:t>
      </w:r>
    </w:p>
    <w:bookmarkEnd w:id="50"/>
    <w:bookmarkEnd w:id="51"/>
    <w:bookmarkStart w:id="55" w:name="ppda-compliance"/>
    <w:p>
      <w:pPr>
        <w:pStyle w:val="Heading1"/>
      </w:pPr>
      <w:r>
        <w:t xml:space="preserve">PPDA Compliance</w:t>
      </w:r>
    </w:p>
    <w:bookmarkStart w:id="52" w:name="X5ea490666d125f4578d5c312b65900f55e81ee7"/>
    <w:p>
      <w:pPr>
        <w:pStyle w:val="Heading2"/>
      </w:pPr>
      <w:r>
        <w:t xml:space="preserve">8.1 Procurement Method Selection</w:t>
      </w:r>
    </w:p>
    <w:p>
      <w:pPr>
        <w:pStyle w:val="FirstParagraph"/>
      </w:pPr>
      <w:r>
        <w:rPr>
          <w:b/>
          <w:bCs/>
        </w:rPr>
        <w:t xml:space="preserve">FR-PROC-046</w:t>
      </w:r>
      <w:r>
        <w:t xml:space="preserve"> </w:t>
      </w:r>
      <w:r>
        <w:t xml:space="preserve">— When a user creates a PO for a government or parastatal tenant, the system shall evaluate the estimated procurement value against configurable PPDA method thresholds</w:t>
      </w:r>
      <w:r>
        <w:t xml:space="preserve"> </w:t>
      </w:r>
      <w:r>
        <w:rPr>
          <w:rStyle w:val="VerbatimChar"/>
        </w:rPr>
        <w:t xml:space="preserve">[CONTEXT-GAP: GAP-006 — current PPDA threshold values for micro, small, restricted, and open tender methods]</w:t>
      </w:r>
      <w:r>
        <w:t xml:space="preserve"> </w:t>
      </w:r>
      <w:r>
        <w:t xml:space="preserve">and enforce the minimum procurement method required by law.</w:t>
      </w:r>
    </w:p>
    <w:p>
      <w:pPr>
        <w:pStyle w:val="BodyText"/>
      </w:pPr>
      <w:r>
        <w:rPr>
          <w:b/>
          <w:bCs/>
        </w:rPr>
        <w:t xml:space="preserve">FR-PROC-047</w:t>
      </w:r>
      <w:r>
        <w:t xml:space="preserve"> </w:t>
      </w:r>
      <w:r>
        <w:t xml:space="preserve">— The system shall support the following PPDA procurement methods as selectable options on PRs and POs: direct procurement, quotation solicitation, restricted tender, and open tender; the method label shall be printed on the LPO document.</w:t>
      </w:r>
    </w:p>
    <w:bookmarkEnd w:id="52"/>
    <w:bookmarkStart w:id="53" w:name="X6834bf1c52cb5f036a3bed495c739b17bdf22e9"/>
    <w:p>
      <w:pPr>
        <w:pStyle w:val="Heading2"/>
      </w:pPr>
      <w:r>
        <w:t xml:space="preserve">8.2 PPDA Reports</w:t>
      </w:r>
    </w:p>
    <w:p>
      <w:pPr>
        <w:pStyle w:val="FirstParagraph"/>
      </w:pPr>
      <w:r>
        <w:rPr>
          <w:b/>
          <w:bCs/>
        </w:rPr>
        <w:t xml:space="preserve">FR-PROC-048</w:t>
      </w:r>
      <w:r>
        <w:t xml:space="preserve"> </w:t>
      </w:r>
      <w:r>
        <w:t xml:space="preserve">— The system shall provide a PPDA procurement register report listing all POs within a specified date range with columns: PO number, supplier name, supplier TIN, procurement method, estimated value, actual value, and award date; the report shall be exportable as XLSX for submission to PPDA.</w:t>
      </w:r>
    </w:p>
    <w:p>
      <w:pPr>
        <w:pStyle w:val="BodyText"/>
      </w:pPr>
      <w:r>
        <w:rPr>
          <w:b/>
          <w:bCs/>
        </w:rPr>
        <w:t xml:space="preserve">FR-PROC-049</w:t>
      </w:r>
      <w:r>
        <w:t xml:space="preserve"> </w:t>
      </w:r>
      <w:r>
        <w:t xml:space="preserve">— When a procurement transaction is processed using the open tender method, the system shall store the tender advertisement reference, tender committee member names, evaluation report reference, and best-evaluated bidder score as mandatory fields before PO issuance.</w:t>
      </w:r>
    </w:p>
    <w:bookmarkEnd w:id="53"/>
    <w:bookmarkStart w:id="54" w:name="X2d88927170ac8461a87805160abb500e5c5fb8d"/>
    <w:p>
      <w:pPr>
        <w:pStyle w:val="Heading2"/>
      </w:pPr>
      <w:r>
        <w:t xml:space="preserve">8.3 Evaluation Committee Records</w:t>
      </w:r>
    </w:p>
    <w:p>
      <w:pPr>
        <w:pStyle w:val="FirstParagraph"/>
      </w:pPr>
      <w:r>
        <w:rPr>
          <w:b/>
          <w:bCs/>
        </w:rPr>
        <w:t xml:space="preserve">FR-PROC-050</w:t>
      </w:r>
      <w:r>
        <w:t xml:space="preserve"> </w:t>
      </w:r>
      <w:r>
        <w:t xml:space="preserve">— The system shall maintain an evaluation committee record per tender exercise, capturing: committee members (name, role, department), evaluation criteria (quality score weight and price score weight), individual scores per bidder per criterion, and the final combined score.</w:t>
      </w:r>
    </w:p>
    <w:p>
      <w:pPr>
        <w:pStyle w:val="BodyText"/>
      </w:pPr>
      <w:r>
        <w:rPr>
          <w:b/>
          <w:bCs/>
        </w:rPr>
        <w:t xml:space="preserve">FR-PROC-051</w:t>
      </w:r>
      <w:r>
        <w:t xml:space="preserve"> </w:t>
      </w:r>
      <w:r>
        <w:t xml:space="preserve">— Evaluation committee records shall be read-only after PO award and shall be retained for a minimum of 7 years per PPDA record-keeping requirements.</w:t>
      </w:r>
    </w:p>
    <w:bookmarkEnd w:id="54"/>
    <w:bookmarkEnd w:id="55"/>
    <w:bookmarkStart w:id="61" w:name="non-functional-requirements--procurement"/>
    <w:p>
      <w:pPr>
        <w:pStyle w:val="Heading1"/>
      </w:pPr>
      <w:r>
        <w:t xml:space="preserve">Non-Functional Requirements — Procurement</w:t>
      </w:r>
    </w:p>
    <w:bookmarkStart w:id="56" w:name="Xd8c8e5c0f44d3e579bdf95f1eaa1c315a4cb72a"/>
    <w:p>
      <w:pPr>
        <w:pStyle w:val="Heading2"/>
      </w:pPr>
      <w:r>
        <w:t xml:space="preserve">9.1 Performance</w:t>
      </w:r>
    </w:p>
    <w:p>
      <w:pPr>
        <w:pStyle w:val="FirstParagraph"/>
      </w:pPr>
      <w:r>
        <w:rPr>
          <w:b/>
          <w:bCs/>
        </w:rPr>
        <w:t xml:space="preserve">NFR-PROC-001</w:t>
      </w:r>
      <w:r>
        <w:t xml:space="preserve"> </w:t>
      </w:r>
      <w:r>
        <w:t xml:space="preserve">— The system shall load the purchase order list view with ≤ 500 ms response time at the P95 percentile for a tenant dataset of ≤ 50,000 POs under normal operating load (up to 50 concurrent users).</w:t>
      </w:r>
    </w:p>
    <w:p>
      <w:pPr>
        <w:pStyle w:val="BodyText"/>
      </w:pPr>
      <w:r>
        <w:rPr>
          <w:b/>
          <w:bCs/>
        </w:rPr>
        <w:t xml:space="preserve">NFR-PROC-002</w:t>
      </w:r>
      <w:r>
        <w:t xml:space="preserve"> </w:t>
      </w:r>
      <w:r>
        <w:t xml:space="preserve">— The three-way match calculation for a single supplier invoice shall complete within 2 seconds regardless of the number of linked PO and GRN lines.</w:t>
      </w:r>
    </w:p>
    <w:bookmarkEnd w:id="56"/>
    <w:bookmarkStart w:id="57" w:name="X3dad8ba1367e215799767e17d9ebd3e18317b60"/>
    <w:p>
      <w:pPr>
        <w:pStyle w:val="Heading2"/>
      </w:pPr>
      <w:r>
        <w:t xml:space="preserve">9.2 Reliability</w:t>
      </w:r>
    </w:p>
    <w:p>
      <w:pPr>
        <w:pStyle w:val="FirstParagraph"/>
      </w:pPr>
      <w:r>
        <w:rPr>
          <w:b/>
          <w:bCs/>
        </w:rPr>
        <w:t xml:space="preserve">NFR-PROC-003</w:t>
      </w:r>
      <w:r>
        <w:t xml:space="preserve"> </w:t>
      </w:r>
      <w:r>
        <w:t xml:space="preserve">— The Procurement module shall maintain 99.5% uptime measured monthly, excluding scheduled maintenance windows of ≤ 4 hours per month announced ≥ 24 hours in advance.</w:t>
      </w:r>
    </w:p>
    <w:p>
      <w:pPr>
        <w:pStyle w:val="BodyText"/>
      </w:pPr>
      <w:r>
        <w:rPr>
          <w:b/>
          <w:bCs/>
        </w:rPr>
        <w:t xml:space="preserve">NFR-PROC-004</w:t>
      </w:r>
      <w:r>
        <w:t xml:space="preserve"> </w:t>
      </w:r>
      <w:r>
        <w:t xml:space="preserve">— All GRN confirmations and payment posting operations shall be executed within a single database transaction; if any step fails, the system shall roll back the entire transaction and return the records to their pre-submission state.</w:t>
      </w:r>
    </w:p>
    <w:bookmarkEnd w:id="57"/>
    <w:bookmarkStart w:id="58" w:name="Xb2b949a38b32e7c9f98485c82c2df603be435fa"/>
    <w:p>
      <w:pPr>
        <w:pStyle w:val="Heading2"/>
      </w:pPr>
      <w:r>
        <w:t xml:space="preserve">9.3 Security</w:t>
      </w:r>
    </w:p>
    <w:p>
      <w:pPr>
        <w:pStyle w:val="FirstParagraph"/>
      </w:pPr>
      <w:r>
        <w:rPr>
          <w:b/>
          <w:bCs/>
        </w:rPr>
        <w:t xml:space="preserve">NFR-PROC-005</w:t>
      </w:r>
      <w:r>
        <w:t xml:space="preserve"> </w:t>
      </w:r>
      <w:r>
        <w:t xml:space="preserve">— Access to supplier bank account details shall be restricted to users with the</w:t>
      </w:r>
      <w:r>
        <w:t xml:space="preserve"> </w:t>
      </w:r>
      <w:r>
        <w:rPr>
          <w:rStyle w:val="VerbatimChar"/>
        </w:rPr>
        <w:t xml:space="preserve">finance.supplier_banking.view</w:t>
      </w:r>
      <w:r>
        <w:t xml:space="preserve"> </w:t>
      </w:r>
      <w:r>
        <w:t xml:space="preserve">permission; bank account numbers shall be masked (showing last 4 digits only) in list views and reports unless the user holds</w:t>
      </w:r>
      <w:r>
        <w:t xml:space="preserve"> </w:t>
      </w:r>
      <w:r>
        <w:rPr>
          <w:rStyle w:val="VerbatimChar"/>
        </w:rPr>
        <w:t xml:space="preserve">finance.supplier_banking.full</w:t>
      </w:r>
      <w:r>
        <w:t xml:space="preserve"> </w:t>
      </w:r>
      <w:r>
        <w:t xml:space="preserve">permission.</w:t>
      </w:r>
    </w:p>
    <w:p>
      <w:pPr>
        <w:pStyle w:val="BodyText"/>
      </w:pPr>
      <w:r>
        <w:rPr>
          <w:b/>
          <w:bCs/>
        </w:rPr>
        <w:t xml:space="preserve">NFR-PROC-006</w:t>
      </w:r>
      <w:r>
        <w:t xml:space="preserve"> </w:t>
      </w:r>
      <w:r>
        <w:t xml:space="preserve">— The system shall enforce role-based approval thresholds; any attempt to approve a PO or payment above the approver's authorised limit shall be rejected with an HTTP 403 response and an audit log entry.</w:t>
      </w:r>
    </w:p>
    <w:bookmarkEnd w:id="58"/>
    <w:bookmarkStart w:id="59" w:name="X311d0624082197f416166dbf08ce129a525871b"/>
    <w:p>
      <w:pPr>
        <w:pStyle w:val="Heading2"/>
      </w:pPr>
      <w:r>
        <w:t xml:space="preserve">9.4 Auditability</w:t>
      </w:r>
    </w:p>
    <w:p>
      <w:pPr>
        <w:pStyle w:val="FirstParagraph"/>
      </w:pPr>
      <w:r>
        <w:rPr>
          <w:b/>
          <w:bCs/>
        </w:rPr>
        <w:t xml:space="preserve">NFR-PROC-007</w:t>
      </w:r>
      <w:r>
        <w:t xml:space="preserve"> </w:t>
      </w:r>
      <w:r>
        <w:t xml:space="preserve">— Every state transition in the procurement workflow (PR submission, PR approval, PO creation, PO approval, GRN, invoice capture, three-way match override, payment) shall generate an immutable audit log record containing: entity type, entity ID, old status, new status, acting user ID, IP address, and UTC timestamp.</w:t>
      </w:r>
    </w:p>
    <w:p>
      <w:pPr>
        <w:pStyle w:val="BodyText"/>
      </w:pPr>
      <w:r>
        <w:rPr>
          <w:b/>
          <w:bCs/>
        </w:rPr>
        <w:t xml:space="preserve">NFR-PROC-008</w:t>
      </w:r>
      <w:r>
        <w:t xml:space="preserve"> </w:t>
      </w:r>
      <w:r>
        <w:t xml:space="preserve">— Supplier invoice and payment records shall be retained for a minimum of 10 years in compliance with the Uganda Companies Act and URA audit requirements; deletion of these records shall be prohibited at the application layer.</w:t>
      </w:r>
    </w:p>
    <w:bookmarkEnd w:id="59"/>
    <w:bookmarkStart w:id="60" w:name="Xdaa74a6fc7eb4110fe340e8dead98a989eb75c0"/>
    <w:p>
      <w:pPr>
        <w:pStyle w:val="Heading2"/>
      </w:pPr>
      <w:r>
        <w:t xml:space="preserve">9.5 Usability</w:t>
      </w:r>
    </w:p>
    <w:p>
      <w:pPr>
        <w:pStyle w:val="FirstParagraph"/>
      </w:pPr>
      <w:r>
        <w:rPr>
          <w:b/>
          <w:bCs/>
        </w:rPr>
        <w:t xml:space="preserve">NFR-PROC-009</w:t>
      </w:r>
      <w:r>
        <w:t xml:space="preserve"> </w:t>
      </w:r>
      <w:r>
        <w:t xml:space="preserve">— A trained procurement officer shall be able to create and issue a complete PO (from approved PR) without assistance within 5 minutes, as measured by user acceptance testing with at least 5 representative users.</w:t>
      </w:r>
    </w:p>
    <w:p>
      <w:pPr>
        <w:pStyle w:val="BodyText"/>
      </w:pPr>
      <w:r>
        <w:rPr>
          <w:b/>
          <w:bCs/>
        </w:rPr>
        <w:t xml:space="preserve">NFR-PROC-010</w:t>
      </w:r>
      <w:r>
        <w:t xml:space="preserve"> </w:t>
      </w:r>
      <w:r>
        <w:t xml:space="preserve">— The procurement dashboard shall display: (a) PRs awaiting the current user's approval, (b) POs pending issuance, (c) GRNs awaiting match, and (d) overdue supplier payments — all loaded within 1 second on page access.</w:t>
      </w:r>
    </w:p>
    <w:bookmarkEnd w:id="60"/>
    <w:bookmarkEnd w:id="61"/>
    <w:bookmarkStart w:id="65" w:name="traceability-matrix--procurement"/>
    <w:p>
      <w:pPr>
        <w:pStyle w:val="Heading1"/>
      </w:pPr>
      <w:r>
        <w:t xml:space="preserve">Traceability Matrix — Procurement</w:t>
      </w:r>
    </w:p>
    <w:bookmarkStart w:id="62" w:name="Xf0013ba670625bd01788225b40e699b47a756a7"/>
    <w:p>
      <w:pPr>
        <w:pStyle w:val="Heading2"/>
      </w:pPr>
      <w:r>
        <w:t xml:space="preserve">10.1 Functional Requirements to Business Goals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Requirement ID</w:t>
            </w:r>
          </w:p>
        </w:tc>
        <w:tc>
          <w:tcPr/>
          <w:p>
            <w:pPr>
              <w:pStyle w:val="Compact"/>
            </w:pPr>
            <w:r>
              <w:t xml:space="preserve">Requirement Summary</w:t>
            </w:r>
          </w:p>
        </w:tc>
        <w:tc>
          <w:tcPr/>
          <w:p>
            <w:pPr>
              <w:pStyle w:val="Compact"/>
            </w:pPr>
            <w:r>
              <w:t xml:space="preserve">Business Goal</w:t>
            </w:r>
          </w:p>
        </w:tc>
      </w:tr>
      <w:tr>
        <w:tc>
          <w:tcPr/>
          <w:p>
            <w:pPr>
              <w:pStyle w:val="Compact"/>
            </w:pPr>
            <w:r>
              <w:t xml:space="preserve">FR-PROC-001</w:t>
            </w:r>
          </w:p>
        </w:tc>
        <w:tc>
          <w:tcPr/>
          <w:p>
            <w:pPr>
              <w:pStyle w:val="Compact"/>
            </w:pPr>
            <w:r>
              <w:t xml:space="preserve">Unique supplier validation</w:t>
            </w:r>
          </w:p>
        </w:tc>
        <w:tc>
          <w:tcPr/>
          <w:p>
            <w:pPr>
              <w:pStyle w:val="Compact"/>
            </w:pPr>
            <w:r>
              <w:t xml:space="preserve">BG-002</w:t>
            </w:r>
          </w:p>
        </w:tc>
      </w:tr>
      <w:tr>
        <w:tc>
          <w:tcPr/>
          <w:p>
            <w:pPr>
              <w:pStyle w:val="Compact"/>
            </w:pPr>
            <w:r>
              <w:t xml:space="preserve">FR-PROC-002</w:t>
            </w:r>
          </w:p>
        </w:tc>
        <w:tc>
          <w:tcPr/>
          <w:p>
            <w:pPr>
              <w:pStyle w:val="Compact"/>
            </w:pPr>
            <w:r>
              <w:t xml:space="preserve">Supplier mandatory fields</w:t>
            </w:r>
          </w:p>
        </w:tc>
        <w:tc>
          <w:tcPr/>
          <w:p>
            <w:pPr>
              <w:pStyle w:val="Compact"/>
            </w:pPr>
            <w:r>
              <w:t xml:space="preserve">BG-004</w:t>
            </w:r>
          </w:p>
        </w:tc>
      </w:tr>
      <w:tr>
        <w:tc>
          <w:tcPr/>
          <w:p>
            <w:pPr>
              <w:pStyle w:val="Compact"/>
            </w:pPr>
            <w:r>
              <w:t xml:space="preserve">FR-PROC-003</w:t>
            </w:r>
          </w:p>
        </w:tc>
        <w:tc>
          <w:tcPr/>
          <w:p>
            <w:pPr>
              <w:pStyle w:val="Compact"/>
            </w:pPr>
            <w:r>
              <w:t xml:space="preserve">Supplier bank accounts</w:t>
            </w:r>
          </w:p>
        </w:tc>
        <w:tc>
          <w:tcPr/>
          <w:p>
            <w:pPr>
              <w:pStyle w:val="Compact"/>
            </w:pPr>
            <w:r>
              <w:t xml:space="preserve">BG-003</w:t>
            </w:r>
          </w:p>
        </w:tc>
      </w:tr>
      <w:tr>
        <w:tc>
          <w:tcPr/>
          <w:p>
            <w:pPr>
              <w:pStyle w:val="Compact"/>
            </w:pPr>
            <w:r>
              <w:t xml:space="preserve">FR-PROC-004</w:t>
            </w:r>
          </w:p>
        </w:tc>
        <w:tc>
          <w:tcPr/>
          <w:p>
            <w:pPr>
              <w:pStyle w:val="Compact"/>
            </w:pPr>
            <w:r>
              <w:t xml:space="preserve">Supplier update audit</w:t>
            </w:r>
          </w:p>
        </w:tc>
        <w:tc>
          <w:tcPr/>
          <w:p>
            <w:pPr>
              <w:pStyle w:val="Compact"/>
            </w:pPr>
            <w:r>
              <w:t xml:space="preserve">BG-004</w:t>
            </w:r>
          </w:p>
        </w:tc>
      </w:tr>
      <w:tr>
        <w:tc>
          <w:tcPr/>
          <w:p>
            <w:pPr>
              <w:pStyle w:val="Compact"/>
            </w:pPr>
            <w:r>
              <w:t xml:space="preserve">FR-PROC-005</w:t>
            </w:r>
          </w:p>
        </w:tc>
        <w:tc>
          <w:tcPr/>
          <w:p>
            <w:pPr>
              <w:pStyle w:val="Compact"/>
            </w:pPr>
            <w:r>
              <w:t xml:space="preserve">Inactive supplier block</w:t>
            </w:r>
          </w:p>
        </w:tc>
        <w:tc>
          <w:tcPr/>
          <w:p>
            <w:pPr>
              <w:pStyle w:val="Compact"/>
            </w:pPr>
            <w:r>
              <w:t xml:space="preserve">BG-001</w:t>
            </w:r>
          </w:p>
        </w:tc>
      </w:tr>
      <w:tr>
        <w:tc>
          <w:tcPr/>
          <w:p>
            <w:pPr>
              <w:pStyle w:val="Compact"/>
            </w:pPr>
            <w:r>
              <w:t xml:space="preserve">FR-PROC-006</w:t>
            </w:r>
          </w:p>
        </w:tc>
        <w:tc>
          <w:tcPr/>
          <w:p>
            <w:pPr>
              <w:pStyle w:val="Compact"/>
            </w:pPr>
            <w:r>
              <w:t xml:space="preserve">Supplier search performance</w:t>
            </w:r>
          </w:p>
        </w:tc>
        <w:tc>
          <w:tcPr/>
          <w:p>
            <w:pPr>
              <w:pStyle w:val="Compact"/>
            </w:pPr>
            <w:r>
              <w:t xml:space="preserve">BG-001</w:t>
            </w:r>
          </w:p>
        </w:tc>
      </w:tr>
      <w:tr>
        <w:tc>
          <w:tcPr/>
          <w:p>
            <w:pPr>
              <w:pStyle w:val="Compact"/>
            </w:pPr>
            <w:r>
              <w:t xml:space="preserve">FR-PROC-007–008</w:t>
            </w:r>
          </w:p>
        </w:tc>
        <w:tc>
          <w:tcPr/>
          <w:p>
            <w:pPr>
              <w:pStyle w:val="Compact"/>
            </w:pPr>
            <w:r>
              <w:t xml:space="preserve">Supplier categories / import tag</w:t>
            </w:r>
          </w:p>
        </w:tc>
        <w:tc>
          <w:tcPr/>
          <w:p>
            <w:pPr>
              <w:pStyle w:val="Compact"/>
            </w:pPr>
            <w:r>
              <w:t xml:space="preserve">BG-001</w:t>
            </w:r>
          </w:p>
        </w:tc>
      </w:tr>
      <w:tr>
        <w:tc>
          <w:tcPr/>
          <w:p>
            <w:pPr>
              <w:pStyle w:val="Compact"/>
            </w:pPr>
            <w:r>
              <w:t xml:space="preserve">FR-PROC-009–012</w:t>
            </w:r>
          </w:p>
        </w:tc>
        <w:tc>
          <w:tcPr/>
          <w:p>
            <w:pPr>
              <w:pStyle w:val="Compact"/>
            </w:pPr>
            <w:r>
              <w:t xml:space="preserve">PR creation, approval, PPDA threshold</w:t>
            </w:r>
          </w:p>
        </w:tc>
        <w:tc>
          <w:tcPr/>
          <w:p>
            <w:pPr>
              <w:pStyle w:val="Compact"/>
            </w:pPr>
            <w:r>
              <w:t xml:space="preserve">BG-001, BG-002</w:t>
            </w:r>
          </w:p>
        </w:tc>
      </w:tr>
      <w:tr>
        <w:tc>
          <w:tcPr/>
          <w:p>
            <w:pPr>
              <w:pStyle w:val="Compact"/>
            </w:pPr>
            <w:r>
              <w:t xml:space="preserve">FR-PROC-013–016</w:t>
            </w:r>
          </w:p>
        </w:tc>
        <w:tc>
          <w:tcPr/>
          <w:p>
            <w:pPr>
              <w:pStyle w:val="Compact"/>
            </w:pPr>
            <w:r>
              <w:t xml:space="preserve">RFQ dispatch and comparison</w:t>
            </w:r>
          </w:p>
        </w:tc>
        <w:tc>
          <w:tcPr/>
          <w:p>
            <w:pPr>
              <w:pStyle w:val="Compact"/>
            </w:pPr>
            <w:r>
              <w:t xml:space="preserve">BG-001</w:t>
            </w:r>
          </w:p>
        </w:tc>
      </w:tr>
      <w:tr>
        <w:tc>
          <w:tcPr/>
          <w:p>
            <w:pPr>
              <w:pStyle w:val="Compact"/>
            </w:pPr>
            <w:r>
              <w:t xml:space="preserve">FR-PROC-017–020</w:t>
            </w:r>
          </w:p>
        </w:tc>
        <w:tc>
          <w:tcPr/>
          <w:p>
            <w:pPr>
              <w:pStyle w:val="Compact"/>
            </w:pPr>
            <w:r>
              <w:t xml:space="preserve">PO creation, approval, issuance</w:t>
            </w:r>
          </w:p>
        </w:tc>
        <w:tc>
          <w:tcPr/>
          <w:p>
            <w:pPr>
              <w:pStyle w:val="Compact"/>
            </w:pPr>
            <w:r>
              <w:t xml:space="preserve">BG-001, BG-002</w:t>
            </w:r>
          </w:p>
        </w:tc>
      </w:tr>
      <w:tr>
        <w:tc>
          <w:tcPr/>
          <w:p>
            <w:pPr>
              <w:pStyle w:val="Compact"/>
            </w:pPr>
            <w:r>
              <w:t xml:space="preserve">FR-PROC-021–024</w:t>
            </w:r>
          </w:p>
        </w:tc>
        <w:tc>
          <w:tcPr/>
          <w:p>
            <w:pPr>
              <w:pStyle w:val="Compact"/>
            </w:pPr>
            <w:r>
              <w:t xml:space="preserve">PO amendments and closure</w:t>
            </w:r>
          </w:p>
        </w:tc>
        <w:tc>
          <w:tcPr/>
          <w:p>
            <w:pPr>
              <w:pStyle w:val="Compact"/>
            </w:pPr>
            <w:r>
              <w:t xml:space="preserve">BG-004</w:t>
            </w:r>
          </w:p>
        </w:tc>
      </w:tr>
      <w:tr>
        <w:tc>
          <w:tcPr/>
          <w:p>
            <w:pPr>
              <w:pStyle w:val="Compact"/>
            </w:pPr>
            <w:r>
              <w:t xml:space="preserve">FR-PROC-025–031</w:t>
            </w:r>
          </w:p>
        </w:tc>
        <w:tc>
          <w:tcPr/>
          <w:p>
            <w:pPr>
              <w:pStyle w:val="Compact"/>
            </w:pPr>
            <w:r>
              <w:t xml:space="preserve">GRN, landed cost, returns, mobile</w:t>
            </w:r>
          </w:p>
        </w:tc>
        <w:tc>
          <w:tcPr/>
          <w:p>
            <w:pPr>
              <w:pStyle w:val="Compact"/>
            </w:pPr>
            <w:r>
              <w:t xml:space="preserve">BG-001, BG-004</w:t>
            </w:r>
          </w:p>
        </w:tc>
      </w:tr>
      <w:tr>
        <w:tc>
          <w:tcPr/>
          <w:p>
            <w:pPr>
              <w:pStyle w:val="Compact"/>
            </w:pPr>
            <w:r>
              <w:t xml:space="preserve">FR-PROC-032–037</w:t>
            </w:r>
          </w:p>
        </w:tc>
        <w:tc>
          <w:tcPr/>
          <w:p>
            <w:pPr>
              <w:pStyle w:val="Compact"/>
            </w:pPr>
            <w:r>
              <w:t xml:space="preserve">Invoice capture, 3-way match, WHT, credit notes</w:t>
            </w:r>
          </w:p>
        </w:tc>
        <w:tc>
          <w:tcPr/>
          <w:p>
            <w:pPr>
              <w:pStyle w:val="Compact"/>
            </w:pPr>
            <w:r>
              <w:t xml:space="preserve">BG-001, BG-002, BG-004</w:t>
            </w:r>
          </w:p>
        </w:tc>
      </w:tr>
      <w:tr>
        <w:tc>
          <w:tcPr/>
          <w:p>
            <w:pPr>
              <w:pStyle w:val="Compact"/>
            </w:pPr>
            <w:r>
              <w:t xml:space="preserve">FR-PROC-038–045</w:t>
            </w:r>
          </w:p>
        </w:tc>
        <w:tc>
          <w:tcPr/>
          <w:p>
            <w:pPr>
              <w:pStyle w:val="Compact"/>
            </w:pPr>
            <w:r>
              <w:t xml:space="preserve">Payments, payment runs, aging</w:t>
            </w:r>
          </w:p>
        </w:tc>
        <w:tc>
          <w:tcPr/>
          <w:p>
            <w:pPr>
              <w:pStyle w:val="Compact"/>
            </w:pPr>
            <w:r>
              <w:t xml:space="preserve">BG-001, BG-003</w:t>
            </w:r>
          </w:p>
        </w:tc>
      </w:tr>
      <w:tr>
        <w:tc>
          <w:tcPr/>
          <w:p>
            <w:pPr>
              <w:pStyle w:val="Compact"/>
            </w:pPr>
            <w:r>
              <w:t xml:space="preserve">FR-PROC-046–051</w:t>
            </w:r>
          </w:p>
        </w:tc>
        <w:tc>
          <w:tcPr/>
          <w:p>
            <w:pPr>
              <w:pStyle w:val="Compact"/>
            </w:pPr>
            <w:r>
              <w:t xml:space="preserve">PPDA compliance</w:t>
            </w:r>
          </w:p>
        </w:tc>
        <w:tc>
          <w:tcPr/>
          <w:p>
            <w:pPr>
              <w:pStyle w:val="Compact"/>
            </w:pPr>
            <w:r>
              <w:t xml:space="preserve">BG-002, BG-004</w:t>
            </w:r>
          </w:p>
        </w:tc>
      </w:tr>
    </w:tbl>
    <w:bookmarkEnd w:id="62"/>
    <w:bookmarkStart w:id="63" w:name="Xc409767d9d5cf8e29c224afdc7b8abac0061770"/>
    <w:p>
      <w:pPr>
        <w:pStyle w:val="Heading2"/>
      </w:pPr>
      <w:r>
        <w:t xml:space="preserve">10.2 Context Gaps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Gap ID</w:t>
            </w:r>
          </w:p>
        </w:tc>
        <w:tc>
          <w:tcPr/>
          <w:p>
            <w:pPr>
              <w:pStyle w:val="Compact"/>
            </w:pPr>
            <w:r>
              <w:t xml:space="preserve">Topic</w:t>
            </w:r>
          </w:p>
        </w:tc>
        <w:tc>
          <w:tcPr/>
          <w:p>
            <w:pPr>
              <w:pStyle w:val="Compact"/>
            </w:pPr>
            <w:r>
              <w:t xml:space="preserve">Impact</w:t>
            </w:r>
          </w:p>
        </w:tc>
      </w:tr>
      <w:tr>
        <w:tc>
          <w:tcPr/>
          <w:p>
            <w:pPr>
              <w:pStyle w:val="Compact"/>
            </w:pPr>
            <w:r>
              <w:t xml:space="preserve">GAP-006</w:t>
            </w:r>
          </w:p>
        </w:tc>
        <w:tc>
          <w:tcPr/>
          <w:p>
            <w:pPr>
              <w:pStyle w:val="Compact"/>
            </w:pPr>
            <w:r>
              <w:t xml:space="preserve">Current PPDA method-selection monetary thresholds</w:t>
            </w:r>
          </w:p>
        </w:tc>
        <w:tc>
          <w:tcPr/>
          <w:p>
            <w:pPr>
              <w:pStyle w:val="Compact"/>
            </w:pPr>
            <w:r>
              <w:t xml:space="preserve">FR-PROC-012, FR-PROC-046 cannot specify threshold values until confirmed</w:t>
            </w:r>
          </w:p>
        </w:tc>
      </w:tr>
    </w:tbl>
    <w:bookmarkEnd w:id="63"/>
    <w:bookmarkStart w:id="64" w:name="X38cec00e35b7a125afdebc5793fb088583487d4"/>
    <w:p>
      <w:pPr>
        <w:pStyle w:val="Heading2"/>
      </w:pPr>
      <w:r>
        <w:t xml:space="preserve">10.3 Open Verification Notes</w:t>
      </w:r>
    </w:p>
    <w:p>
      <w:pPr>
        <w:pStyle w:val="Compact"/>
        <w:numPr>
          <w:ilvl w:val="0"/>
          <w:numId w:val="1004"/>
        </w:numPr>
      </w:pPr>
      <w:r>
        <w:t xml:space="preserve">FR-PROC-034 (three-way match tolerance) requires the default 0% tolerance confirmed or overridden by the product owner before implementation.</w:t>
      </w:r>
    </w:p>
    <w:p>
      <w:pPr>
        <w:pStyle w:val="Compact"/>
        <w:numPr>
          <w:ilvl w:val="0"/>
          <w:numId w:val="1004"/>
        </w:numPr>
      </w:pPr>
      <w:r>
        <w:t xml:space="preserve">FR-PROC-036 (WHT rate default 6%) is per Uganda Income Tax Act; confirm that the system supports configurable rate overrides for non-Uganda tenants.</w:t>
      </w:r>
    </w:p>
    <w:p>
      <w:pPr>
        <w:pStyle w:val="Compact"/>
        <w:numPr>
          <w:ilvl w:val="0"/>
          <w:numId w:val="1004"/>
        </w:numPr>
      </w:pPr>
      <w:r>
        <w:t xml:space="preserve">NFR-PROC-005 (bank account masking) must be validated during security penetration testing to confirm no raw values are transmitted in API responses.</w:t>
      </w:r>
    </w:p>
    <w:bookmarkEnd w:id="64"/>
    <w:bookmarkEnd w:id="65"/>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 Type="http://schemas.openxmlformats.org/officeDocument/2006/relationships/hyperlink" Id="rId19" Target="mailto:info@chwezicore.com" TargetMode="External" /><Relationship Type="http://schemas.openxmlformats.org/officeDocument/2006/relationships/hyperlink" Id="rId20" Target="mailto:peter@techguypeter.com" TargetMode="External" /></Relationships>
</file>

<file path=word/_rels/footnotes.xml.rels><?xml version="1.0" encoding="UTF-8"?><Relationships xmlns="http://schemas.openxmlformats.org/package/2006/relationships"><Relationship Type="http://schemas.openxmlformats.org/officeDocument/2006/relationships/hyperlink" Id="rId19" Target="mailto:info@chwezicore.com" TargetMode="External" /><Relationship Type="http://schemas.openxmlformats.org/officeDocument/2006/relationships/hyperlink" Id="rId20" Target="mailto:peter@techguypet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Longhorn ERP — Software Requirements Specification: Procurement</dc:title>
  <dc:creator/>
  <cp:keywords/>
  <dcterms:created xsi:type="dcterms:W3CDTF">2026-04-05T03:11:53Z</dcterms:created>
  <dcterms:modified xsi:type="dcterms:W3CDTF">2026-04-05T03:11:53Z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status">
    <vt:lpwstr>Draft</vt:lpwstr>
  </property>
  <property fmtid="{D5CDD505-2E9C-101B-9397-08002B2CF9AE}" pid="4" name="subtitle">
    <vt:lpwstr>Document Set 02 — Requirements Engineering</vt:lpwstr>
  </property>
  <property fmtid="{D5CDD505-2E9C-101B-9397-08002B2CF9AE}" pid="5" name="version">
    <vt:lpwstr>1.0</vt:lpwstr>
  </property>
</Properties>
</file>