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Vision Statement and Competitive Positioning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21" w:name="X795f32211181f7f350ea141dad22bf59310604c"/>
    <w:p>
      <w:pPr>
        <w:pStyle w:val="Heading1"/>
      </w:pPr>
      <w:r>
        <w:t xml:space="preserve">Vision Statement and Competitive Positioning</w:t>
      </w:r>
    </w:p>
    <w:p>
      <w:pPr>
        <w:pStyle w:val="FirstParagraph"/>
      </w:pPr>
      <w:r>
        <w:rPr>
          <w:b/>
          <w:bCs/>
        </w:rPr>
        <w:t xml:space="preserve">Longhorn ERP</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2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End w:id="21"/>
    <w:bookmarkStart w:id="22" w:name="mission-statement--chwezi-core-systems"/>
    <w:p>
      <w:pPr>
        <w:pStyle w:val="Heading1"/>
      </w:pPr>
      <w:r>
        <w:t xml:space="preserve">Mission Statement — Chwezi Core Systems</w:t>
      </w:r>
    </w:p>
    <w:p>
      <w:pPr>
        <w:pStyle w:val="FirstParagraph"/>
      </w:pPr>
      <w:r>
        <w:t xml:space="preserve">Chwezi Core Systems shall design and deliver modular, cloud-native software platforms purpose-built for mid-sized and growing organisations in East Africa and beyond. Every product in the Chwezi Core suite shall eliminate the cost barriers, implementation friction, and usability gaps that have historically locked African businesses out of enterprise-grade software — replacing those barriers with organisation-wide flat pricing, zero mandatory training, and native integrations with the mobile money, tax, and regulatory infrastructure that African businesses operate within every day. The company's primary commercial vehicle, Longhorn Enterprise Resource Planning (ERP), shall serve organisations across every productive sector — manufacturing, trade, agriculture, services, hospitality, education, and government — and shall expand market by market until any organisation on the continent can deploy a fully capable ERP within a single business day without engaging a consultant.</w:t>
      </w:r>
    </w:p>
    <w:p>
      <w:pPr>
        <w:pStyle w:val="BodyText"/>
      </w:pPr>
      <w:r>
        <w:rPr>
          <w:i/>
          <w:iCs/>
        </w:rPr>
        <w:t xml:space="preserve">The mission of Chwezi Core Systems is to make enterprise-grade software unconditionally accessible to African businesses — affordable without compromise, usable without training, and compliant without customisation.</w:t>
      </w:r>
    </w:p>
    <w:bookmarkEnd w:id="22"/>
    <w:bookmarkStart w:id="26" w:name="X4c2047e2e89530bc544d60f3e9c3fadfb98b14b"/>
    <w:p>
      <w:pPr>
        <w:pStyle w:val="Heading1"/>
      </w:pPr>
      <w:r>
        <w:t xml:space="preserve">Vision Statement — Longhorn ERP Market Dominance</w:t>
      </w:r>
    </w:p>
    <w:bookmarkStart w:id="23" w:name="Xb1820db98e571bb2a12e5970701b3d69902a4e2"/>
    <w:p>
      <w:pPr>
        <w:pStyle w:val="Heading2"/>
      </w:pPr>
      <w:r>
        <w:t xml:space="preserve">5–10 Year Vision</w:t>
      </w:r>
    </w:p>
    <w:p>
      <w:pPr>
        <w:pStyle w:val="FirstParagraph"/>
      </w:pPr>
      <w:r>
        <w:rPr>
          <w:b/>
          <w:bCs/>
        </w:rPr>
        <w:t xml:space="preserve">Longhorn ERP shall become the default Enterprise Resource Planning (ERP) platform for mid-sized and growing organisations in East and Central Africa — the system that accountants, operations managers, and business owners reach for first, without needing a salesperson to convince them and without needing a consultant to configure it.</w:t>
      </w:r>
    </w:p>
    <w:p>
      <w:pPr>
        <w:pStyle w:val="BodyText"/>
      </w:pPr>
      <w:r>
        <w:t xml:space="preserve">Within 10 years of launch, Longhorn ERP shall hold a recognised position as the highest-volume ERP platform by active tenants across the East and Central African region, achieving this position not by competing on features alone but by delivering a total cost of ownership (TCO) that no international competitor can match at the mid-market tier, combined with Africa-native integrations — Uganda Revenue Authority (URA) Electronic Fiscal Receipting and Invoicing Solution (EFRIS), MTN Mobile Money (MoMo), Airtel Money, M-Pesa Daraja — that international platforms treat as afterthoughts.</w:t>
      </w:r>
    </w:p>
    <w:p>
      <w:pPr>
        <w:pStyle w:val="BodyText"/>
      </w:pPr>
      <w:r>
        <w:t xml:space="preserve">The platform shall be industry-agnostic by architecture. Any organisation with 5 to 500 employees — a flour mill in Jinja, a pharmaceutical distributor in Nairobi, a coffee cooperative in Gitega, a consulting firm in Dakar — shall be able to activate Longhorn ERP, configure it for their jurisdiction via localisation profile, and begin productive operations on the same day.</w:t>
      </w:r>
    </w:p>
    <w:bookmarkEnd w:id="23"/>
    <w:bookmarkStart w:id="24" w:name="market-expansion-roadmap"/>
    <w:p>
      <w:pPr>
        <w:pStyle w:val="Heading2"/>
      </w:pPr>
      <w:r>
        <w:t xml:space="preserve">Market Expansion Roadmap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Market</w:t>
            </w:r>
          </w:p>
        </w:tc>
        <w:tc>
          <w:tcPr/>
          <w:p>
            <w:pPr>
              <w:pStyle w:val="Compact"/>
            </w:pPr>
            <w:r>
              <w:t xml:space="preserve">Timeline</w:t>
            </w:r>
          </w:p>
        </w:tc>
        <w:tc>
          <w:tcPr/>
          <w:p>
            <w:pPr>
              <w:pStyle w:val="Compact"/>
            </w:pPr>
            <w:r>
              <w:t xml:space="preserve">MRR Target (UGX)</w:t>
            </w:r>
          </w:p>
        </w:tc>
        <w:tc>
          <w:tcPr/>
          <w:p>
            <w:pPr>
              <w:pStyle w:val="Compact"/>
            </w:pPr>
            <w:r>
              <w:t xml:space="preserve">MRR Target (USD equiv.)</w:t>
            </w:r>
          </w:p>
        </w:tc>
      </w:tr>
      <w:tr>
        <w:tc>
          <w:tcPr/>
          <w:p>
            <w:pPr>
              <w:pStyle w:val="Compact"/>
            </w:pPr>
            <w:r>
              <w:t xml:space="preserve">Phase 1</w:t>
            </w:r>
          </w:p>
        </w:tc>
        <w:tc>
          <w:tcPr/>
          <w:p>
            <w:pPr>
              <w:pStyle w:val="Compact"/>
            </w:pPr>
            <w:r>
              <w:t xml:space="preserve">Uganda</w:t>
            </w:r>
          </w:p>
        </w:tc>
        <w:tc>
          <w:tcPr/>
          <w:p>
            <w:pPr>
              <w:pStyle w:val="Compact"/>
            </w:pPr>
            <w:r>
              <w:t xml:space="preserve">Launch</w:t>
            </w:r>
          </w:p>
        </w:tc>
        <w:tc>
          <w:tcPr/>
          <w:p>
            <w:pPr>
              <w:pStyle w:val="Compact"/>
            </w:pPr>
            <w:r>
              <w:t xml:space="preserve">UGX 56,000,000</w:t>
            </w:r>
          </w:p>
        </w:tc>
        <w:tc>
          <w:tcPr/>
          <w:p>
            <w:pPr>
              <w:pStyle w:val="Compact"/>
            </w:pPr>
            <w:r>
              <w:t xml:space="preserve">~$15,000</w:t>
            </w:r>
          </w:p>
        </w:tc>
      </w:tr>
      <w:tr>
        <w:tc>
          <w:tcPr/>
          <w:p>
            <w:pPr>
              <w:pStyle w:val="Compact"/>
            </w:pPr>
            <w:r>
              <w:t xml:space="preserve">Phase 2</w:t>
            </w:r>
          </w:p>
        </w:tc>
        <w:tc>
          <w:tcPr/>
          <w:p>
            <w:pPr>
              <w:pStyle w:val="Compact"/>
            </w:pPr>
            <w:r>
              <w:t xml:space="preserve">East Africa — Kenya, Tanzania, Rwanda</w:t>
            </w:r>
          </w:p>
        </w:tc>
        <w:tc>
          <w:tcPr/>
          <w:p>
            <w:pPr>
              <w:pStyle w:val="Compact"/>
            </w:pPr>
            <w:r>
              <w:t xml:space="preserve">24 months post-launch</w:t>
            </w:r>
          </w:p>
        </w:tc>
        <w:tc>
          <w:tcPr/>
          <w:p>
            <w:pPr>
              <w:pStyle w:val="Compact"/>
            </w:pPr>
            <w:r>
              <w:t xml:space="preserve">UGX 188,000,000</w:t>
            </w:r>
          </w:p>
        </w:tc>
        <w:tc>
          <w:tcPr/>
          <w:p>
            <w:pPr>
              <w:pStyle w:val="Compact"/>
            </w:pPr>
            <w:r>
              <w:t xml:space="preserve">~$50,000</w:t>
            </w:r>
          </w:p>
        </w:tc>
      </w:tr>
      <w:tr>
        <w:tc>
          <w:tcPr/>
          <w:p>
            <w:pPr>
              <w:pStyle w:val="Compact"/>
            </w:pPr>
            <w:r>
              <w:t xml:space="preserve">Phase 3</w:t>
            </w:r>
          </w:p>
        </w:tc>
        <w:tc>
          <w:tcPr/>
          <w:p>
            <w:pPr>
              <w:pStyle w:val="Compact"/>
            </w:pPr>
            <w:r>
              <w:t xml:space="preserve">Francophone Africa — Democratic Republic of Congo (DRC), Cameroon, Côte d'Ivoire, Senegal, Mali, Burkina Faso; plus South Sudan and Burundi</w:t>
            </w:r>
          </w:p>
        </w:tc>
        <w:tc>
          <w:tcPr/>
          <w:p>
            <w:pPr>
              <w:pStyle w:val="Compact"/>
            </w:pPr>
            <w:r>
              <w:t xml:space="preserve">36 months post-launch</w:t>
            </w:r>
          </w:p>
        </w:tc>
        <w:tc>
          <w:tcPr/>
          <w:p>
            <w:pPr>
              <w:pStyle w:val="Compact"/>
            </w:pPr>
            <w:r>
              <w:t xml:space="preserve">UGX 450,000,000</w:t>
            </w:r>
          </w:p>
        </w:tc>
        <w:tc>
          <w:tcPr/>
          <w:p>
            <w:pPr>
              <w:pStyle w:val="Compact"/>
            </w:pPr>
            <w:r>
              <w:t xml:space="preserve">~$120,000</w:t>
            </w:r>
          </w:p>
        </w:tc>
      </w:tr>
      <w:tr>
        <w:tc>
          <w:tcPr/>
          <w:p>
            <w:pPr>
              <w:pStyle w:val="Compact"/>
            </w:pPr>
            <w:r>
              <w:t xml:space="preserve">Phase 4</w:t>
            </w:r>
          </w:p>
        </w:tc>
        <w:tc>
          <w:tcPr/>
          <w:p>
            <w:pPr>
              <w:pStyle w:val="Compact"/>
            </w:pPr>
            <w:r>
              <w:t xml:space="preserve">Enterprise segment + global configurability (any country via localisation profile)</w:t>
            </w:r>
          </w:p>
        </w:tc>
        <w:tc>
          <w:tcPr/>
          <w:p>
            <w:pPr>
              <w:pStyle w:val="Compact"/>
            </w:pPr>
            <w:r>
              <w:t xml:space="preserve">60 months post-launch</w:t>
            </w:r>
          </w:p>
        </w:tc>
        <w:tc>
          <w:tcPr/>
          <w:p>
            <w:pPr>
              <w:pStyle w:val="Compact"/>
            </w:pPr>
            <w:r>
              <w:t xml:space="preserve">UGX 1,100,000,000+</w:t>
            </w:r>
          </w:p>
        </w:tc>
        <w:tc>
          <w:tcPr/>
          <w:p>
            <w:pPr>
              <w:pStyle w:val="Compact"/>
            </w:pPr>
            <w:r>
              <w:t xml:space="preserve">~$300,000+</w:t>
            </w:r>
          </w:p>
        </w:tc>
      </w:tr>
    </w:tbl>
    <w:p>
      <w:pPr>
        <w:pStyle w:val="BodyText"/>
      </w:pPr>
      <w:r>
        <w:rPr>
          <w:i/>
          <w:iCs/>
        </w:rPr>
        <w:t xml:space="preserve">USD equivalents calculated at UGX 3,750 per USD 1.</w:t>
      </w:r>
    </w:p>
    <w:bookmarkEnd w:id="24"/>
    <w:bookmarkStart w:id="25" w:name="X6b3de381a232f27825396e78dbe2c5eac463e3f"/>
    <w:p>
      <w:pPr>
        <w:pStyle w:val="Heading2"/>
      </w:pPr>
      <w:r>
        <w:t xml:space="preserve">Strategic Milestones Underpinning the Vision</w:t>
      </w:r>
    </w:p>
    <w:p>
      <w:pPr>
        <w:pStyle w:val="FirstParagraph"/>
      </w:pPr>
      <w:r>
        <w:t xml:space="preserve">The following 8 goals define the measurable commitments that shall transform the vision into an auditable delivery record:</w:t>
      </w:r>
    </w:p>
    <w:p>
      <w:pPr>
        <w:pStyle w:val="Compact"/>
        <w:numPr>
          <w:ilvl w:val="0"/>
          <w:numId w:val="1001"/>
        </w:numPr>
      </w:pPr>
      <w:r>
        <w:t xml:space="preserve">Dominate the Uganda ERP market as the default choice for mid-sized organisations before Phase 2 launch.</w:t>
      </w:r>
    </w:p>
    <w:p>
      <w:pPr>
        <w:pStyle w:val="Compact"/>
        <w:numPr>
          <w:ilvl w:val="0"/>
          <w:numId w:val="1001"/>
        </w:numPr>
      </w:pPr>
      <w:r>
        <w:t xml:space="preserve">Expand across East Africa (Kenya, Tanzania, Rwanda) within 24 months of Uganda launch.</w:t>
      </w:r>
    </w:p>
    <w:p>
      <w:pPr>
        <w:pStyle w:val="Compact"/>
        <w:numPr>
          <w:ilvl w:val="0"/>
          <w:numId w:val="1001"/>
        </w:numPr>
      </w:pPr>
      <w:r>
        <w:t xml:space="preserve">Enter Francophone Africa (DRC, Cameroon, Côte d'Ivoire, Senegal, Mali, Burkina Faso) within 36 months.</w:t>
      </w:r>
    </w:p>
    <w:p>
      <w:pPr>
        <w:pStyle w:val="Compact"/>
        <w:numPr>
          <w:ilvl w:val="0"/>
          <w:numId w:val="1001"/>
        </w:numPr>
      </w:pPr>
      <w:r>
        <w:t xml:space="preserve">Achieve global configurability — any country addable via localisation profile with no code changes.</w:t>
      </w:r>
    </w:p>
    <w:p>
      <w:pPr>
        <w:pStyle w:val="Compact"/>
        <w:numPr>
          <w:ilvl w:val="0"/>
          <w:numId w:val="1001"/>
        </w:numPr>
      </w:pPr>
      <w:r>
        <w:t xml:space="preserve">Surpass Odoo and ERPNext on unassisted task success rate; surpass SAP and Oracle on price-to-capability ratio.</w:t>
      </w:r>
    </w:p>
    <w:p>
      <w:pPr>
        <w:pStyle w:val="Compact"/>
        <w:numPr>
          <w:ilvl w:val="0"/>
          <w:numId w:val="1001"/>
        </w:numPr>
      </w:pPr>
      <w:r>
        <w:t xml:space="preserve">Integrate with every major mobile money provider in East and Central Africa.</w:t>
      </w:r>
    </w:p>
    <w:p>
      <w:pPr>
        <w:pStyle w:val="Compact"/>
        <w:numPr>
          <w:ilvl w:val="0"/>
          <w:numId w:val="1001"/>
        </w:numPr>
      </w:pPr>
      <w:r>
        <w:t xml:space="preserve">Deliver native mobile applications (Android and iOS) feeding the same ERP backend.</w:t>
      </w:r>
    </w:p>
    <w:p>
      <w:pPr>
        <w:pStyle w:val="Compact"/>
        <w:numPr>
          <w:ilvl w:val="0"/>
          <w:numId w:val="1001"/>
        </w:numPr>
      </w:pPr>
      <w:r>
        <w:t xml:space="preserve">Expose a versioned public Application Programming Interface (API) so that external systems can integrate with Longhorn ERP without bespoke middleware.</w:t>
      </w:r>
    </w:p>
    <w:bookmarkEnd w:id="25"/>
    <w:bookmarkEnd w:id="26"/>
    <w:bookmarkStart w:id="31" w:name="the-golden-rule--zero-mandatory-training"/>
    <w:p>
      <w:pPr>
        <w:pStyle w:val="Heading1"/>
      </w:pPr>
      <w:r>
        <w:t xml:space="preserve">The Golden Rule — Zero Mandatory Training</w:t>
      </w:r>
    </w:p>
    <w:bookmarkStart w:id="27" w:name="statement-of-the-rule"/>
    <w:p>
      <w:pPr>
        <w:pStyle w:val="Heading2"/>
      </w:pPr>
      <w:r>
        <w:t xml:space="preserve">Statement of the Rule</w:t>
      </w:r>
    </w:p>
    <w:p>
      <w:pPr>
        <w:pStyle w:val="BlockText"/>
      </w:pPr>
      <w:r>
        <w:rPr>
          <w:i/>
          <w:iCs/>
        </w:rPr>
        <w:t xml:space="preserve">If a user would need a manual or a consultant to complete a task, the interface is redesigned until they do not.</w:t>
      </w:r>
    </w:p>
    <w:p>
      <w:pPr>
        <w:pStyle w:val="FirstParagraph"/>
      </w:pPr>
      <w:r>
        <w:t xml:space="preserve">This is not a usability aspiration. It is a non-negotiable product constraint that applies to every screen, every workflow, and every release of Longhorn ERP from Version 1.0 forward. No feature ships if completing it requires the user to consult documentation, contact support, or call a trainer.</w:t>
      </w:r>
    </w:p>
    <w:bookmarkEnd w:id="27"/>
    <w:bookmarkStart w:id="28" w:name="what-this-rule-demands-of-product-design"/>
    <w:p>
      <w:pPr>
        <w:pStyle w:val="Heading2"/>
      </w:pPr>
      <w:r>
        <w:t xml:space="preserve">What This Rule Demands of Product Design</w:t>
      </w:r>
    </w:p>
    <w:p>
      <w:pPr>
        <w:pStyle w:val="FirstParagraph"/>
      </w:pPr>
      <w:r>
        <w:t xml:space="preserve">The Golden Rule carries four concrete design obligations:</w:t>
      </w:r>
    </w:p>
    <w:p>
      <w:pPr>
        <w:pStyle w:val="Compact"/>
        <w:numPr>
          <w:ilvl w:val="0"/>
          <w:numId w:val="1002"/>
        </w:numPr>
      </w:pPr>
      <w:r>
        <w:rPr>
          <w:b/>
          <w:bCs/>
        </w:rPr>
        <w:t xml:space="preserve">Terminology must match the user's domain, not the engineer's.</w:t>
      </w:r>
      <w:r>
        <w:t xml:space="preserve"> </w:t>
      </w:r>
      <w:r>
        <w:t xml:space="preserve">Every field label, button caption, and status message shall use the language that an accountant, warehouse clerk, or HR officer already uses in their daily work. No technical identifiers, no system jargon, no database-derived naming.</w:t>
      </w:r>
    </w:p>
    <w:p>
      <w:pPr>
        <w:pStyle w:val="Compact"/>
        <w:numPr>
          <w:ilvl w:val="0"/>
          <w:numId w:val="1002"/>
        </w:numPr>
      </w:pPr>
      <w:r>
        <w:rPr>
          <w:b/>
          <w:bCs/>
        </w:rPr>
        <w:t xml:space="preserve">Workflows must follow the user's mental model, not the data model.</w:t>
      </w:r>
      <w:r>
        <w:t xml:space="preserve"> </w:t>
      </w:r>
      <w:r>
        <w:t xml:space="preserve">A user creating an invoice shall follow the sequence: customer → items → amounts → save — not navigate a multi-tab form built around the underlying relational schema.</w:t>
      </w:r>
    </w:p>
    <w:p>
      <w:pPr>
        <w:pStyle w:val="Compact"/>
        <w:numPr>
          <w:ilvl w:val="0"/>
          <w:numId w:val="1002"/>
        </w:numPr>
      </w:pPr>
      <w:r>
        <w:rPr>
          <w:b/>
          <w:bCs/>
        </w:rPr>
        <w:t xml:space="preserve">Errors must prescribe the fix, not describe the fault.</w:t>
      </w:r>
      <w:r>
        <w:t xml:space="preserve"> </w:t>
      </w:r>
      <w:r>
        <w:t xml:space="preserve">Error messages shall tell the user exactly what to do next. "Amount cannot be negative" is insufficient. "Enter a positive amount in the</w:t>
      </w:r>
      <w:r>
        <w:t xml:space="preserve"> </w:t>
      </w:r>
      <w:r>
        <w:rPr>
          <w:b/>
          <w:bCs/>
        </w:rPr>
        <w:t xml:space="preserve">Amount</w:t>
      </w:r>
      <w:r>
        <w:t xml:space="preserve"> </w:t>
      </w:r>
      <w:r>
        <w:t xml:space="preserve">field — payments use the</w:t>
      </w:r>
      <w:r>
        <w:t xml:space="preserve"> </w:t>
      </w:r>
      <w:r>
        <w:rPr>
          <w:b/>
          <w:bCs/>
        </w:rPr>
        <w:t xml:space="preserve">Record Payment</w:t>
      </w:r>
      <w:r>
        <w:t xml:space="preserve"> </w:t>
      </w:r>
      <w:r>
        <w:t xml:space="preserve">button instead" is compliant.</w:t>
      </w:r>
    </w:p>
    <w:p>
      <w:pPr>
        <w:pStyle w:val="Compact"/>
        <w:numPr>
          <w:ilvl w:val="0"/>
          <w:numId w:val="1002"/>
        </w:numPr>
      </w:pPr>
      <w:r>
        <w:rPr>
          <w:b/>
          <w:bCs/>
        </w:rPr>
        <w:t xml:space="preserve">Progressive disclosure shall protect novice users.</w:t>
      </w:r>
      <w:r>
        <w:t xml:space="preserve"> </w:t>
      </w:r>
      <w:r>
        <w:t xml:space="preserve">Advanced configuration options shall be accessible but not surfaced in primary task flows. A first-time user creating a stock item shall not encounter depreciation settings, advanced costing methods, or inter-branch routing unless they navigate to those settings deliberately.</w:t>
      </w:r>
    </w:p>
    <w:bookmarkEnd w:id="28"/>
    <w:bookmarkStart w:id="29" w:name="measurable-compliance-criterion"/>
    <w:p>
      <w:pPr>
        <w:pStyle w:val="Heading2"/>
      </w:pPr>
      <w:r>
        <w:t xml:space="preserve">Measurable Compliance Criterion</w:t>
      </w:r>
    </w:p>
    <w:p>
      <w:pPr>
        <w:pStyle w:val="FirstParagraph"/>
      </w:pPr>
      <w:r>
        <w:t xml:space="preserve">The Golden Rule is verified by a formal unassisted task success test conducted before each major release. The compliance threshold is:</w:t>
      </w:r>
    </w:p>
    <w:p>
      <w:pPr>
        <w:pStyle w:val="BodyText"/>
      </w:pPr>
      <w:r>
        <w:rPr>
          <w:b/>
          <w:bCs/>
        </w:rPr>
        <w:t xml:space="preserve">≥ 85% unassisted task success rate across 5 benchmark tasks, tested with representative users who have received zero product training.</w:t>
      </w:r>
    </w:p>
    <w:p>
      <w:pPr>
        <w:pStyle w:val="BodyText"/>
      </w:pPr>
      <w:r>
        <w:t xml:space="preserve">The 5 benchmark tasks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Task</w:t>
            </w:r>
          </w:p>
        </w:tc>
        <w:tc>
          <w:tcPr/>
          <w:p>
            <w:pPr>
              <w:pStyle w:val="Compact"/>
            </w:pPr>
            <w:r>
              <w:t xml:space="preserve">Module</w:t>
            </w:r>
          </w:p>
        </w:tc>
      </w:tr>
      <w:tr>
        <w:tc>
          <w:tcPr/>
          <w:p>
            <w:pPr>
              <w:pStyle w:val="Compact"/>
            </w:pPr>
            <w:r>
              <w:t xml:space="preserve">1</w:t>
            </w:r>
          </w:p>
        </w:tc>
        <w:tc>
          <w:tcPr/>
          <w:p>
            <w:pPr>
              <w:pStyle w:val="Compact"/>
            </w:pPr>
            <w:r>
              <w:t xml:space="preserve">Create a tax invoice for a customer</w:t>
            </w:r>
          </w:p>
        </w:tc>
        <w:tc>
          <w:tcPr/>
          <w:p>
            <w:pPr>
              <w:pStyle w:val="Compact"/>
            </w:pPr>
            <w:r>
              <w:t xml:space="preserve">Sales</w:t>
            </w:r>
          </w:p>
        </w:tc>
      </w:tr>
      <w:tr>
        <w:tc>
          <w:tcPr/>
          <w:p>
            <w:pPr>
              <w:pStyle w:val="Compact"/>
            </w:pPr>
            <w:r>
              <w:t xml:space="preserve">2</w:t>
            </w:r>
          </w:p>
        </w:tc>
        <w:tc>
          <w:tcPr/>
          <w:p>
            <w:pPr>
              <w:pStyle w:val="Compact"/>
            </w:pPr>
            <w:r>
              <w:t xml:space="preserve">Record a payment received against an outstanding invoice</w:t>
            </w:r>
          </w:p>
        </w:tc>
        <w:tc>
          <w:tcPr/>
          <w:p>
            <w:pPr>
              <w:pStyle w:val="Compact"/>
            </w:pPr>
            <w:r>
              <w:t xml:space="preserve">Accounting</w:t>
            </w:r>
          </w:p>
        </w:tc>
      </w:tr>
      <w:tr>
        <w:tc>
          <w:tcPr/>
          <w:p>
            <w:pPr>
              <w:pStyle w:val="Compact"/>
            </w:pPr>
            <w:r>
              <w:t xml:space="preserve">3</w:t>
            </w:r>
          </w:p>
        </w:tc>
        <w:tc>
          <w:tcPr/>
          <w:p>
            <w:pPr>
              <w:pStyle w:val="Compact"/>
            </w:pPr>
            <w:r>
              <w:t xml:space="preserve">Check the current stock quantity of a specific item</w:t>
            </w:r>
          </w:p>
        </w:tc>
        <w:tc>
          <w:tcPr/>
          <w:p>
            <w:pPr>
              <w:pStyle w:val="Compact"/>
            </w:pPr>
            <w:r>
              <w:t xml:space="preserve">Inventory</w:t>
            </w:r>
          </w:p>
        </w:tc>
      </w:tr>
      <w:tr>
        <w:tc>
          <w:tcPr/>
          <w:p>
            <w:pPr>
              <w:pStyle w:val="Compact"/>
            </w:pPr>
            <w:r>
              <w:t xml:space="preserve">4</w:t>
            </w:r>
          </w:p>
        </w:tc>
        <w:tc>
          <w:tcPr/>
          <w:p>
            <w:pPr>
              <w:pStyle w:val="Compact"/>
            </w:pPr>
            <w:r>
              <w:t xml:space="preserve">Submit a leave request for annual leave</w:t>
            </w:r>
          </w:p>
        </w:tc>
        <w:tc>
          <w:tcPr/>
          <w:p>
            <w:pPr>
              <w:pStyle w:val="Compact"/>
            </w:pPr>
            <w:r>
              <w:t xml:space="preserve">HR &amp; Payroll</w:t>
            </w:r>
          </w:p>
        </w:tc>
      </w:tr>
      <w:tr>
        <w:tc>
          <w:tcPr/>
          <w:p>
            <w:pPr>
              <w:pStyle w:val="Compact"/>
            </w:pPr>
            <w:r>
              <w:t xml:space="preserve">5</w:t>
            </w:r>
          </w:p>
        </w:tc>
        <w:tc>
          <w:tcPr/>
          <w:p>
            <w:pPr>
              <w:pStyle w:val="Compact"/>
            </w:pPr>
            <w:r>
              <w:t xml:space="preserve">Run payroll for the current month</w:t>
            </w:r>
          </w:p>
        </w:tc>
        <w:tc>
          <w:tcPr/>
          <w:p>
            <w:pPr>
              <w:pStyle w:val="Compact"/>
            </w:pPr>
            <w:r>
              <w:t xml:space="preserve">HR &amp; Payroll</w:t>
            </w:r>
          </w:p>
        </w:tc>
      </w:tr>
    </w:tbl>
    <w:p>
      <w:pPr>
        <w:pStyle w:val="BodyText"/>
      </w:pPr>
      <w:r>
        <w:t xml:space="preserve">A task is scored as a</w:t>
      </w:r>
      <w:r>
        <w:t xml:space="preserve"> </w:t>
      </w:r>
      <w:r>
        <w:rPr>
          <w:i/>
          <w:iCs/>
        </w:rPr>
        <w:t xml:space="preserve">success</w:t>
      </w:r>
      <w:r>
        <w:t xml:space="preserve"> </w:t>
      </w:r>
      <w:r>
        <w:t xml:space="preserve">only if the user completes it without: opening any help documentation, asking a question of the test facilitator, or taking more than 3 incorrect navigational steps. A task is scored as a</w:t>
      </w:r>
      <w:r>
        <w:t xml:space="preserve"> </w:t>
      </w:r>
      <w:r>
        <w:rPr>
          <w:i/>
          <w:iCs/>
        </w:rPr>
        <w:t xml:space="preserve">failure</w:t>
      </w:r>
      <w:r>
        <w:t xml:space="preserve"> </w:t>
      </w:r>
      <w:r>
        <w:t xml:space="preserve">if any of those conditions occur. The overall rate is calculated as:</w:t>
      </w:r>
      <w:r>
        <w:t xml:space="preserve"> </w:t>
      </w:r>
      <m:oMath>
        <m:r>
          <m:rPr>
            <m:nor/>
            <m:sty m:val="p"/>
          </m:rPr>
          <m:t>Success Rate</m:t>
        </m:r>
        <m:r>
          <m:rPr>
            <m:sty m:val="p"/>
          </m:rPr>
          <m:t>=</m:t>
        </m:r>
        <m:f>
          <m:fPr>
            <m:type m:val="bar"/>
          </m:fPr>
          <m:num>
            <m:r>
              <m:rPr>
                <m:nor/>
                <m:sty m:val="p"/>
              </m:rPr>
              <m:t>Tasks Completed Without Assistance</m:t>
            </m:r>
          </m:num>
          <m:den>
            <m:r>
              <m:rPr>
                <m:nor/>
                <m:sty m:val="p"/>
              </m:rPr>
              <m:t>Total Tasks Attempted</m:t>
            </m:r>
          </m:den>
        </m:f>
        <m:r>
          <m:rPr>
            <m:sty m:val="p"/>
          </m:rPr>
          <m:t>×</m:t>
        </m:r>
        <m:r>
          <m:t>100</m:t>
        </m:r>
      </m:oMath>
      <w:r>
        <w:t xml:space="preserve">.</w:t>
      </w:r>
    </w:p>
    <w:p>
      <w:pPr>
        <w:pStyle w:val="BodyText"/>
      </w:pPr>
      <w:r>
        <w:t xml:space="preserve">If the success rate falls below 85% for any benchmark task, the responsible interface is returned to design before the release proceeds. No release exception is permitted for a Golden Rule failure.</w:t>
      </w:r>
    </w:p>
    <w:bookmarkEnd w:id="29"/>
    <w:bookmarkStart w:id="30" w:name="X880032871ac118cdb2f3382ed84a6342d77b4f9"/>
    <w:p>
      <w:pPr>
        <w:pStyle w:val="Heading2"/>
      </w:pPr>
      <w:r>
        <w:t xml:space="preserve">Strategic Differentiation: Longhorn ERP versus Odoo and SAP</w:t>
      </w:r>
    </w:p>
    <w:p>
      <w:pPr>
        <w:pStyle w:val="FirstParagraph"/>
      </w:pPr>
      <w:r>
        <w:t xml:space="preserve">This rule directly addresses the primary adoption barrier that mid-sized African businesses face with incumbent ERP platforms.</w:t>
      </w:r>
    </w:p>
    <w:p>
      <w:pPr>
        <w:pStyle w:val="BodyText"/>
      </w:pPr>
      <w:r>
        <w:rPr>
          <w:b/>
          <w:bCs/>
        </w:rPr>
        <w:t xml:space="preserve">SAP Business One</w:t>
      </w:r>
      <w:r>
        <w:t xml:space="preserve"> </w:t>
      </w:r>
      <w:r>
        <w:t xml:space="preserve">requires a certified implementation partner for initial deployment, a formal training programme for end users, and ongoing administrator involvement for routine configuration changes. The minimum viable implementation engagement for a 30-user organisation in Uganda is estimated at UGX 110,000,000 to UGX 375,000,000 before a single transaction is recorded. The training obligation is structural — SAP's interface is built for trained ERP specialists, not first-time business software users.</w:t>
      </w:r>
    </w:p>
    <w:p>
      <w:pPr>
        <w:pStyle w:val="BodyText"/>
      </w:pPr>
      <w:r>
        <w:rPr>
          <w:b/>
          <w:bCs/>
        </w:rPr>
        <w:t xml:space="preserve">Odoo Enterprise</w:t>
      </w:r>
      <w:r>
        <w:t xml:space="preserve"> </w:t>
      </w:r>
      <w:r>
        <w:t xml:space="preserve">is modular and configurable but exposes a level of technical complexity — module installation, configuration menus, developer mode, and database-level settings — that creates a steep learning curve for non-technical users. A typical Odoo implementation for a 30-user organisation requires a consulting engagement estimated at UGX 75,000,000 to UGX 300,000,000. The usability burden does not disappear after implementation; it recurs every time a new employee joins or a new workflow is needed.</w:t>
      </w:r>
    </w:p>
    <w:p>
      <w:pPr>
        <w:pStyle w:val="BodyText"/>
      </w:pPr>
      <w:r>
        <w:rPr>
          <w:b/>
          <w:bCs/>
        </w:rPr>
        <w:t xml:space="preserve">Longhorn ERP</w:t>
      </w:r>
      <w:r>
        <w:t xml:space="preserve"> </w:t>
      </w:r>
      <w:r>
        <w:t xml:space="preserve">shall be designed so that a new employee can be given a login and complete their first productive task — creating an invoice, receiving a delivery, recording a payment — within 30 minutes of first access, with no training session and no consultant present. This is not a marketing claim; it is a contractual product design obligation enforced by the Golden Rule compliance test before every release.</w:t>
      </w:r>
    </w:p>
    <w:bookmarkEnd w:id="30"/>
    <w:bookmarkEnd w:id="31"/>
    <w:bookmarkStart w:id="38" w:name="Xcb90702d435b8223f798de5b00b334b3b36377b"/>
    <w:p>
      <w:pPr>
        <w:pStyle w:val="Heading1"/>
      </w:pPr>
      <w:r>
        <w:t xml:space="preserve">Competitive Differentiation — Longhorn ERP versus Incumbent Platforms</w:t>
      </w:r>
    </w:p>
    <w:bookmarkStart w:id="32" w:name="Xb133cc1a28088ee110ec6d32ecd96a817563a50"/>
    <w:p>
      <w:pPr>
        <w:pStyle w:val="Heading2"/>
      </w:pPr>
      <w:r>
        <w:t xml:space="preserve">Comparison Matrix (30-User Organisation, Monthly Basis)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Dimension</w:t>
            </w:r>
          </w:p>
        </w:tc>
        <w:tc>
          <w:tcPr/>
          <w:p>
            <w:pPr>
              <w:pStyle w:val="Compact"/>
            </w:pPr>
            <w:r>
              <w:t xml:space="preserve">SAP Business One</w:t>
            </w:r>
          </w:p>
        </w:tc>
        <w:tc>
          <w:tcPr/>
          <w:p>
            <w:pPr>
              <w:pStyle w:val="Compact"/>
            </w:pPr>
            <w:r>
              <w:t xml:space="preserve">Oracle NetSuite</w:t>
            </w:r>
          </w:p>
        </w:tc>
        <w:tc>
          <w:tcPr/>
          <w:p>
            <w:pPr>
              <w:pStyle w:val="Compact"/>
            </w:pPr>
            <w:r>
              <w:t xml:space="preserve">Microsoft Dynamics 365 BC</w:t>
            </w:r>
          </w:p>
        </w:tc>
        <w:tc>
          <w:tcPr/>
          <w:p>
            <w:pPr>
              <w:pStyle w:val="Compact"/>
            </w:pPr>
            <w:r>
              <w:t xml:space="preserve">Odoo Enterprise</w:t>
            </w:r>
          </w:p>
        </w:tc>
        <w:tc>
          <w:tcPr/>
          <w:p>
            <w:pPr>
              <w:pStyle w:val="Compact"/>
            </w:pPr>
            <w:r>
              <w:t xml:space="preserve">ERPNext</w:t>
            </w:r>
          </w:p>
        </w:tc>
        <w:tc>
          <w:tcPr/>
          <w:p>
            <w:pPr>
              <w:pStyle w:val="Compact"/>
            </w:pPr>
            <w:r>
              <w:rPr>
                <w:b/>
                <w:bCs/>
              </w:rPr>
              <w:t xml:space="preserve">Longhorn ERP</w:t>
            </w:r>
          </w:p>
        </w:tc>
      </w:tr>
      <w:tr>
        <w:tc>
          <w:tcPr/>
          <w:p>
            <w:pPr>
              <w:pStyle w:val="Compact"/>
            </w:pPr>
            <w:r>
              <w:t xml:space="preserve">Price (30 users, monthly, UGX)</w:t>
            </w:r>
          </w:p>
        </w:tc>
        <w:tc>
          <w:tcPr/>
          <w:p>
            <w:pPr>
              <w:pStyle w:val="Compact"/>
            </w:pPr>
            <w:r>
              <w:t xml:space="preserve">~UGX 145,000,000 licence (one-time)</w:t>
            </w:r>
          </w:p>
        </w:tc>
        <w:tc>
          <w:tcPr/>
          <w:p>
            <w:pPr>
              <w:pStyle w:val="Compact"/>
            </w:pPr>
            <w:r>
              <w:t xml:space="preserve">~UGX 14,900,000/month</w:t>
            </w:r>
          </w:p>
        </w:tc>
        <w:tc>
          <w:tcPr/>
          <w:p>
            <w:pPr>
              <w:pStyle w:val="Compact"/>
            </w:pPr>
            <w:r>
              <w:t xml:space="preserve">~UGX 7,900,000–11,300,000/month</w:t>
            </w:r>
          </w:p>
        </w:tc>
        <w:tc>
          <w:tcPr/>
          <w:p>
            <w:pPr>
              <w:pStyle w:val="Compact"/>
            </w:pPr>
            <w:r>
              <w:t xml:space="preserve">~UGX 4,300,000/month</w:t>
            </w:r>
          </w:p>
        </w:tc>
        <w:tc>
          <w:tcPr/>
          <w:p>
            <w:pPr>
              <w:pStyle w:val="Compact"/>
            </w:pPr>
            <w:r>
              <w:t xml:space="preserve">Free (self-hosted)</w:t>
            </w:r>
          </w:p>
        </w:tc>
        <w:tc>
          <w:tcPr/>
          <w:p>
            <w:pPr>
              <w:pStyle w:val="Compact"/>
            </w:pPr>
            <w:r>
              <w:rPr>
                <w:b/>
                <w:bCs/>
              </w:rPr>
              <w:t xml:space="preserve">UGX 1,000,000/month (Professional plan)</w:t>
            </w:r>
          </w:p>
        </w:tc>
      </w:tr>
      <w:tr>
        <w:tc>
          <w:tcPr/>
          <w:p>
            <w:pPr>
              <w:pStyle w:val="Compact"/>
            </w:pPr>
            <w:r>
              <w:t xml:space="preserve">Per-seat fee model</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rPr>
                <w:b/>
                <w:bCs/>
              </w:rPr>
              <w:t xml:space="preserve">No</w:t>
            </w:r>
          </w:p>
        </w:tc>
      </w:tr>
      <w:tr>
        <w:tc>
          <w:tcPr/>
          <w:p>
            <w:pPr>
              <w:pStyle w:val="Compact"/>
            </w:pPr>
            <w:r>
              <w:t xml:space="preserve">Implementation cost required</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rPr>
                <w:b/>
                <w:bCs/>
              </w:rPr>
              <w:t xml:space="preserve">No</w:t>
            </w:r>
          </w:p>
        </w:tc>
      </w:tr>
      <w:tr>
        <w:tc>
          <w:tcPr/>
          <w:p>
            <w:pPr>
              <w:pStyle w:val="Compact"/>
            </w:pPr>
            <w:r>
              <w:t xml:space="preserve">Zero mandatory training</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rPr>
                <w:b/>
                <w:bCs/>
              </w:rPr>
              <w:t xml:space="preserve">Yes</w:t>
            </w:r>
          </w:p>
        </w:tc>
      </w:tr>
      <w:tr>
        <w:tc>
          <w:tcPr/>
          <w:p>
            <w:pPr>
              <w:pStyle w:val="Compact"/>
            </w:pPr>
            <w:r>
              <w:t xml:space="preserve">Africa-native integrations (EFRIS, MoMo, Airtel)</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rPr>
                <w:b/>
                <w:bCs/>
              </w:rPr>
              <w:t xml:space="preserve">Yes</w:t>
            </w:r>
          </w:p>
        </w:tc>
      </w:tr>
      <w:tr>
        <w:tc>
          <w:tcPr/>
          <w:p>
            <w:pPr>
              <w:pStyle w:val="Compact"/>
            </w:pPr>
            <w:r>
              <w:t xml:space="preserve">Fully hosted Software as a Service (SaaS)</w:t>
            </w:r>
          </w:p>
        </w:tc>
        <w:tc>
          <w:tcPr/>
          <w:p>
            <w:pPr>
              <w:pStyle w:val="Compact"/>
            </w:pPr>
            <w:r>
              <w:t xml:space="preserve">Partial</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 (self-hosted default)</w:t>
            </w:r>
          </w:p>
        </w:tc>
        <w:tc>
          <w:tcPr/>
          <w:p>
            <w:pPr>
              <w:pStyle w:val="Compact"/>
            </w:pPr>
            <w:r>
              <w:rPr>
                <w:b/>
                <w:bCs/>
              </w:rPr>
              <w:t xml:space="preserve">Yes</w:t>
            </w:r>
          </w:p>
        </w:tc>
      </w:tr>
      <w:tr>
        <w:tc>
          <w:tcPr/>
          <w:p>
            <w:pPr>
              <w:pStyle w:val="Compact"/>
            </w:pPr>
            <w:r>
              <w:t xml:space="preserve">Localisation via configuration only — no code changes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rPr>
                <w:b/>
                <w:bCs/>
              </w:rPr>
              <w:t xml:space="preserve">Yes</w:t>
            </w:r>
          </w:p>
        </w:tc>
      </w:tr>
      <w:tr>
        <w:tc>
          <w:tcPr/>
          <w:p>
            <w:pPr>
              <w:pStyle w:val="Compact"/>
            </w:pPr>
            <w:r>
              <w:t xml:space="preserve">Mobile apps included</w:t>
            </w:r>
          </w:p>
        </w:tc>
        <w:tc>
          <w:tcPr/>
          <w:p>
            <w:pPr>
              <w:pStyle w:val="Compact"/>
            </w:pPr>
            <w:r>
              <w:t xml:space="preserve">No</w:t>
            </w:r>
          </w:p>
        </w:tc>
        <w:tc>
          <w:tcPr/>
          <w:p>
            <w:pPr>
              <w:pStyle w:val="Compact"/>
            </w:pPr>
            <w:r>
              <w:t xml:space="preserve">Partial</w:t>
            </w:r>
          </w:p>
        </w:tc>
        <w:tc>
          <w:tcPr/>
          <w:p>
            <w:pPr>
              <w:pStyle w:val="Compact"/>
            </w:pPr>
            <w:r>
              <w:t xml:space="preserve">Partial</w:t>
            </w:r>
          </w:p>
        </w:tc>
        <w:tc>
          <w:tcPr/>
          <w:p>
            <w:pPr>
              <w:pStyle w:val="Compact"/>
            </w:pPr>
            <w:r>
              <w:t xml:space="preserve">Partial</w:t>
            </w:r>
          </w:p>
        </w:tc>
        <w:tc>
          <w:tcPr/>
          <w:p>
            <w:pPr>
              <w:pStyle w:val="Compact"/>
            </w:pPr>
            <w:r>
              <w:t xml:space="preserve">No</w:t>
            </w:r>
          </w:p>
        </w:tc>
        <w:tc>
          <w:tcPr/>
          <w:p>
            <w:pPr>
              <w:pStyle w:val="Compact"/>
            </w:pPr>
            <w:r>
              <w:rPr>
                <w:b/>
                <w:bCs/>
              </w:rPr>
              <w:t xml:space="preserve">Yes</w:t>
            </w:r>
          </w:p>
        </w:tc>
      </w:tr>
    </w:tbl>
    <w:p>
      <w:pPr>
        <w:pStyle w:val="BodyText"/>
      </w:pPr>
      <w:r>
        <w:rPr>
          <w:i/>
          <w:iCs/>
        </w:rPr>
        <w:t xml:space="preserve">SAP Business One licence cost is one-time; amortised over 36 months it equates to approximately UGX 4,028,000/month before the mandatory implementation engagement cost. Implementation cost ranges are Uganda market estimates.</w:t>
      </w:r>
    </w:p>
    <w:bookmarkEnd w:id="32"/>
    <w:bookmarkStart w:id="37" w:name="X9f2b0cb9ae1acc46380378e18b587a40f22007f"/>
    <w:p>
      <w:pPr>
        <w:pStyle w:val="Heading2"/>
      </w:pPr>
      <w:r>
        <w:t xml:space="preserve">Strategic Importance of Key Differentiators</w:t>
      </w:r>
    </w:p>
    <w:bookmarkStart w:id="33" w:name="X1b8be1a4911f53a501e78263e98ddf526b89823"/>
    <w:p>
      <w:pPr>
        <w:pStyle w:val="Heading3"/>
      </w:pPr>
      <w:r>
        <w:t xml:space="preserve">1. Organisation-Wide Flat Pricing — No Per-Seat Fees</w:t>
      </w:r>
    </w:p>
    <w:p>
      <w:pPr>
        <w:pStyle w:val="FirstParagraph"/>
      </w:pPr>
      <w:r>
        <w:t xml:space="preserve">Longhorn ERP charges a single monthly fee for the entire organisation regardless of the number of active users within the plan tier. Every competing platform at the mid-market level charges on a per-seat basis: adding a 31st user to an Odoo Enterprise account triggers an additional monthly licence fee; the same is true for Microsoft Dynamics 365 Business Central (BC) and Oracle NetSuite. For a growing organisation that adds 5 to 10 users per year, per-seat pricing creates a cost escalation curve that erodes the return on investment (ROI) of the ERP investment within 2 to 3 years. Longhorn ERP's flat pricing model means the monthly cost is fully predictable from Day 1 and does not penalise growth — an organisation of 30 users and an organisation of 28 users pay the same Professional plan rate of UGX 1,000,000/month.</w:t>
      </w:r>
    </w:p>
    <w:bookmarkEnd w:id="33"/>
    <w:bookmarkStart w:id="34" w:name="X9d8d1a9a1d502dd5fea24faf3b7f21e97a25df4"/>
    <w:p>
      <w:pPr>
        <w:pStyle w:val="Heading3"/>
      </w:pPr>
      <w:r>
        <w:t xml:space="preserve">2. Zero Implementation Cost</w:t>
      </w:r>
    </w:p>
    <w:p>
      <w:pPr>
        <w:pStyle w:val="FirstParagraph"/>
      </w:pPr>
      <w:r>
        <w:t xml:space="preserve">Every major ERP competitor requires an implementation engagement conducted by a certified partner or internal IT team before the system is usable. SAP Business One implementation in Uganda is estimated at UGX 110,000,000 to UGX 375,000,000; Odoo Enterprise at UGX 75,000,000 to UGX 300,000,000; ERPNext, though free to license, carries a comparable implementation burden of UGX 56,000,000 to UGX 188,000,000. These costs exclude the opportunity cost of the 3 to 9 months the implementation consumes. Longhorn ERP shall be self-provisioning: a tenant activates a subscription, selects a localisation profile, configures their chart of accounts from a preloaded starter template, and begins transacting — with no external party involved. The Enterprise plan includes dedicated onboarding at no additional charge; no other plan requires it.</w:t>
      </w:r>
    </w:p>
    <w:bookmarkEnd w:id="34"/>
    <w:bookmarkStart w:id="35" w:name="X1919d67c0d334abeb9a9e9a3d7716f696aeb4d5"/>
    <w:p>
      <w:pPr>
        <w:pStyle w:val="Heading3"/>
      </w:pPr>
      <w:r>
        <w:t xml:space="preserve">3. Africa-Native Regulatory and Payment Integrations</w:t>
      </w:r>
    </w:p>
    <w:p>
      <w:pPr>
        <w:pStyle w:val="FirstParagraph"/>
      </w:pPr>
      <w:r>
        <w:t xml:space="preserve">International ERP platforms treat African regulatory infrastructure as a customisation exercise delegated to local implementation partners. Integration with URA EFRIS (Uganda Revenue Authority Electronic Fiscal Receipting and Invoicing Solution) for Value Added Tax (VAT) invoice submission, MTN MoMo API, Airtel Money API, and M-Pesa Daraja for supplier and salary payments — these are not available out of the box on SAP, Oracle, Microsoft Dynamics, Odoo, or ERPNext. Every organisation operating in Uganda that is registered for VAT is legally required to submit invoices through EFRIS; a platform without native EFRIS integration forces the client to maintain a parallel process or pay for a custom integration. Longhorn ERP shall ship these integrations as platform services active from Day 1, maintained by Chwezi Core Systems as the regulatory environment evolves.</w:t>
      </w:r>
    </w:p>
    <w:bookmarkEnd w:id="35"/>
    <w:bookmarkStart w:id="36" w:name="X0305d2e9112d51d093525df45b401e9076199db"/>
    <w:p>
      <w:pPr>
        <w:pStyle w:val="Heading3"/>
      </w:pPr>
      <w:r>
        <w:t xml:space="preserve">4. Localisation via Configuration — No Code Changes per Market</w:t>
      </w:r>
    </w:p>
    <w:p>
      <w:pPr>
        <w:pStyle w:val="FirstParagraph"/>
      </w:pPr>
      <w:r>
        <w:t xml:space="preserve">Longhorn ERP's Localisation Engine (module code:</w:t>
      </w:r>
      <w:r>
        <w:t xml:space="preserve"> </w:t>
      </w:r>
      <w:r>
        <w:rPr>
          <w:rStyle w:val="VerbatimChar"/>
        </w:rPr>
        <w:t xml:space="preserve">LOCALISATION</w:t>
      </w:r>
      <w:r>
        <w:t xml:space="preserve">) shall deliver all jurisdiction-specific behaviour — currency, language, tax rules, statutory reporting, chart of accounts starter template, address format, invoice legal text, and mobile money gateway selection — through a configuration profile applied at the tenant level. Adding a new country to the platform requires authoring a localisation profile, not modifying application code. This is the architectural foundation of the Phase 2 through Phase 4 expansion strategy: Kenya, Tanzania, Rwanda, DRC, and every subsequent market are unlocked by configuration, not by a re-engineering sprint. No competitor at the mid-market tier offers this capability for African jurisdictions; all require code-level customisation or rely on local partner modules of variable quality.</w:t>
      </w:r>
    </w:p>
    <w:bookmarkEnd w:id="36"/>
    <w:bookmarkEnd w:id="37"/>
    <w:bookmarkEnd w:id="38"/>
    <w:bookmarkStart w:id="43" w:name="market-positioning--longhorn-erp"/>
    <w:p>
      <w:pPr>
        <w:pStyle w:val="Heading1"/>
      </w:pPr>
      <w:r>
        <w:t xml:space="preserve">Market Positioning — Longhorn ERP</w:t>
      </w:r>
    </w:p>
    <w:bookmarkStart w:id="39" w:name="where-longhorn-erp-does-not-compete"/>
    <w:p>
      <w:pPr>
        <w:pStyle w:val="Heading2"/>
      </w:pPr>
      <w:r>
        <w:t xml:space="preserve">Where Longhorn ERP Does Not Compete</w:t>
      </w:r>
    </w:p>
    <w:p>
      <w:pPr>
        <w:pStyle w:val="FirstParagraph"/>
      </w:pPr>
      <w:r>
        <w:t xml:space="preserve">Longhorn ERP shall not compete at the low end of the accounting software market. Products such as QuickBooks, Wave, and Sage 50 serve micro-businesses — sole traders, small partnerships, and organisations with fewer than 5 employees — that require bookkeeping and invoicing only. These platforms offer no procurement workflow, no inventory management, no manufacturing or cooperative processing, no payroll beyond basic salary calculations, and no multi-branch or multi-currency capability. Longhorn ERP is built for organisations that have outgrown these tools.</w:t>
      </w:r>
    </w:p>
    <w:p>
      <w:pPr>
        <w:pStyle w:val="BodyText"/>
      </w:pPr>
      <w:r>
        <w:t xml:space="preserve">Longhorn ERP shall also not compete with enterprise ERP behemoths — SAP S/4HANA, Oracle E-Business Suite, and Microsoft Dynamics 365 Finance — whose implementations are measured in years, whose licence costs are measured in hundreds of millions of Ugandan Shillings (UGX), and whose user populations are large, technically trained, and supported by dedicated IT departments. Those platforms are designed for organisations with 500 to 50,000 employees and the budget to match.</w:t>
      </w:r>
    </w:p>
    <w:bookmarkEnd w:id="39"/>
    <w:bookmarkStart w:id="40" w:name="the-space-longhorn-erp-occupies"/>
    <w:p>
      <w:pPr>
        <w:pStyle w:val="Heading2"/>
      </w:pPr>
      <w:r>
        <w:t xml:space="preserve">The Space Longhorn ERP Occupies</w:t>
      </w:r>
    </w:p>
    <w:p>
      <w:pPr>
        <w:pStyle w:val="FirstParagraph"/>
      </w:pPr>
      <w:r>
        <w:t xml:space="preserve">Longhorn ERP occupies the mid-market tier: organisations with 5 to 500 employees that require genuine enterprise capability — multi-module integration, a complete audit trail, statutory compliance, mobile money disbursements, and multi-branch operations — but cannot afford, and should not need, a consulting firm to deploy and maintain their ERP.</w:t>
      </w:r>
    </w:p>
    <w:p>
      <w:pPr>
        <w:pStyle w:val="BodyText"/>
      </w:pPr>
      <w:r>
        <w:t xml:space="preserve">The target IT maturity profile is low to medium. Longhorn ERP shall not require a dedicated IT team, a database administrator, or a systems integrator. A business owner, a finance manager, or an operations director shall be able to provision a tenant, configure the localisation profile, and begin productive operations without escalating to technical support.</w:t>
      </w:r>
    </w:p>
    <w:bookmarkEnd w:id="40"/>
    <w:bookmarkStart w:id="41" w:name="target-organisational-profile"/>
    <w:p>
      <w:pPr>
        <w:pStyle w:val="Heading2"/>
      </w:pPr>
      <w:r>
        <w:t xml:space="preserve">Target Organisational Profile</w:t>
      </w:r>
    </w:p>
    <w:p>
      <w:pPr>
        <w:pStyle w:val="Compact"/>
        <w:numPr>
          <w:ilvl w:val="0"/>
          <w:numId w:val="1003"/>
        </w:numPr>
      </w:pPr>
      <w:r>
        <w:t xml:space="preserve">Employee count: 5 to 500</w:t>
      </w:r>
    </w:p>
    <w:p>
      <w:pPr>
        <w:pStyle w:val="Compact"/>
        <w:numPr>
          <w:ilvl w:val="0"/>
          <w:numId w:val="1003"/>
        </w:numPr>
      </w:pPr>
      <w:r>
        <w:t xml:space="preserve">IT maturity: low to medium — no dedicated IT team required</w:t>
      </w:r>
    </w:p>
    <w:p>
      <w:pPr>
        <w:pStyle w:val="Compact"/>
        <w:numPr>
          <w:ilvl w:val="0"/>
          <w:numId w:val="1003"/>
        </w:numPr>
      </w:pPr>
      <w:r>
        <w:t xml:space="preserve">Sectors: manufacturing, trading and distribution, agricultural cooperatives, services, retail, hospitality, non-governmental organisations (NGOs), government and parastatals, professional services, schools and universities</w:t>
      </w:r>
    </w:p>
    <w:p>
      <w:pPr>
        <w:pStyle w:val="Compact"/>
        <w:numPr>
          <w:ilvl w:val="0"/>
          <w:numId w:val="1003"/>
        </w:numPr>
      </w:pPr>
      <w:r>
        <w:t xml:space="preserve">Geography: Uganda at launch; East Africa within 24 months; Francophone Africa and global within 60 months</w:t>
      </w:r>
    </w:p>
    <w:p>
      <w:pPr>
        <w:pStyle w:val="Compact"/>
        <w:numPr>
          <w:ilvl w:val="0"/>
          <w:numId w:val="1003"/>
        </w:numPr>
      </w:pPr>
      <w:r>
        <w:t xml:space="preserve">Price sensitivity: monthly spend must be comparable to operational overheads — UGX 250,000 to UGX 2,500,000/month for the whole organisation, not per user</w:t>
      </w:r>
    </w:p>
    <w:bookmarkEnd w:id="41"/>
    <w:bookmarkStart w:id="42" w:name="formal-positioning-statement"/>
    <w:p>
      <w:pPr>
        <w:pStyle w:val="Heading2"/>
      </w:pPr>
      <w:r>
        <w:t xml:space="preserve">Formal Positioning Statement</w:t>
      </w:r>
    </w:p>
    <w:p>
      <w:pPr>
        <w:pStyle w:val="FirstParagraph"/>
      </w:pPr>
      <w:r>
        <w:rPr>
          <w:i/>
          <w:iCs/>
        </w:rPr>
        <w:t xml:space="preserve">Longhorn ERP is the professionally capable, radically affordable, zero-training mid-market ERP built for organisations in East and Central Africa that have outgrown accounting tools but cannot justify the cost or complexity of SAP, Oracle, or Odoo.</w:t>
      </w:r>
      <w:r>
        <w:t xml:space="preserve"> </w:t>
      </w:r>
      <w:r>
        <w:t xml:space="preserve">Longhorn ERP shall deliver the full functional depth of enterprise software — accounting, inventory, procurement, sales, manufacturing, HR and payroll, point of sale, project management, and cooperative processing — at a flat organisational price that a 30-person company in Kampala can meet from operating cash flow, with Africa-native integrations active from Day 1 and no implementation fee, no training obligation, and no per-seat escalation as the organisation grows.</w:t>
      </w:r>
    </w:p>
    <w:bookmarkEnd w:id="42"/>
    <w:bookmarkEnd w:id="43"/>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Statement and Competitive Positioning</dc:title>
  <dc:creator/>
  <cp:keywords/>
  <dcterms:created xsi:type="dcterms:W3CDTF">2026-04-05T03:11:32Z</dcterms:created>
  <dcterms:modified xsi:type="dcterms:W3CDTF">2026-04-05T03:11:32Z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