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Compliance and Data Protection — Maduuka</w:t>
      </w:r>
    </w:p>
    <w:p>
      <w:pPr>
        <w:pStyle w:val="Date"/>
      </w:pPr>
      <w:r>
        <w:t xml:space="preserve">2026-04-05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8" w:name="compliance-and-data-protection--maduuka"/>
    <w:p>
      <w:pPr>
        <w:pStyle w:val="Heading1"/>
      </w:pPr>
      <w:r>
        <w:t xml:space="preserve">Compliance and Data Protection — Maduuka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rPr>
          <w:i/>
          <w:iCs/>
        </w:rPr>
        <w:t xml:space="preserve">DRAFT — this document must not be used as legal advice. Legal review under GAP-002 is mandatory before any personally identifiable information (PII) is collected from end users in a production environment.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document Maduuka's compliance posture under Uganda law and applicable international standards, identify data categories processed by the system, and record required actions before production launch.</w:t>
      </w:r>
    </w:p>
    <w:bookmarkStart w:id="19" w:name="section-1-regulatory-scope"/>
    <w:p>
      <w:pPr>
        <w:pStyle w:val="Heading2"/>
      </w:pPr>
      <w:r>
        <w:t xml:space="preserve">Section 1: Regulatory Scope</w:t>
      </w:r>
    </w:p>
    <w:p>
      <w:pPr>
        <w:pStyle w:val="FirstParagraph"/>
      </w:pPr>
      <w:r>
        <w:t xml:space="preserve">Maduuka processes PII on behalf of business tenants operating primarily in Uganda. The following regulatory instruments apply:</w:t>
      </w:r>
    </w:p>
    <w:p>
      <w:pPr>
        <w:pStyle w:val="Compact"/>
        <w:numPr>
          <w:ilvl w:val="0"/>
          <w:numId w:val="1001"/>
        </w:numPr>
      </w:pPr>
      <w:r>
        <w:t xml:space="preserve">Uganda Data Protection and Privacy Act 2019 (DPPA 2019)</w:t>
      </w:r>
    </w:p>
    <w:p>
      <w:pPr>
        <w:pStyle w:val="Compact"/>
        <w:numPr>
          <w:ilvl w:val="0"/>
          <w:numId w:val="1001"/>
        </w:numPr>
      </w:pPr>
      <w:r>
        <w:t xml:space="preserve">Uganda Revenue Authority EFRIS requirements (Phase 3)</w:t>
      </w:r>
    </w:p>
    <w:p>
      <w:pPr>
        <w:pStyle w:val="Compact"/>
        <w:numPr>
          <w:ilvl w:val="0"/>
          <w:numId w:val="1001"/>
        </w:numPr>
      </w:pPr>
      <w:r>
        <w:t xml:space="preserve">National Drug Authority (NDA) Uganda — Pharmacy and Drugs Act Cap 280 (Phase 2)</w:t>
      </w:r>
    </w:p>
    <w:p>
      <w:pPr>
        <w:pStyle w:val="Compact"/>
        <w:numPr>
          <w:ilvl w:val="0"/>
          <w:numId w:val="1001"/>
        </w:numPr>
      </w:pPr>
      <w:r>
        <w:t xml:space="preserve">Uganda National Social Security Fund Act (payroll module, Phase 1)</w:t>
      </w:r>
    </w:p>
    <w:p>
      <w:pPr>
        <w:pStyle w:val="Compact"/>
        <w:numPr>
          <w:ilvl w:val="0"/>
          <w:numId w:val="1001"/>
        </w:numPr>
      </w:pPr>
      <w:r>
        <w:t xml:space="preserve">Uganda Income Tax Act — PAYE (payroll module, Phase 1)</w:t>
      </w:r>
    </w:p>
    <w:bookmarkEnd w:id="19"/>
    <w:bookmarkStart w:id="23" w:name="X36174dc8fa9bf905349f4dad7278a34ccbc3eea"/>
    <w:p>
      <w:pPr>
        <w:pStyle w:val="Heading2"/>
      </w:pPr>
      <w:r>
        <w:t xml:space="preserve">Section 2: Uganda Data Protection and Privacy Act 2019</w:t>
      </w:r>
    </w:p>
    <w:p>
      <w:pPr>
        <w:pStyle w:val="FirstParagraph"/>
      </w:pPr>
      <w:r>
        <w:rPr>
          <w:b/>
          <w:bCs/>
        </w:rPr>
        <w:t xml:space="preserve">[CRITICAL: GAP-002 — Legal review by a Uganda-qualified data protection adviser is required before any PII is collected in the production environment.]</w:t>
      </w:r>
    </w:p>
    <w:bookmarkStart w:id="20" w:name="applicable-provisions"/>
    <w:p>
      <w:pPr>
        <w:pStyle w:val="Heading3"/>
      </w:pPr>
      <w:r>
        <w:t xml:space="preserve">Applicable Provisions</w:t>
      </w:r>
    </w:p>
    <w:p>
      <w:pPr>
        <w:pStyle w:val="FirstParagraph"/>
      </w:pPr>
      <w:r>
        <w:t xml:space="preserve">The following sections of the DPPA 2019 directly constrain Maduuka's data handling: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Section</w:t>
            </w:r>
          </w:p>
        </w:tc>
        <w:tc>
          <w:tcPr/>
          <w:p>
            <w:pPr>
              <w:pStyle w:val="Compact"/>
            </w:pPr>
            <w:r>
              <w:t xml:space="preserve">Obligation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13</w:t>
            </w:r>
          </w:p>
        </w:tc>
        <w:tc>
          <w:tcPr/>
          <w:p>
            <w:pPr>
              <w:pStyle w:val="Compact"/>
            </w:pPr>
            <w:r>
              <w:t xml:space="preserve">Data collectors must notify data subjects of the purpose of data collection at the time of collection.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15</w:t>
            </w:r>
          </w:p>
        </w:tc>
        <w:tc>
          <w:tcPr/>
          <w:p>
            <w:pPr>
              <w:pStyle w:val="Compact"/>
            </w:pPr>
            <w:r>
              <w:t xml:space="preserve">Personal data must be used only for the disclosed purpose for which it was collected.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19</w:t>
            </w:r>
          </w:p>
        </w:tc>
        <w:tc>
          <w:tcPr/>
          <w:p>
            <w:pPr>
              <w:pStyle w:val="Compact"/>
            </w:pPr>
            <w:r>
              <w:t xml:space="preserve">Data subjects have the right to access their personal data held by a data controller.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21</w:t>
            </w:r>
          </w:p>
        </w:tc>
        <w:tc>
          <w:tcPr/>
          <w:p>
            <w:pPr>
              <w:pStyle w:val="Compact"/>
            </w:pPr>
            <w:r>
              <w:t xml:space="preserve">Data subjects have the right to rectification of inaccurate personal data.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22</w:t>
            </w:r>
          </w:p>
        </w:tc>
        <w:tc>
          <w:tcPr/>
          <w:p>
            <w:pPr>
              <w:pStyle w:val="Compact"/>
            </w:pPr>
            <w:r>
              <w:t xml:space="preserve">Data subjects have the right to erasure of personal data ("right to be forgotten").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Section 27</w:t>
            </w:r>
          </w:p>
        </w:tc>
        <w:tc>
          <w:tcPr/>
          <w:p>
            <w:pPr>
              <w:pStyle w:val="Compact"/>
            </w:pPr>
            <w:r>
              <w:t xml:space="preserve">Data controllers must implement appropriate technical and organisational security measures to protect personal data.</w:t>
            </w:r>
          </w:p>
        </w:tc>
      </w:tr>
    </w:tbl>
    <w:bookmarkEnd w:id="20"/>
    <w:bookmarkStart w:id="21" w:name="data-categories-processed"/>
    <w:p>
      <w:pPr>
        <w:pStyle w:val="Heading3"/>
      </w:pPr>
      <w:r>
        <w:t xml:space="preserve">Data Categories Processed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Category</w:t>
            </w:r>
          </w:p>
        </w:tc>
        <w:tc>
          <w:tcPr/>
          <w:p>
            <w:pPr>
              <w:pStyle w:val="Compact"/>
            </w:pPr>
            <w:r>
              <w:t xml:space="preserve">Examples</w:t>
            </w:r>
          </w:p>
        </w:tc>
        <w:tc>
          <w:tcPr/>
          <w:p>
            <w:pPr>
              <w:pStyle w:val="Compact"/>
            </w:pPr>
            <w:r>
              <w:t xml:space="preserve">Legal Basis</w:t>
            </w:r>
          </w:p>
        </w:tc>
        <w:tc>
          <w:tcPr/>
          <w:p>
            <w:pPr>
              <w:pStyle w:val="Compact"/>
            </w:pPr>
            <w:r>
              <w:t xml:space="preserve">Retention Period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PII</w:t>
            </w:r>
          </w:p>
        </w:tc>
        <w:tc>
          <w:tcPr/>
          <w:p>
            <w:pPr>
              <w:pStyle w:val="Compact"/>
            </w:pPr>
            <w:r>
              <w:t xml:space="preserve">Name, phone number, address, NIN</w:t>
            </w:r>
          </w:p>
        </w:tc>
        <w:tc>
          <w:tcPr/>
          <w:p>
            <w:pPr>
              <w:pStyle w:val="Compact"/>
            </w:pPr>
            <w:r>
              <w:t xml:space="preserve">Contractual (credit sales, customer account)</w:t>
            </w:r>
          </w:p>
        </w:tc>
        <w:tc>
          <w:tcPr/>
          <w:p>
            <w:pPr>
              <w:pStyle w:val="Compact"/>
            </w:pPr>
            <w:r>
              <w:t xml:space="preserve">7 years (tax and audit requirement)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Employee data</w:t>
            </w:r>
          </w:p>
        </w:tc>
        <w:tc>
          <w:tcPr/>
          <w:p>
            <w:pPr>
              <w:pStyle w:val="Compact"/>
            </w:pPr>
            <w:r>
              <w:t xml:space="preserve">NIN, salary, bank account number, biometrics (if used)</w:t>
            </w:r>
          </w:p>
        </w:tc>
        <w:tc>
          <w:tcPr/>
          <w:p>
            <w:pPr>
              <w:pStyle w:val="Compact"/>
            </w:pPr>
            <w:r>
              <w:t xml:space="preserve">Employment contract</w:t>
            </w:r>
          </w:p>
        </w:tc>
        <w:tc>
          <w:tcPr/>
          <w:p>
            <w:pPr>
              <w:pStyle w:val="Compact"/>
            </w:pPr>
            <w:r>
              <w:t xml:space="preserve">7 years post-termination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Patient data (Phase 2)</w:t>
            </w:r>
          </w:p>
        </w:tc>
        <w:tc>
          <w:tcPr/>
          <w:p>
            <w:pPr>
              <w:pStyle w:val="Compact"/>
            </w:pPr>
            <w:r>
              <w:t xml:space="preserve">Name, NIN, allergies, prescriptions</w:t>
            </w:r>
          </w:p>
        </w:tc>
        <w:tc>
          <w:tcPr/>
          <w:p>
            <w:pPr>
              <w:pStyle w:val="Compact"/>
            </w:pPr>
            <w:r>
              <w:t xml:space="preserve">Healthcare provision</w:t>
            </w:r>
          </w:p>
        </w:tc>
        <w:tc>
          <w:tcPr/>
          <w:p>
            <w:pPr>
              <w:pStyle w:val="Compact"/>
            </w:pPr>
            <w:r>
              <w:t xml:space="preserve">[CONTEXT-GAP: NDA Uganda retention period for prescription records not confirmed — GAP-009]</w:t>
            </w:r>
          </w:p>
        </w:tc>
      </w:tr>
      <w:tr>
        <w:tc>
          <w:tcPr/>
          <w:p>
            <w:pPr>
              <w:pStyle w:val="Compact"/>
            </w:pPr>
            <w:r>
              <w:t xml:space="preserve">Guest data (Phase 3)</w:t>
            </w:r>
          </w:p>
        </w:tc>
        <w:tc>
          <w:tcPr/>
          <w:p>
            <w:pPr>
              <w:pStyle w:val="Compact"/>
            </w:pPr>
            <w:r>
              <w:t xml:space="preserve">Name, NIN, ID document photograph</w:t>
            </w:r>
          </w:p>
        </w:tc>
        <w:tc>
          <w:tcPr/>
          <w:p>
            <w:pPr>
              <w:pStyle w:val="Compact"/>
            </w:pPr>
            <w:r>
              <w:t xml:space="preserve">Hotel registration regulation</w:t>
            </w:r>
          </w:p>
        </w:tc>
        <w:tc>
          <w:tcPr/>
          <w:p>
            <w:pPr>
              <w:pStyle w:val="Compact"/>
            </w:pPr>
            <w:r>
              <w:t xml:space="preserve">[CONTEXT-GAP: Uganda hotel guest registration regulation and required retention period not confirmed]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 data</w:t>
            </w:r>
          </w:p>
        </w:tc>
        <w:tc>
          <w:tcPr/>
          <w:p>
            <w:pPr>
              <w:pStyle w:val="Compact"/>
            </w:pPr>
            <w:r>
              <w:t xml:space="preserve">Sales, payments, refunds, receipts</w:t>
            </w:r>
          </w:p>
        </w:tc>
        <w:tc>
          <w:tcPr/>
          <w:p>
            <w:pPr>
              <w:pStyle w:val="Compact"/>
            </w:pPr>
            <w:r>
              <w:t xml:space="preserve">Contractual obligation and Uganda tax law</w:t>
            </w:r>
          </w:p>
        </w:tc>
        <w:tc>
          <w:tcPr/>
          <w:p>
            <w:pPr>
              <w:pStyle w:val="Compact"/>
            </w:pPr>
            <w:r>
              <w:t xml:space="preserve">7 years</w:t>
            </w:r>
          </w:p>
        </w:tc>
      </w:tr>
    </w:tbl>
    <w:bookmarkEnd w:id="21"/>
    <w:bookmarkStart w:id="22" w:name="X6866c0ceae70090b9e3c9aeaec4ae4ee5789795"/>
    <w:p>
      <w:pPr>
        <w:pStyle w:val="Heading3"/>
      </w:pPr>
      <w:r>
        <w:t xml:space="preserve">Required Actions Before Production (GAP-002)</w:t>
      </w:r>
    </w:p>
    <w:p>
      <w:pPr>
        <w:pStyle w:val="FirstParagraph"/>
      </w:pPr>
      <w:r>
        <w:t xml:space="preserve">The following actions are assigned to Peter and must be completed before any PII is collected in the production environment:</w:t>
      </w:r>
    </w:p>
    <w:p>
      <w:pPr>
        <w:pStyle w:val="Compact"/>
        <w:numPr>
          <w:ilvl w:val="0"/>
          <w:numId w:val="1002"/>
        </w:numPr>
      </w:pPr>
      <w:r>
        <w:t xml:space="preserve">Engage a Uganda-qualified data protection adviser to review this document and the system's data flows.</w:t>
      </w:r>
    </w:p>
    <w:p>
      <w:pPr>
        <w:pStyle w:val="Compact"/>
        <w:numPr>
          <w:ilvl w:val="0"/>
          <w:numId w:val="1002"/>
        </w:numPr>
      </w:pPr>
      <w:r>
        <w:t xml:space="preserve">Register Maduuka (Chwezi Core Systems) as a data controller with the Personal Data Protection Office (PDPO) Uganda.</w:t>
      </w:r>
    </w:p>
    <w:p>
      <w:pPr>
        <w:pStyle w:val="Compact"/>
        <w:numPr>
          <w:ilvl w:val="0"/>
          <w:numId w:val="1002"/>
        </w:numPr>
      </w:pPr>
      <w:r>
        <w:t xml:space="preserve">Draft a Privacy Policy for display to tenants and end users at account creation.</w:t>
      </w:r>
    </w:p>
    <w:p>
      <w:pPr>
        <w:pStyle w:val="Compact"/>
        <w:numPr>
          <w:ilvl w:val="0"/>
          <w:numId w:val="1002"/>
        </w:numPr>
      </w:pPr>
      <w:r>
        <w:t xml:space="preserve">Design and implement the data subject request workflow within Maduuka settings: access, rectification, and erasure requests, each with a documented response time commitment.</w:t>
      </w:r>
    </w:p>
    <w:p>
      <w:pPr>
        <w:pStyle w:val="Compact"/>
        <w:numPr>
          <w:ilvl w:val="0"/>
          <w:numId w:val="1002"/>
        </w:numPr>
      </w:pPr>
      <w:r>
        <w:t xml:space="preserve">Execute written data processing agreements with all third-party sub-processors: Africa's Talking (SMS/WhatsApp), Wasabi Technologies (cloud storage), MTN Uganda (MoMo), and Airtel Uganda (Airtel Money).</w:t>
      </w:r>
    </w:p>
    <w:bookmarkEnd w:id="22"/>
    <w:bookmarkEnd w:id="23"/>
    <w:bookmarkStart w:id="24" w:name="section-3-ura-tax-compliance"/>
    <w:p>
      <w:pPr>
        <w:pStyle w:val="Heading2"/>
      </w:pPr>
      <w:r>
        <w:t xml:space="preserve">Section 3: URA Tax Compliance</w:t>
      </w:r>
    </w:p>
    <w:p>
      <w:pPr>
        <w:pStyle w:val="FirstParagraph"/>
      </w:pPr>
      <w:r>
        <w:t xml:space="preserve">Maduuka's payroll module (F-008) computes and records statutory deductions. The following obligations apply to each Maduuka tenant operating in Uganda: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PAYE:</w:t>
      </w:r>
      <w:r>
        <w:t xml:space="preserve"> </w:t>
      </w:r>
      <w:r>
        <w:t xml:space="preserve">deducted from employee gross pay per the Uganda Income Tax Act graduated bands. Remitted to URA by the 15th of the month following the payroll period.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NSSF:</w:t>
      </w:r>
      <w:r>
        <w:t xml:space="preserve"> </w:t>
      </w:r>
      <w:r>
        <w:t xml:space="preserve">employer contribution 10%, employee contribution 5% of gross pay. Remitted to NSSF by the 15th of the month following the payroll period.</w:t>
      </w:r>
    </w:p>
    <w:p>
      <w:pPr>
        <w:pStyle w:val="Compact"/>
        <w:numPr>
          <w:ilvl w:val="0"/>
          <w:numId w:val="1003"/>
        </w:numPr>
      </w:pPr>
      <w:r>
        <w:rPr>
          <w:i/>
          <w:iCs/>
        </w:rPr>
        <w:t xml:space="preserve">LST:</w:t>
      </w:r>
      <w:r>
        <w:t xml:space="preserve"> </w:t>
      </w:r>
      <w:r>
        <w:t xml:space="preserve">Local Service Tax, configurable per local government authority. Collected and remitted per the tenant's registered local government.</w:t>
      </w:r>
    </w:p>
    <w:p>
      <w:pPr>
        <w:pStyle w:val="FirstParagraph"/>
      </w:pPr>
      <w:r>
        <w:t xml:space="preserve">Maduuka is not a Value Added Tax (VAT) collection agent. The system enables tenants who are VAT-registered businesses to calculate, record, and report VAT accurately. EFRIS integration (F-015, Phase 3) provides fiscal compliance for businesses mandated to use the URA Electronic Fiscal Receipting and Invoicing Solution.</w:t>
      </w:r>
    </w:p>
    <w:p>
      <w:pPr>
        <w:pStyle w:val="BodyText"/>
      </w:pPr>
      <w:r>
        <w:rPr>
          <w:i/>
          <w:iCs/>
        </w:rPr>
        <w:t xml:space="preserve">Note: Uganda PAYE tax bands change when URA issues updated rates. GAP-008 requires a defined process for applying updated tax bands and handling payrolls already processed under prior rates.</w:t>
      </w:r>
    </w:p>
    <w:bookmarkEnd w:id="24"/>
    <w:bookmarkStart w:id="25" w:name="Xa2a6e005e7d093d2040fba44615fd2e85980b81"/>
    <w:p>
      <w:pPr>
        <w:pStyle w:val="Heading2"/>
      </w:pPr>
      <w:r>
        <w:t xml:space="preserve">Section 4: NDA Pharmacy Compliance (Phase 2)</w:t>
      </w:r>
    </w:p>
    <w:p>
      <w:pPr>
        <w:pStyle w:val="FirstParagraph"/>
      </w:pPr>
      <w:r>
        <w:t xml:space="preserve">The following requirements apply to tenants operating the Pharmacy/Drug Store Module (F-012):</w:t>
      </w:r>
    </w:p>
    <w:p>
      <w:pPr>
        <w:pStyle w:val="Compact"/>
        <w:numPr>
          <w:ilvl w:val="0"/>
          <w:numId w:val="1004"/>
        </w:numPr>
      </w:pPr>
      <w:r>
        <w:t xml:space="preserve">A controlled drugs dispensing register must be maintained per NDA Uganda requirements under the Pharmacy and Drugs Act Cap 280.</w:t>
      </w:r>
    </w:p>
    <w:p>
      <w:pPr>
        <w:pStyle w:val="Compact"/>
        <w:numPr>
          <w:ilvl w:val="0"/>
          <w:numId w:val="1004"/>
        </w:numPr>
      </w:pPr>
      <w:r>
        <w:t xml:space="preserve">A written dispensing policy must be held at each pharmacy outlet.</w:t>
      </w:r>
    </w:p>
    <w:p>
      <w:pPr>
        <w:pStyle w:val="Compact"/>
        <w:numPr>
          <w:ilvl w:val="0"/>
          <w:numId w:val="1004"/>
        </w:numPr>
      </w:pPr>
      <w:r>
        <w:t xml:space="preserve">Dispensing records must be retained for the NDA-required period.</w:t>
      </w:r>
    </w:p>
    <w:p>
      <w:pPr>
        <w:pStyle w:val="FirstParagraph"/>
      </w:pPr>
      <w:r>
        <w:t xml:space="preserve">[CONTEXT-GAP: GAP-003 — NDA Uganda approved drug codes and controlled drugs register format and required fields not yet confirmed. This section must be updated when GAP-003 is resolved.]</w:t>
      </w:r>
    </w:p>
    <w:bookmarkEnd w:id="25"/>
    <w:bookmarkStart w:id="26" w:name="section-5-security-standards-alignment"/>
    <w:p>
      <w:pPr>
        <w:pStyle w:val="Heading2"/>
      </w:pPr>
      <w:r>
        <w:t xml:space="preserve">Section 5: Security Standards Alignment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Standard</w:t>
            </w:r>
          </w:p>
        </w:tc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Alignment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OWASP Top 10 (2021)</w:t>
            </w:r>
          </w:p>
        </w:tc>
        <w:tc>
          <w:tcPr/>
          <w:p>
            <w:pPr>
              <w:pStyle w:val="Compact"/>
            </w:pPr>
            <w:r>
              <w:t xml:space="preserve">Address all 10 vulnerability categories</w:t>
            </w:r>
          </w:p>
        </w:tc>
        <w:tc>
          <w:tcPr/>
          <w:p>
            <w:pPr>
              <w:pStyle w:val="Compact"/>
            </w:pPr>
            <w:r>
              <w:t xml:space="preserve">Addressed in Security Hardening phase (Phase 14, Sprint 11)</w:t>
            </w:r>
          </w:p>
        </w:tc>
        <w:tc>
          <w:tcPr/>
          <w:p>
            <w:pPr>
              <w:pStyle w:val="Compact"/>
            </w:pPr>
            <w:r>
              <w:t xml:space="preserve">Planned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TLS 1.3</w:t>
            </w:r>
          </w:p>
        </w:tc>
        <w:tc>
          <w:tcPr/>
          <w:p>
            <w:pPr>
              <w:pStyle w:val="Compact"/>
            </w:pPr>
            <w:r>
              <w:t xml:space="preserve">All data in transit encrypted</w:t>
            </w:r>
          </w:p>
        </w:tc>
        <w:tc>
          <w:tcPr/>
          <w:p>
            <w:pPr>
              <w:pStyle w:val="Compact"/>
            </w:pPr>
            <w:r>
              <w:t xml:space="preserve">Enforced on all API and web endpoints</w:t>
            </w:r>
          </w:p>
        </w:tc>
        <w:tc>
          <w:tcPr/>
          <w:p>
            <w:pPr>
              <w:pStyle w:val="Compact"/>
            </w:pPr>
            <w:r>
              <w:t xml:space="preserve">In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AES-256</w:t>
            </w:r>
          </w:p>
        </w:tc>
        <w:tc>
          <w:tcPr/>
          <w:p>
            <w:pPr>
              <w:pStyle w:val="Compact"/>
            </w:pPr>
            <w:r>
              <w:t xml:space="preserve">Local storage encryption on mobile devices</w:t>
            </w:r>
          </w:p>
        </w:tc>
        <w:tc>
          <w:tcPr/>
          <w:p>
            <w:pPr>
              <w:pStyle w:val="Compact"/>
            </w:pPr>
            <w:r>
              <w:t xml:space="preserve">Applied to SQLite offline database on Android and iOS</w:t>
            </w:r>
          </w:p>
        </w:tc>
        <w:tc>
          <w:tcPr/>
          <w:p>
            <w:pPr>
              <w:pStyle w:val="Compact"/>
            </w:pPr>
            <w:r>
              <w:t xml:space="preserve">In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bcrypt (cost ≥ 12)</w:t>
            </w:r>
          </w:p>
        </w:tc>
        <w:tc>
          <w:tcPr/>
          <w:p>
            <w:pPr>
              <w:pStyle w:val="Compact"/>
            </w:pPr>
            <w:r>
              <w:t xml:space="preserve">Password hashing</w:t>
            </w:r>
          </w:p>
        </w:tc>
        <w:tc>
          <w:tcPr/>
          <w:p>
            <w:pPr>
              <w:pStyle w:val="Compact"/>
            </w:pPr>
            <w:r>
              <w:t xml:space="preserve">Applied to all stored user credentials</w:t>
            </w:r>
          </w:p>
        </w:tc>
        <w:tc>
          <w:tcPr/>
          <w:p>
            <w:pPr>
              <w:pStyle w:val="Compact"/>
            </w:pPr>
            <w:r>
              <w:t xml:space="preserve">In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Immutable audit log</w:t>
            </w:r>
          </w:p>
        </w:tc>
        <w:tc>
          <w:tcPr/>
          <w:p>
            <w:pPr>
              <w:pStyle w:val="Compact"/>
            </w:pPr>
            <w:r>
              <w:t xml:space="preserve">All data mutations recorded with user, timestamp, and previous value</w:t>
            </w:r>
          </w:p>
        </w:tc>
        <w:tc>
          <w:tcPr/>
          <w:p>
            <w:pPr>
              <w:pStyle w:val="Compact"/>
            </w:pPr>
            <w:r>
              <w:t xml:space="preserve">Implemented across all write operations</w:t>
            </w:r>
          </w:p>
        </w:tc>
        <w:tc>
          <w:tcPr/>
          <w:p>
            <w:pPr>
              <w:pStyle w:val="Compact"/>
            </w:pPr>
            <w:r>
              <w:t xml:space="preserve">In design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RBAC enforcement</w:t>
            </w:r>
          </w:p>
        </w:tc>
        <w:tc>
          <w:tcPr/>
          <w:p>
            <w:pPr>
              <w:pStyle w:val="Compact"/>
            </w:pPr>
            <w:r>
              <w:t xml:space="preserve">Role-based access control on every API endpoint</w:t>
            </w:r>
          </w:p>
        </w:tc>
        <w:tc>
          <w:tcPr/>
          <w:p>
            <w:pPr>
              <w:pStyle w:val="Compact"/>
            </w:pPr>
            <w:r>
              <w:t xml:space="preserve">PHPStan-verified middleware on all routes</w:t>
            </w:r>
          </w:p>
        </w:tc>
        <w:tc>
          <w:tcPr/>
          <w:p>
            <w:pPr>
              <w:pStyle w:val="Compact"/>
            </w:pPr>
            <w:r>
              <w:t xml:space="preserve">In design</w:t>
            </w:r>
          </w:p>
        </w:tc>
      </w:tr>
    </w:tbl>
    <w:bookmarkEnd w:id="26"/>
    <w:bookmarkStart w:id="27" w:name="section-6-document-maintenance"/>
    <w:p>
      <w:pPr>
        <w:pStyle w:val="Heading2"/>
      </w:pPr>
      <w:r>
        <w:t xml:space="preserve">Section 6: Document Maintenance</w:t>
      </w:r>
    </w:p>
    <w:p>
      <w:pPr>
        <w:pStyle w:val="FirstParagraph"/>
      </w:pPr>
      <w:r>
        <w:t xml:space="preserve">This document must be updated when:</w:t>
      </w:r>
    </w:p>
    <w:p>
      <w:pPr>
        <w:pStyle w:val="Compact"/>
        <w:numPr>
          <w:ilvl w:val="0"/>
          <w:numId w:val="1005"/>
        </w:numPr>
      </w:pPr>
      <w:r>
        <w:t xml:space="preserve">A gap listed in Section 2 or Section 4 is resolved.</w:t>
      </w:r>
    </w:p>
    <w:p>
      <w:pPr>
        <w:pStyle w:val="Compact"/>
        <w:numPr>
          <w:ilvl w:val="0"/>
          <w:numId w:val="1005"/>
        </w:numPr>
      </w:pPr>
      <w:r>
        <w:t xml:space="preserve">A new data category is introduced by a new module or feature.</w:t>
      </w:r>
    </w:p>
    <w:p>
      <w:pPr>
        <w:pStyle w:val="Compact"/>
        <w:numPr>
          <w:ilvl w:val="0"/>
          <w:numId w:val="1005"/>
        </w:numPr>
      </w:pPr>
      <w:r>
        <w:t xml:space="preserve">Uganda law or URA/NDA regulations are amended.</w:t>
      </w:r>
    </w:p>
    <w:p>
      <w:pPr>
        <w:pStyle w:val="Compact"/>
        <w:numPr>
          <w:ilvl w:val="0"/>
          <w:numId w:val="1005"/>
        </w:numPr>
      </w:pPr>
      <w:r>
        <w:t xml:space="preserve">A new third-party sub-processor is engaged.</w:t>
      </w:r>
    </w:p>
    <w:p>
      <w:pPr>
        <w:pStyle w:val="FirstParagraph"/>
      </w:pPr>
      <w:r>
        <w:t xml:space="preserve">All updates must increment the version number and record the change in</w:t>
      </w:r>
      <w:r>
        <w:t xml:space="preserve"> </w:t>
      </w:r>
      <w:r>
        <w:rPr>
          <w:rStyle w:val="VerbatimChar"/>
        </w:rPr>
        <w:t xml:space="preserve">docs/CHANGELOG.md</w:t>
      </w:r>
      <w:r>
        <w:t xml:space="preserve">.</w:t>
      </w:r>
    </w:p>
    <w:bookmarkEnd w:id="27"/>
    <w:bookmarkEnd w:id="28"/>
    <w:sectPr w:rsidR="00FC693F" w:rsidRPr="0006063C" w:rsidSect="00034616">
      <w:footerReference r:id="rId9" w:type="default"/>
      <w:headerReference r:id="rId10" w:type="default"/>
      <w:pgSz w:h="16838" w:w="11906"/>
      <w:pgMar w:bottom="1134" w:footer="720" w:gutter="0" w:header="720" w:left="1440" w:right="1440" w:top="1440"/>
      <w:cols w:space="720"/>
      <w:titlePg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Calibri" w:hAnsi="Calibri"/>
        <w:color w:val="595959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Calibri" w:hAnsi="Calibri"/>
        <w:color w:val="595959"/>
        <w:sz w:val="18"/>
      </w:rPr>
      <w:t xml:space="preserve"> of </w:t>
    </w:r>
    <w:r>
      <w:rPr>
        <w:rFonts w:ascii="Calibri" w:hAnsi="Calibri"/>
        <w:color w:val="595959"/>
        <w:sz w:val="18"/>
      </w:rPr>
      <w:fldChar w:fldCharType="begin"/>
      <w:instrText xml:space="preserve"> NUMPAGES 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right"/>
      <w:pBdr>
        <w:bottom w:val="single" w:sz="4" w:space="4" w:color="CCCCCC"/>
      </w:pBdr>
    </w:pPr>
    <w:r>
      <w:rPr>
        <w:rFonts w:ascii="Calibri" w:hAnsi="Calibri"/>
        <w:color w:val="595959"/>
        <w:sz w:val="18"/>
      </w:rPr>
      <w:fldChar w:fldCharType="begin"/>
      <w:instrText xml:space="preserve"> TITLE </w:instrText>
      <w:fldChar w:fldCharType="separate"/>
      <w:fldChar w:fldCharType="end"/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Lines/>
      <w:widowControl/>
      <w:spacing w:after="120" w:before="0" w:line="276" w:lineRule="auto"/>
    </w:pPr>
    <w:rPr>
      <w:rFonts w:ascii="Calibri" w:hAnsi="Calibri"/>
      <w:color w:val="262626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after="120" w:before="400"/>
      <w:outlineLvl w:val="0"/>
      <w:pBdr>
        <w:left w:color="1F3864" w:space="8" w:sz="18" w:val="single"/>
      </w:pBdr>
    </w:pPr>
    <w:rPr>
      <w:rFonts w:ascii="Calibri Light" w:asciiTheme="majorHAnsi" w:cstheme="majorBidi" w:eastAsiaTheme="majorEastAsia" w:hAnsi="Calibri Light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80" w:before="28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2E5D8A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60" w:before="200"/>
      <w:outlineLvl w:val="2"/>
    </w:pPr>
    <w:rPr>
      <w:rFonts w:ascii="Calibri" w:asciiTheme="majorHAnsi" w:cstheme="majorBidi" w:eastAsiaTheme="majorEastAsia" w:hAnsi="Calibri" w:hAnsiTheme="majorHAnsi"/>
      <w:b/>
      <w:bCs/>
      <w:i w:val="0"/>
      <w:color w:val="4472C4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40" w:before="160"/>
      <w:outlineLvl w:val="3"/>
    </w:pPr>
    <w:rPr>
      <w:rFonts w:ascii="Calibri" w:asciiTheme="majorHAnsi" w:cstheme="majorBidi" w:eastAsiaTheme="majorEastAsia" w:hAnsi="Calibri" w:hAnsiTheme="majorHAnsi"/>
      <w:b/>
      <w:bCs/>
      <w:i/>
      <w:iCs/>
      <w:color w:val="262626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60" w:before="0" w:line="240" w:lineRule="auto"/>
      <w:contextualSpacing/>
      <w:jc w:val="left"/>
    </w:pPr>
    <w:rPr>
      <w:rFonts w:ascii="Calibri Light" w:asciiTheme="majorHAnsi" w:cstheme="majorBidi" w:eastAsiaTheme="majorEastAsia" w:hAnsi="Calibri Light" w:hAnsiTheme="majorHAnsi"/>
      <w:b/>
      <w:color w:val="1F3864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480" w:before="0"/>
    </w:pPr>
    <w:rPr>
      <w:rFonts w:ascii="Calibri" w:asciiTheme="majorHAnsi" w:cstheme="majorBidi" w:eastAsiaTheme="majorEastAsia" w:hAnsi="Calibri" w:hAnsiTheme="majorHAnsi"/>
      <w:i/>
      <w:iCs/>
      <w:color w:val="595959"/>
      <w:spacing w:val="15"/>
      <w:sz w:val="26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60" w:before="0"/>
    </w:pPr>
    <w:rPr>
      <w:rFonts w:ascii="Calibri" w:hAnsi="Calibri"/>
      <w:sz w:val="22"/>
    </w:r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after="160" w:before="40" w:line="240" w:lineRule="auto"/>
      <w:jc w:val="center"/>
    </w:pPr>
    <w:rPr>
      <w:rFonts w:ascii="Calibri" w:hAnsi="Calibri"/>
      <w:b/>
      <w:bCs/>
      <w:i/>
      <w:color w:val="595959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FirstParagraph" w:type="paragraph">
    <w:name w:val="First Paragraph"/>
    <w:basedOn w:val="Normal"/>
    <w:pPr>
      <w:ind w:firstLine="0"/>
    </w:pPr>
  </w:style>
  <w:style w:customStyle="1" w:styleId="VerbatimChar" w:type="character">
    <w:name w:val="Verbatim Char"/>
    <w:rPr>
      <w:rFonts w:ascii="Consolas" w:hAnsi="Consolas"/>
      <w:color w:val="1A1A1A"/>
      <w:sz w:val="19"/>
    </w:rPr>
  </w:style>
  <w:style w:customStyle="1" w:styleId="Verbatim" w:type="paragraph">
    <w:name w:val="Verbatim"/>
    <w:pPr>
      <w:spacing w:after="80" w:before="80"/>
    </w:pPr>
    <w:rPr>
      <w:rFonts w:ascii="Consolas" w:hAnsi="Consolas"/>
      <w:color w:val="1A1A1A"/>
      <w:sz w:val="19"/>
    </w:rPr>
  </w:style>
  <w:style w:customStyle="1" w:styleId="SourceCode" w:type="paragraph">
    <w:name w:val="Source Code"/>
    <w:pPr>
      <w:spacing w:after="80" w:before="80"/>
    </w:pPr>
    <w:rPr>
      <w:rFonts w:ascii="Consolas" w:hAnsi="Consolas"/>
      <w:color w:val="1A1A1A"/>
      <w:sz w:val="19"/>
    </w:rPr>
  </w:style>
  <w:style w:customStyle="1" w:styleId="BlockText" w:type="paragraph">
    <w:name w:val="Block Text"/>
    <w:pPr>
      <w:spacing w:after="120" w:before="120"/>
      <w:ind w:left="567" w:right="567"/>
    </w:pPr>
    <w:rPr>
      <w:rFonts w:ascii="Calibri" w:hAnsi="Calibri"/>
      <w:i/>
      <w:color w:val="595959"/>
      <w:sz w:val="22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Compliance and Data Protection — Maduuka</dc:title>
  <dc:creator/>
  <cp:keywords/>
  <dcterms:created xsi:type="dcterms:W3CDTF">2026-04-05T14:28:00Z</dcterms:created>
  <dcterms:modified xsi:type="dcterms:W3CDTF">2026-04-05T14:28:00Z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2026-04-05</vt:lpwstr>
  </property>
  <property fmtid="{D5CDD505-2E9C-101B-9397-08002B2CF9AE}" pid="3" name="owner">
    <vt:lpwstr>Peter Bamuhigire</vt:lpwstr>
  </property>
  <property fmtid="{D5CDD505-2E9C-101B-9397-08002B2CF9AE}" pid="4" name="status">
    <vt:lpwstr>DRAFT — pending legal review (GAP-002)</vt:lpwstr>
  </property>
  <property fmtid="{D5CDD505-2E9C-101B-9397-08002B2CF9AE}" pid="5" name="version">
    <vt:lpwstr>0.1-DRAFT</vt:lpwstr>
  </property>
</Properties>
</file>