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102b2e9de4183984340b81b0bb402a984d3925a"/>
    <w:p>
      <w:pPr>
        <w:pStyle w:val="Heading1"/>
      </w:pPr>
      <w:r>
        <w:t xml:space="preserve">1 Executive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w:t>
            </w:r>
          </w:p>
        </w:tc>
        <w:tc>
          <w:tcPr/>
          <w:p>
            <w:pPr>
              <w:pStyle w:val="Compact"/>
            </w:pPr>
            <w:r>
              <w:t xml:space="preserve">Business Case: Medic8 Healthcare Management System</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2026-04-03</w:t>
            </w:r>
          </w:p>
        </w:tc>
      </w:tr>
      <w:tr>
        <w:tc>
          <w:tcPr/>
          <w:p>
            <w:pPr>
              <w:pStyle w:val="Compact"/>
            </w:pPr>
            <w:r>
              <w:rPr>
                <w:b/>
                <w:bCs/>
              </w:rPr>
              <w:t xml:space="preserve">Author</w:t>
            </w:r>
          </w:p>
        </w:tc>
        <w:tc>
          <w:tcPr/>
          <w:p>
            <w:pPr>
              <w:pStyle w:val="Compact"/>
            </w:pPr>
            <w:r>
              <w:t xml:space="preserve">Peter -- Chwezi Core Systems (chwezicore.com)</w:t>
            </w:r>
          </w:p>
        </w:tc>
      </w:tr>
      <w:tr>
        <w:tc>
          <w:tcPr/>
          <w:p>
            <w:pPr>
              <w:pStyle w:val="Compact"/>
            </w:pPr>
            <w:r>
              <w:rPr>
                <w:b/>
                <w:bCs/>
              </w:rPr>
              <w:t xml:space="preserve">Standards</w:t>
            </w:r>
          </w:p>
        </w:tc>
        <w:tc>
          <w:tcPr/>
          <w:p>
            <w:pPr>
              <w:pStyle w:val="Compact"/>
            </w:pPr>
            <w:r>
              <w:t xml:space="preserve">IEEE 1058-1998, IEEE 29148-2018</w:t>
            </w:r>
          </w:p>
        </w:tc>
      </w:tr>
    </w:tbl>
    <w:bookmarkStart w:id="19" w:name="business-opportunity"/>
    <w:p>
      <w:pPr>
        <w:pStyle w:val="Heading2"/>
      </w:pPr>
      <w:r>
        <w:t xml:space="preserve">Business Opportunity</w:t>
      </w:r>
    </w:p>
    <w:p>
      <w:pPr>
        <w:pStyle w:val="FirstParagraph"/>
      </w:pPr>
      <w:r>
        <w:t xml:space="preserve">Healthcare information technology in sub-Saharan Africa remains critically underserved. Uganda alone has over 6,000 registered health facilities -- 3,000+ private and 3,000+ government-aided -- the majority of which operate on paper registers, manual billing, and hand-compiled statutory reports. The two incumbent digital solutions each carry structural limitations: ClinicMaster (200+ deployments) is desktop-bound with no SaaS delivery, no mobile money integration, and no FHIR compliance; OpenMRS (8,000+ deployments globally) is free to download but costs USD 35,000-130,000 over 3 years once implementation, customisation, billing bolt-ons, and Java developer fees are factored in. Neither solution serves the full clinical-administrative-financial workflow in a single platform. Medic8 addresses this gap as a multi-tenant SaaS healthcare information management system built Africa-first and globally configurable.</w:t>
      </w:r>
    </w:p>
    <w:bookmarkEnd w:id="19"/>
    <w:bookmarkStart w:id="20" w:name="investment-profile"/>
    <w:p>
      <w:pPr>
        <w:pStyle w:val="Heading2"/>
      </w:pPr>
      <w:r>
        <w:t xml:space="preserve">Investment Profile</w:t>
      </w:r>
    </w:p>
    <w:p>
      <w:pPr>
        <w:pStyle w:val="FirstParagraph"/>
      </w:pPr>
      <w:r>
        <w:t xml:space="preserve">Medic8 operates as a solo-developer venture under Chwezi Core Systems, sharing its technology stack (PHP 8.2+, MySQL 8.x, Bootstrap 5/Tabler, Kotlin Android, Swift iOS) and architectural patterns (multi-tenant SaaS, global identity layer, offline-first, country configuration) with Academia Pro, the company's school management platform. This shared codebase reduces Phase 1 development effort by an estimated 30-40% compared to a greenfield build. Phase 1 MVP infrastructure costs are estimated at USD 2,400-4,800 annually (cloud hosting, SMS gateway, domain, SSL), with the primary investment being 6 months of the developer's opportunity cost.</w:t>
      </w:r>
    </w:p>
    <w:bookmarkEnd w:id="20"/>
    <w:bookmarkStart w:id="21" w:name="expected-return"/>
    <w:p>
      <w:pPr>
        <w:pStyle w:val="Heading2"/>
      </w:pPr>
      <w:r>
        <w:t xml:space="preserve">Expected Return</w:t>
      </w:r>
    </w:p>
    <w:p>
      <w:pPr>
        <w:pStyle w:val="FirstParagraph"/>
      </w:pPr>
      <w:r>
        <w:t xml:space="preserve">The revenue model follows a 4-phase trajectory over 24 months: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Timeline</w:t>
            </w:r>
          </w:p>
        </w:tc>
        <w:tc>
          <w:tcPr/>
          <w:p>
            <w:pPr>
              <w:pStyle w:val="Compact"/>
            </w:pPr>
            <w:r>
              <w:t xml:space="preserve">Facilities</w:t>
            </w:r>
          </w:p>
        </w:tc>
        <w:tc>
          <w:tcPr/>
          <w:p>
            <w:pPr>
              <w:pStyle w:val="Compact"/>
            </w:pPr>
            <w:r>
              <w:t xml:space="preserve">MRR Target (UGX)</w:t>
            </w:r>
          </w:p>
        </w:tc>
        <w:tc>
          <w:tcPr/>
          <w:p>
            <w:pPr>
              <w:pStyle w:val="Compact"/>
            </w:pPr>
            <w:r>
              <w:t xml:space="preserve">MRR Target (USD)</w:t>
            </w:r>
          </w:p>
        </w:tc>
      </w:tr>
      <w:tr>
        <w:tc>
          <w:tcPr/>
          <w:p>
            <w:pPr>
              <w:pStyle w:val="Compact"/>
            </w:pPr>
            <w:r>
              <w:t xml:space="preserve">Phase 1 MVP</w:t>
            </w:r>
          </w:p>
        </w:tc>
        <w:tc>
          <w:tcPr/>
          <w:p>
            <w:pPr>
              <w:pStyle w:val="Compact"/>
            </w:pPr>
            <w:r>
              <w:t xml:space="preserve">Month 1-6</w:t>
            </w:r>
          </w:p>
        </w:tc>
        <w:tc>
          <w:tcPr/>
          <w:p>
            <w:pPr>
              <w:pStyle w:val="Compact"/>
            </w:pPr>
            <w:r>
              <w:t xml:space="preserve">10 private clinics</w:t>
            </w:r>
          </w:p>
        </w:tc>
        <w:tc>
          <w:tcPr/>
          <w:p>
            <w:pPr>
              <w:pStyle w:val="Compact"/>
            </w:pPr>
            <w:r>
              <w:t xml:space="preserve">1,500,000</w:t>
            </w:r>
          </w:p>
        </w:tc>
        <w:tc>
          <w:tcPr/>
          <w:p>
            <w:pPr>
              <w:pStyle w:val="Compact"/>
            </w:pPr>
            <w:r>
              <w:t xml:space="preserve">~400</w:t>
            </w:r>
          </w:p>
        </w:tc>
      </w:tr>
      <w:tr>
        <w:tc>
          <w:tcPr/>
          <w:p>
            <w:pPr>
              <w:pStyle w:val="Compact"/>
            </w:pPr>
            <w:r>
              <w:t xml:space="preserve">Phase 2 Growth</w:t>
            </w:r>
          </w:p>
        </w:tc>
        <w:tc>
          <w:tcPr/>
          <w:p>
            <w:pPr>
              <w:pStyle w:val="Compact"/>
            </w:pPr>
            <w:r>
              <w:t xml:space="preserve">Month 7-12</w:t>
            </w:r>
          </w:p>
        </w:tc>
        <w:tc>
          <w:tcPr/>
          <w:p>
            <w:pPr>
              <w:pStyle w:val="Compact"/>
            </w:pPr>
            <w:r>
              <w:t xml:space="preserve">50 facilities</w:t>
            </w:r>
          </w:p>
        </w:tc>
        <w:tc>
          <w:tcPr/>
          <w:p>
            <w:pPr>
              <w:pStyle w:val="Compact"/>
            </w:pPr>
            <w:r>
              <w:t xml:space="preserve">15,000,000</w:t>
            </w:r>
          </w:p>
        </w:tc>
        <w:tc>
          <w:tcPr/>
          <w:p>
            <w:pPr>
              <w:pStyle w:val="Compact"/>
            </w:pPr>
            <w:r>
              <w:t xml:space="preserve">~4,000</w:t>
            </w:r>
          </w:p>
        </w:tc>
      </w:tr>
      <w:tr>
        <w:tc>
          <w:tcPr/>
          <w:p>
            <w:pPr>
              <w:pStyle w:val="Compact"/>
            </w:pPr>
            <w:r>
              <w:t xml:space="preserve">Phase 3 Programmes</w:t>
            </w:r>
          </w:p>
        </w:tc>
        <w:tc>
          <w:tcPr/>
          <w:p>
            <w:pPr>
              <w:pStyle w:val="Compact"/>
            </w:pPr>
            <w:r>
              <w:t xml:space="preserve">Month 13-18</w:t>
            </w:r>
          </w:p>
        </w:tc>
        <w:tc>
          <w:tcPr/>
          <w:p>
            <w:pPr>
              <w:pStyle w:val="Compact"/>
            </w:pPr>
            <w:r>
              <w:t xml:space="preserve">PEPFAR partners + NGOs</w:t>
            </w:r>
          </w:p>
        </w:tc>
        <w:tc>
          <w:tcPr/>
          <w:p>
            <w:pPr>
              <w:pStyle w:val="Compact"/>
            </w:pPr>
            <w:r>
              <w:t xml:space="preserve">40,000,000</w:t>
            </w:r>
          </w:p>
        </w:tc>
        <w:tc>
          <w:tcPr/>
          <w:p>
            <w:pPr>
              <w:pStyle w:val="Compact"/>
            </w:pPr>
            <w:r>
              <w:t xml:space="preserve">~10,700</w:t>
            </w:r>
          </w:p>
        </w:tc>
      </w:tr>
      <w:tr>
        <w:tc>
          <w:tcPr/>
          <w:p>
            <w:pPr>
              <w:pStyle w:val="Compact"/>
            </w:pPr>
            <w:r>
              <w:t xml:space="preserve">Phase 4 Enterprise</w:t>
            </w:r>
          </w:p>
        </w:tc>
        <w:tc>
          <w:tcPr/>
          <w:p>
            <w:pPr>
              <w:pStyle w:val="Compact"/>
            </w:pPr>
            <w:r>
              <w:t xml:space="preserve">Month 19-24</w:t>
            </w:r>
          </w:p>
        </w:tc>
        <w:tc>
          <w:tcPr/>
          <w:p>
            <w:pPr>
              <w:pStyle w:val="Compact"/>
            </w:pPr>
            <w:r>
              <w:t xml:space="preserve">Hospital networks</w:t>
            </w:r>
          </w:p>
        </w:tc>
        <w:tc>
          <w:tcPr/>
          <w:p>
            <w:pPr>
              <w:pStyle w:val="Compact"/>
            </w:pPr>
            <w:r>
              <w:t xml:space="preserve">100,000,000</w:t>
            </w:r>
          </w:p>
        </w:tc>
        <w:tc>
          <w:tcPr/>
          <w:p>
            <w:pPr>
              <w:pStyle w:val="Compact"/>
            </w:pPr>
            <w:r>
              <w:t xml:space="preserve">~26,700</w:t>
            </w:r>
          </w:p>
        </w:tc>
      </w:tr>
    </w:tbl>
    <w:p>
      <w:pPr>
        <w:pStyle w:val="BodyText"/>
      </w:pPr>
      <w:r>
        <w:t xml:space="preserve">At Phase 4 maturity, annual recurring revenue reaches approximately UGX 1.2 billion (USD 320,000). The 3-year total cost of ownership for a Medic8 customer ranges from USD 9,450-71,100 versus USD 35,000-130,000 for OpenMRS, positioning Medic8 as both more affordable and more comprehensive.</w:t>
      </w:r>
    </w:p>
    <w:bookmarkEnd w:id="21"/>
    <w:bookmarkStart w:id="22" w:name="recommendation"/>
    <w:p>
      <w:pPr>
        <w:pStyle w:val="Heading2"/>
      </w:pPr>
      <w:r>
        <w:t xml:space="preserve">Recommendation</w:t>
      </w:r>
    </w:p>
    <w:p>
      <w:pPr>
        <w:pStyle w:val="FirstParagraph"/>
      </w:pPr>
      <w:r>
        <w:rPr>
          <w:b/>
          <w:bCs/>
        </w:rPr>
        <w:t xml:space="preserve">Proceed with Phase 1 MVP development</w:t>
      </w:r>
      <w:r>
        <w:t xml:space="preserve">, targeting private clinics in Kampala. The investment is low-risk (solo developer, shared infrastructure with Academia Pro, no external funding required), the addressable market is large (6,000+ facilities in Uganda alone), and the competitive landscape presents clear gaps that Medic8 is architected to exploit. All 7 HIGH-priority gaps identified in the gap analysis must be resolved before clinical module development begins. A 30-day pilot programme with 3 private clinics will validate the value proposition before commercial launch.</w:t>
      </w:r>
    </w:p>
    <w:bookmarkEnd w:id="22"/>
    <w:bookmarkEnd w:id="23"/>
    <w:bookmarkStart w:id="34" w:name="Xc3cc684388475af2c775f9878e55385d319e70d"/>
    <w:p>
      <w:pPr>
        <w:pStyle w:val="Heading1"/>
      </w:pPr>
      <w:r>
        <w:t xml:space="preserve">2 Problem Statement</w:t>
      </w:r>
    </w:p>
    <w:bookmarkStart w:id="24" w:name="X2caf170c33aa1fadfa26469f8f0b8b1fef3a2d0"/>
    <w:p>
      <w:pPr>
        <w:pStyle w:val="Heading2"/>
      </w:pPr>
      <w:r>
        <w:t xml:space="preserve">2.1 Current State of Healthcare Operations in Uganda</w:t>
      </w:r>
    </w:p>
    <w:p>
      <w:pPr>
        <w:pStyle w:val="FirstParagraph"/>
      </w:pPr>
      <w:r>
        <w:t xml:space="preserve">Uganda's healthcare delivery system comprises over 6,000 registered health facilities: approximately 4,000+ private clinics and hospitals, and approximately 3,000 government-aided facilities ranging from Health Centre II to National Referral Hospitals. The majority of these facilities manage operations through one of 4 approaches:</w:t>
      </w:r>
    </w:p>
    <w:p>
      <w:pPr>
        <w:pStyle w:val="Compact"/>
        <w:numPr>
          <w:ilvl w:val="0"/>
          <w:numId w:val="1001"/>
        </w:numPr>
      </w:pPr>
      <w:r>
        <w:t xml:space="preserve">Paper-based workflows — Patient records in exercise books or paper files, prescriptions on paper, pharmacy stock counted manually, billing via handwritten receipts, and HMIS reports compiled by hand at month-end. This is the dominant mode for government facilities (HC II-IV) and smaller private clinics.</w:t>
      </w:r>
    </w:p>
    <w:p>
      <w:pPr>
        <w:pStyle w:val="Compact"/>
        <w:numPr>
          <w:ilvl w:val="0"/>
          <w:numId w:val="1001"/>
        </w:numPr>
      </w:pPr>
      <w:r>
        <w:t xml:space="preserve">ClinicMaster — Desktop-bound software deployed in 200+ facilities across East Africa. On-premise installation requiring each facility to maintain its own server hardware and IT support. The installed base represents less than 5% penetration of the 4,000+ private facilities in Uganda alone.</w:t>
      </w:r>
    </w:p>
    <w:p>
      <w:pPr>
        <w:pStyle w:val="Compact"/>
        <w:numPr>
          <w:ilvl w:val="0"/>
          <w:numId w:val="1001"/>
        </w:numPr>
      </w:pPr>
      <w:r>
        <w:t xml:space="preserve">OpenMRS / UgandaEMR — Open-source electronic medical record system deployed in PEPFAR-funded facilities. Free to download but carries a 3-year TCO of USD 35,000-130,000. Lacks billing, insurance, HR, payroll, and mobile money integration.</w:t>
      </w:r>
    </w:p>
    <w:p>
      <w:pPr>
        <w:pStyle w:val="Compact"/>
        <w:numPr>
          <w:ilvl w:val="0"/>
          <w:numId w:val="1001"/>
        </w:numPr>
      </w:pPr>
      <w:r>
        <w:t xml:space="preserve">Excel spreadsheets — Used as a supplement to paper or OpenMRS for billing reconciliation, stock tracking, insurance claims, and ad hoc reporting. Common in mission hospitals that have OpenMRS for clinical records but no financial module.</w:t>
      </w:r>
    </w:p>
    <w:p>
      <w:pPr>
        <w:pStyle w:val="FirstParagraph"/>
      </w:pPr>
      <w:r>
        <w:t xml:space="preserve">No single solution available in the Ugandan market today delivers a unified clinical, administrative, and financial workflow as a cloud-hosted SaaS platform with mobile money integration, offline resilience, multi-language support, and AI-powered clinical workflows.</w:t>
      </w:r>
    </w:p>
    <w:bookmarkEnd w:id="24"/>
    <w:bookmarkStart w:id="32" w:name="X87768305aa242fa39995f376b61b40169238533"/>
    <w:p>
      <w:pPr>
        <w:pStyle w:val="Heading2"/>
      </w:pPr>
      <w:r>
        <w:t xml:space="preserve">2.2 Pain Points by Market Segment</w:t>
      </w:r>
    </w:p>
    <w:bookmarkStart w:id="25" w:name="X72ea89862b1a73f07c52dc4c4b80d4dec2fb0bd"/>
    <w:p>
      <w:pPr>
        <w:pStyle w:val="Heading3"/>
      </w:pPr>
      <w:r>
        <w:t xml:space="preserve">2.2.1 Private Clinics (4,000+ facilities)</w:t>
      </w:r>
    </w:p>
    <w:p>
      <w:pPr>
        <w:pStyle w:val="Compact"/>
        <w:numPr>
          <w:ilvl w:val="0"/>
          <w:numId w:val="1002"/>
        </w:numPr>
      </w:pPr>
      <w:r>
        <w:t xml:space="preserve">Server maintenance costs: ClinicMaster requires on-premise server hardware and IT support, adding UGX 2-5 million annually in infrastructure costs for a small clinic.</w:t>
      </w:r>
    </w:p>
    <w:p>
      <w:pPr>
        <w:pStyle w:val="Compact"/>
        <w:numPr>
          <w:ilvl w:val="0"/>
          <w:numId w:val="1002"/>
        </w:numPr>
      </w:pPr>
      <w:r>
        <w:t xml:space="preserve">No mobile money integration: Patients must pay cash or visit a bank; no MTN MoMo or Airtel Money API for fee collection or auto-reconciliation.</w:t>
      </w:r>
    </w:p>
    <w:p>
      <w:pPr>
        <w:pStyle w:val="Compact"/>
        <w:numPr>
          <w:ilvl w:val="0"/>
          <w:numId w:val="1002"/>
        </w:numPr>
      </w:pPr>
      <w:r>
        <w:t xml:space="preserve">No patient-facing application: No appointment booking, no lab result access, no payment portal for patients.</w:t>
      </w:r>
    </w:p>
    <w:p>
      <w:pPr>
        <w:pStyle w:val="Compact"/>
        <w:numPr>
          <w:ilvl w:val="0"/>
          <w:numId w:val="1002"/>
        </w:numPr>
      </w:pPr>
      <w:r>
        <w:t xml:space="preserve">Manual HMIS tallying: HMIS 105 compilation consumes 2+ staff-days per month, diverting clinical staff from patient care.</w:t>
      </w:r>
    </w:p>
    <w:bookmarkEnd w:id="25"/>
    <w:bookmarkStart w:id="26" w:name="X343f649208837b1edacd96a4e292f6cd6ebee2d"/>
    <w:p>
      <w:pPr>
        <w:pStyle w:val="Heading3"/>
      </w:pPr>
      <w:r>
        <w:t xml:space="preserve">2.2.2 Mission and NGO Hospitals</w:t>
      </w:r>
    </w:p>
    <w:p>
      <w:pPr>
        <w:pStyle w:val="Compact"/>
        <w:numPr>
          <w:ilvl w:val="0"/>
          <w:numId w:val="1003"/>
        </w:numPr>
      </w:pPr>
      <w:r>
        <w:t xml:space="preserve">No billing in OpenMRS: Mission hospitals running OpenMRS maintain a separate Excel spreadsheet for billing, revenue tracking, and financial reporting.</w:t>
      </w:r>
    </w:p>
    <w:p>
      <w:pPr>
        <w:pStyle w:val="Compact"/>
        <w:numPr>
          <w:ilvl w:val="0"/>
          <w:numId w:val="1003"/>
        </w:numPr>
      </w:pPr>
      <w:r>
        <w:t xml:space="preserve">No insurance management: Insurance claims are processed manually via paper forms, resulting in high rejection rates and delayed reimbursement.</w:t>
      </w:r>
    </w:p>
    <w:p>
      <w:pPr>
        <w:pStyle w:val="Compact"/>
        <w:numPr>
          <w:ilvl w:val="0"/>
          <w:numId w:val="1003"/>
        </w:numPr>
      </w:pPr>
      <w:r>
        <w:t xml:space="preserve">Java developer costs: OpenMRS customisation requires Java developers at USD 80-120 per hour; Java developers with healthcare domain experience are scarce in Uganda.</w:t>
      </w:r>
    </w:p>
    <w:p>
      <w:pPr>
        <w:pStyle w:val="Compact"/>
        <w:numPr>
          <w:ilvl w:val="0"/>
          <w:numId w:val="1003"/>
        </w:numPr>
      </w:pPr>
      <w:r>
        <w:t xml:space="preserve">Expensive training: OpenMRS training requires external trainers and costs USD 6,000-30,000 over 3 years.</w:t>
      </w:r>
    </w:p>
    <w:bookmarkEnd w:id="26"/>
    <w:bookmarkStart w:id="27" w:name="X6d42cebc4c7bcf6396da5145c7a927b0a7a9778"/>
    <w:p>
      <w:pPr>
        <w:pStyle w:val="Heading3"/>
      </w:pPr>
      <w:r>
        <w:t xml:space="preserve">2.2.3 Government Facilities (3,000 facilities)</w:t>
      </w:r>
    </w:p>
    <w:p>
      <w:pPr>
        <w:pStyle w:val="Compact"/>
        <w:numPr>
          <w:ilvl w:val="0"/>
          <w:numId w:val="1004"/>
        </w:numPr>
      </w:pPr>
      <w:r>
        <w:t xml:space="preserve">HMIS manual tallying: HMIS 105/108/033b report compilation from paper registers consumes 2-3 staff-days per month at each facility.</w:t>
      </w:r>
    </w:p>
    <w:p>
      <w:pPr>
        <w:pStyle w:val="Compact"/>
        <w:numPr>
          <w:ilvl w:val="0"/>
          <w:numId w:val="1004"/>
        </w:numPr>
      </w:pPr>
      <w:r>
        <w:t xml:space="preserve">Drug stockouts: No visibility into consumption patterns or stock levels; National Medical Stores (NMS) orders are based on estimates, not consumption data.</w:t>
      </w:r>
    </w:p>
    <w:p>
      <w:pPr>
        <w:pStyle w:val="Compact"/>
        <w:numPr>
          <w:ilvl w:val="0"/>
          <w:numId w:val="1004"/>
        </w:numPr>
      </w:pPr>
      <w:r>
        <w:t xml:space="preserve">Capitation grant tracking: Grant receipts and expenditures are tracked manually with no audit trail.</w:t>
      </w:r>
    </w:p>
    <w:p>
      <w:pPr>
        <w:pStyle w:val="Compact"/>
        <w:numPr>
          <w:ilvl w:val="0"/>
          <w:numId w:val="1004"/>
        </w:numPr>
      </w:pPr>
      <w:r>
        <w:t xml:space="preserve">Limited digital literacy: Most staff have limited computer skills, making complex software unusable without extensive training.</w:t>
      </w:r>
    </w:p>
    <w:bookmarkEnd w:id="27"/>
    <w:bookmarkStart w:id="28" w:name="Xb4ae713257778e659ddf9abd5d7067ae86714a1"/>
    <w:p>
      <w:pPr>
        <w:pStyle w:val="Heading3"/>
      </w:pPr>
      <w:r>
        <w:t xml:space="preserve">2.2.4 Multi-Facility Hospital Networks</w:t>
      </w:r>
    </w:p>
    <w:p>
      <w:pPr>
        <w:pStyle w:val="Compact"/>
        <w:numPr>
          <w:ilvl w:val="0"/>
          <w:numId w:val="1005"/>
        </w:numPr>
      </w:pPr>
      <w:r>
        <w:t xml:space="preserve">No cross-facility patient records: Patients must re-register at each facility in the network; no shared patient identity.</w:t>
      </w:r>
    </w:p>
    <w:p>
      <w:pPr>
        <w:pStyle w:val="Compact"/>
        <w:numPr>
          <w:ilvl w:val="0"/>
          <w:numId w:val="1005"/>
        </w:numPr>
      </w:pPr>
      <w:r>
        <w:t xml:space="preserve">No consolidated reporting: Each facility reports independently; no unified analytics dashboard for network directors.</w:t>
      </w:r>
    </w:p>
    <w:p>
      <w:pPr>
        <w:pStyle w:val="Compact"/>
        <w:numPr>
          <w:ilvl w:val="0"/>
          <w:numId w:val="1005"/>
        </w:numPr>
      </w:pPr>
      <w:r>
        <w:t xml:space="preserve">Separate billing systems: No unified revenue view across the network.</w:t>
      </w:r>
    </w:p>
    <w:p>
      <w:pPr>
        <w:pStyle w:val="Compact"/>
        <w:numPr>
          <w:ilvl w:val="0"/>
          <w:numId w:val="1005"/>
        </w:numPr>
      </w:pPr>
      <w:r>
        <w:t xml:space="preserve">Vendor lock-in: Legacy on-premise vendors offer no migration path and charge premium rates for customisation.</w:t>
      </w:r>
    </w:p>
    <w:bookmarkEnd w:id="28"/>
    <w:bookmarkStart w:id="29" w:name="Xc221f65972950e164f13623fb3f4da62018a2a8"/>
    <w:p>
      <w:pPr>
        <w:pStyle w:val="Heading3"/>
      </w:pPr>
      <w:r>
        <w:t xml:space="preserve">2.2.5 PEPFAR/Global Fund Implementing Partners</w:t>
      </w:r>
    </w:p>
    <w:p>
      <w:pPr>
        <w:pStyle w:val="Compact"/>
        <w:numPr>
          <w:ilvl w:val="0"/>
          <w:numId w:val="1006"/>
        </w:numPr>
      </w:pPr>
      <w:r>
        <w:t xml:space="preserve">Manual MER indicator calculation: PEPFAR Monitoring, Evaluation, and Reporting indicators (TX_CURR, TX_NEW, TX_PVLS) are calculated manually from registers, consuming significant programme staff time.</w:t>
      </w:r>
    </w:p>
    <w:p>
      <w:pPr>
        <w:pStyle w:val="Compact"/>
        <w:numPr>
          <w:ilvl w:val="0"/>
          <w:numId w:val="1006"/>
        </w:numPr>
      </w:pPr>
      <w:r>
        <w:t xml:space="preserve">OpenMRS customisation costs: USD 15,000 or more per year for UgandaEMR customisation and support.</w:t>
      </w:r>
    </w:p>
    <w:p>
      <w:pPr>
        <w:pStyle w:val="Compact"/>
        <w:numPr>
          <w:ilvl w:val="0"/>
          <w:numId w:val="1006"/>
        </w:numPr>
      </w:pPr>
      <w:r>
        <w:t xml:space="preserve">No donor fund accounting: No ring-fenced cost centres for PEPFAR, Global Fund, or UNICEF programme funds within the EMR.</w:t>
      </w:r>
    </w:p>
    <w:p>
      <w:pPr>
        <w:pStyle w:val="Compact"/>
        <w:numPr>
          <w:ilvl w:val="0"/>
          <w:numId w:val="1006"/>
        </w:numPr>
      </w:pPr>
      <w:r>
        <w:t xml:space="preserve">Staff turnover: Constant retraining on a complex system as programme staff rotate.</w:t>
      </w:r>
    </w:p>
    <w:bookmarkEnd w:id="29"/>
    <w:bookmarkStart w:id="30" w:name="X52126dbc9200173b88a8c45fef419cf6e446edb"/>
    <w:p>
      <w:pPr>
        <w:pStyle w:val="Heading3"/>
      </w:pPr>
      <w:r>
        <w:t xml:space="preserve">2.2.6 Francophone Africa — The Language Barrier Problem</w:t>
      </w:r>
    </w:p>
    <w:p>
      <w:pPr>
        <w:pStyle w:val="FirstParagraph"/>
      </w:pPr>
      <w:r>
        <w:t xml:space="preserve">English-only healthcare systems create a compounding adoption barrier in DRC, Rwanda, Cameroon, and Francophone West Africa, where French is the professional and administrative language:</w:t>
      </w:r>
    </w:p>
    <w:p>
      <w:pPr>
        <w:pStyle w:val="Compact"/>
        <w:numPr>
          <w:ilvl w:val="0"/>
          <w:numId w:val="1007"/>
        </w:numPr>
      </w:pPr>
      <w:r>
        <w:t xml:space="preserve">Clinical terminology mistranslated by untrained staff: When staff translate system labels verbally, clinical meaning degrades. A nurse reading "chief complaint" in English and transcribing it as a rough Lingala approximation introduces ambiguity into the clinical record — a direct patient safety risk.</w:t>
      </w:r>
    </w:p>
    <w:p>
      <w:pPr>
        <w:pStyle w:val="Compact"/>
        <w:numPr>
          <w:ilvl w:val="0"/>
          <w:numId w:val="1007"/>
        </w:numPr>
      </w:pPr>
      <w:r>
        <w:t xml:space="preserve">Patient non-adherence from incomprehensible discharge notes: Patients who cannot read English discharge summaries cannot follow post-discharge care instructions. This is not a literacy problem — it is a language problem. A French-speaking DRC patient with a university education cannot act on English clinical instructions.</w:t>
      </w:r>
    </w:p>
    <w:p>
      <w:pPr>
        <w:pStyle w:val="Compact"/>
        <w:numPr>
          <w:ilvl w:val="0"/>
          <w:numId w:val="1007"/>
        </w:numPr>
      </w:pPr>
      <w:r>
        <w:t xml:space="preserve">Adoption barrier in DRC's 1,200+ registered health facilities: No commercial EHR with a complete, reviewed French-language interface exists in the East Africa market. This is a structural exclusion, not a preference. ClinicMaster is English-only. OpenMRS community translations for French are incomplete and untested in clinical settings.</w:t>
      </w:r>
    </w:p>
    <w:p>
      <w:pPr>
        <w:pStyle w:val="Compact"/>
        <w:numPr>
          <w:ilvl w:val="0"/>
          <w:numId w:val="1007"/>
        </w:numPr>
      </w:pPr>
      <w:r>
        <w:t xml:space="preserve">Rwanda's digital health ambitions blocked: Rwanda has 1,500+ registered health facilities and an actively digitising health sector with government-mandated Mutuelle de Santé insurance. The absence of a complete French-language clinical system delays this digitisation agenda.</w:t>
      </w:r>
    </w:p>
    <w:p>
      <w:pPr>
        <w:pStyle w:val="FirstParagraph"/>
      </w:pPr>
      <w:r>
        <w:t xml:space="preserve">The i18n problem is a patient safety problem, not a localisation convenience. Clinical terminology translated poorly by untrained staff creates patient safety risks at the point of documentation and at the point of care.</w:t>
      </w:r>
    </w:p>
    <w:bookmarkEnd w:id="30"/>
    <w:bookmarkStart w:id="31" w:name="X5efb264af1bccc2098ce74e10ec09c34a236443"/>
    <w:p>
      <w:pPr>
        <w:pStyle w:val="Heading3"/>
      </w:pPr>
      <w:r>
        <w:t xml:space="preserve">2.2.7 The Clinical Documentation Time Problem</w:t>
      </w:r>
    </w:p>
    <w:p>
      <w:pPr>
        <w:pStyle w:val="FirstParagraph"/>
      </w:pPr>
      <w:r>
        <w:t xml:space="preserve">Clinicians in East Africa spend approximately 35% of each consultation on EHR data entry. This is not unique to the region — global studies report similar ratios — but the impact is amplified in understaffed facilities where every clinical minute matters.</w:t>
      </w:r>
    </w:p>
    <w:p>
      <w:pPr>
        <w:pStyle w:val="BodyText"/>
      </w:pPr>
      <w:r>
        <w:t xml:space="preserve">The specific burden by task:</w:t>
      </w:r>
    </w:p>
    <w:p>
      <w:pPr>
        <w:pStyle w:val="Compact"/>
        <w:numPr>
          <w:ilvl w:val="0"/>
          <w:numId w:val="1008"/>
        </w:numPr>
      </w:pPr>
      <w:r>
        <w:t xml:space="preserve">SOAP note documentation: 8-12 minutes per consultation at facilities with structured EHR templates.</w:t>
      </w:r>
    </w:p>
    <w:p>
      <w:pPr>
        <w:pStyle w:val="Compact"/>
        <w:numPr>
          <w:ilvl w:val="0"/>
          <w:numId w:val="1008"/>
        </w:numPr>
      </w:pPr>
      <w:r>
        <w:t xml:space="preserve">Discharge summary: 15-25 minutes per inpatient discharge, often completed at the end of a 12-hour shift.</w:t>
      </w:r>
    </w:p>
    <w:p>
      <w:pPr>
        <w:pStyle w:val="Compact"/>
        <w:numPr>
          <w:ilvl w:val="0"/>
          <w:numId w:val="1008"/>
        </w:numPr>
      </w:pPr>
      <w:r>
        <w:t xml:space="preserve">Referral letter: 5-10 minutes per referral, written from memory and clinical notes.</w:t>
      </w:r>
    </w:p>
    <w:p>
      <w:pPr>
        <w:pStyle w:val="Compact"/>
        <w:numPr>
          <w:ilvl w:val="0"/>
          <w:numId w:val="1008"/>
        </w:numPr>
      </w:pPr>
      <w:r>
        <w:t xml:space="preserve">ICD coding: 3-5 minutes per encounter at facilities that code diagnoses for insurance purposes; uncoded diagnoses result in claim rejection.</w:t>
      </w:r>
    </w:p>
    <w:p>
      <w:pPr>
        <w:pStyle w:val="FirstParagraph"/>
      </w:pPr>
      <w:r>
        <w:t xml:space="preserve">AI-drafted notes — generated from structured encounter data and requiring only clinician review and approval — can reclaim 15-20 minutes per clinician per day. At a 10-clinician facility operating 250 days per year, this is equivalent to adding 0.25 full-time equivalent (FTE) clinical capacity without hiring. No current system in the East Africa market offers this capability.</w:t>
      </w:r>
    </w:p>
    <w:p>
      <w:pPr>
        <w:pStyle w:val="BodyText"/>
      </w:pPr>
      <w:r>
        <w:t xml:space="preserve">The absence of AI-assisted documentation is not a comfort issue — it is a capacity issue in a region with a clinician-to-patient ratio far below WHO recommended levels.</w:t>
      </w:r>
    </w:p>
    <w:bookmarkEnd w:id="31"/>
    <w:bookmarkEnd w:id="32"/>
    <w:bookmarkStart w:id="33" w:name="X1e8051e9e0d1e69fb5d37e9407a52fa57b35dbd"/>
    <w:p>
      <w:pPr>
        <w:pStyle w:val="Heading2"/>
      </w:pPr>
      <w:r>
        <w:t xml:space="preserve">2.3 Cost of Inaction</w:t>
      </w:r>
    </w:p>
    <w:p>
      <w:pPr>
        <w:pStyle w:val="FirstParagraph"/>
      </w:pPr>
      <w:r>
        <w:t xml:space="preserve">Maintaining the status quo imposes measurable costs across clinical safety, revenue, compliance, and operational efficiency:</w:t>
      </w:r>
    </w:p>
    <w:p>
      <w:pPr>
        <w:numPr>
          <w:ilvl w:val="0"/>
          <w:numId w:val="1009"/>
        </w:numPr>
      </w:pPr>
      <w:r>
        <w:t xml:space="preserve">Medication errors from paper prescribing: Handwritten prescriptions are susceptible to misreading, dosing errors, and missed drug interactions. Without a Clinical Decision Support (CDS) engine, allergy-prescription conflicts and drug-drug interactions go undetected.</w:t>
      </w:r>
    </w:p>
    <w:p>
      <w:pPr>
        <w:numPr>
          <w:ilvl w:val="0"/>
          <w:numId w:val="1009"/>
        </w:numPr>
      </w:pPr>
      <w:r>
        <w:t xml:space="preserve">Revenue leakage from manual billing: Facilities without integrated billing lose revenue through unbilled services, duplicate billing, uncollected fees, and cash reconciliation discrepancies. Facilities report reconciliation gaps of 5-15% of daily revenue.</w:t>
      </w:r>
    </w:p>
    <w:p>
      <w:pPr>
        <w:numPr>
          <w:ilvl w:val="0"/>
          <w:numId w:val="1009"/>
        </w:numPr>
      </w:pPr>
      <w:r>
        <w:t xml:space="preserve">HMIS non-compliance risking capitation grant suspension: Government-aided facilities that fail to submit accurate, timely HMIS reports to the District Health Officer risk suspension of Primary Health Care (PHC) conditional grants and capitation funding.</w:t>
      </w:r>
    </w:p>
    <w:p>
      <w:pPr>
        <w:numPr>
          <w:ilvl w:val="0"/>
          <w:numId w:val="1009"/>
        </w:numPr>
      </w:pPr>
      <w:r>
        <w:t xml:space="preserve">Patient record duplication: Without a global patient identity, patients are registered as new at every visit to a different facility. Duplicate records lead to fragmented medical histories, repeated investigations, and missed chronic disease follow-up.</w:t>
      </w:r>
    </w:p>
    <w:p>
      <w:pPr>
        <w:numPr>
          <w:ilvl w:val="0"/>
          <w:numId w:val="1009"/>
        </w:numPr>
      </w:pPr>
      <w:r>
        <w:t xml:space="preserve">Insurance claim rejection: Manual claims processing results in high rejection rates due to incomplete documentation, coding errors, and missed pre-authorisation. Each rejected claim costs the facility in delayed or lost reimbursement plus administrative rework.</w:t>
      </w:r>
    </w:p>
    <w:p>
      <w:pPr>
        <w:numPr>
          <w:ilvl w:val="0"/>
          <w:numId w:val="1009"/>
        </w:numPr>
      </w:pPr>
      <w:r>
        <w:t xml:space="preserve">Drug stockouts and expiry waste: Without consumption-based stock tracking, facilities over-order some items (leading to expiry waste) and under-order others (leading to stockouts that force patients to purchase from external pharmacies).</w:t>
      </w:r>
    </w:p>
    <w:p>
      <w:pPr>
        <w:numPr>
          <w:ilvl w:val="0"/>
          <w:numId w:val="1009"/>
        </w:numPr>
      </w:pPr>
      <w:r>
        <w:t xml:space="preserve">Clinical staff diverted to administrative work: Staff-days consumed by manual HMIS tallying, paper-based stock counts, and handwritten reports reduce the time available for direct patient care.</w:t>
      </w:r>
    </w:p>
    <w:p>
      <w:pPr>
        <w:numPr>
          <w:ilvl w:val="0"/>
          <w:numId w:val="1009"/>
        </w:numPr>
      </w:pPr>
      <w:r>
        <w:t xml:space="preserve">Francophone patient harm from language-barrier care: Post-discharge instructions that patients cannot read in their language lead to non-adherence, complications, and avoidable readmissions. This is a quantifiable patient harm pathway, not a service quality preference.</w:t>
      </w:r>
    </w:p>
    <w:p>
      <w:pPr>
        <w:numPr>
          <w:ilvl w:val="0"/>
          <w:numId w:val="1009"/>
        </w:numPr>
      </w:pPr>
      <w:r>
        <w:t xml:space="preserve">AI documentation gap compounds over time: Facilities that do not adopt AI-assisted documentation accumulate a structural efficiency disadvantage relative to facilities that do. The gap compounds with scale: a 10-clinician facility that reclaims 15 minutes per clinician per day gains the equivalent of 938 clinical hours per year — nearly 0.5 FTE — compared to a facility still on paper documentation.</w:t>
      </w:r>
    </w:p>
    <w:bookmarkEnd w:id="33"/>
    <w:bookmarkEnd w:id="34"/>
    <w:bookmarkStart w:id="44" w:name="Xde6a1e0ee06990c56977204385f54ba125ab657"/>
    <w:p>
      <w:pPr>
        <w:pStyle w:val="Heading1"/>
      </w:pPr>
      <w:r>
        <w:t xml:space="preserve">3 Market Opportunity</w:t>
      </w:r>
    </w:p>
    <w:bookmarkStart w:id="38" w:name="Xe8cabc7e62dd53da3bc93c6602efc2fdafbe7dc"/>
    <w:p>
      <w:pPr>
        <w:pStyle w:val="Heading2"/>
      </w:pPr>
      <w:r>
        <w:t xml:space="preserve">3.1 Uganda Market Sizing</w:t>
      </w:r>
    </w:p>
    <w:bookmarkStart w:id="35" w:name="Xf5d1ed3504659e2aac51fd1d5c4d650ddf295cd"/>
    <w:p>
      <w:pPr>
        <w:pStyle w:val="Heading3"/>
      </w:pPr>
      <w:r>
        <w:t xml:space="preserve">3.1.1 Total Addressable Market (TAM)</w:t>
      </w:r>
    </w:p>
    <w:p>
      <w:pPr>
        <w:pStyle w:val="FirstParagraph"/>
      </w:pPr>
      <w:r>
        <w:t xml:space="preserve">Uganda has over 6,000 registered health facilities. The TAM assumes every facility adopts a healthcare management system at the average subscription price across tiers.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Segment</w:t>
            </w:r>
          </w:p>
        </w:tc>
        <w:tc>
          <w:tcPr/>
          <w:p>
            <w:pPr>
              <w:pStyle w:val="Compact"/>
            </w:pPr>
            <w:r>
              <w:t xml:space="preserve">Facilities</w:t>
            </w:r>
          </w:p>
        </w:tc>
        <w:tc>
          <w:tcPr/>
          <w:p>
            <w:pPr>
              <w:pStyle w:val="Compact"/>
            </w:pPr>
            <w:r>
              <w:t xml:space="preserve">Avg Monthly Subscription (UGX)</w:t>
            </w:r>
          </w:p>
        </w:tc>
        <w:tc>
          <w:tcPr/>
          <w:p>
            <w:pPr>
              <w:pStyle w:val="Compact"/>
            </w:pPr>
            <w:r>
              <w:t xml:space="preserve">Annual Revenue (UGX)</w:t>
            </w:r>
          </w:p>
        </w:tc>
        <w:tc>
          <w:tcPr/>
          <w:p>
            <w:pPr>
              <w:pStyle w:val="Compact"/>
            </w:pPr>
            <w:r>
              <w:t xml:space="preserve">Annual Revenue (USD)</w:t>
            </w:r>
          </w:p>
        </w:tc>
      </w:tr>
      <w:tr>
        <w:tc>
          <w:tcPr/>
          <w:p>
            <w:pPr>
              <w:pStyle w:val="Compact"/>
            </w:pPr>
            <w:r>
              <w:t xml:space="preserve">Private clinics</w:t>
            </w:r>
          </w:p>
        </w:tc>
        <w:tc>
          <w:tcPr/>
          <w:p>
            <w:pPr>
              <w:pStyle w:val="Compact"/>
            </w:pPr>
            <w:r>
              <w:t xml:space="preserve">4,000</w:t>
            </w:r>
          </w:p>
        </w:tc>
        <w:tc>
          <w:tcPr/>
          <w:p>
            <w:pPr>
              <w:pStyle w:val="Compact"/>
            </w:pPr>
            <w:r>
              <w:t xml:space="preserve">150,000 (Starter)</w:t>
            </w:r>
          </w:p>
        </w:tc>
        <w:tc>
          <w:tcPr/>
          <w:p>
            <w:pPr>
              <w:pStyle w:val="Compact"/>
            </w:pPr>
            <w:r>
              <w:t xml:space="preserve">7,200,000,000</w:t>
            </w:r>
          </w:p>
        </w:tc>
        <w:tc>
          <w:tcPr/>
          <w:p>
            <w:pPr>
              <w:pStyle w:val="Compact"/>
            </w:pPr>
            <w:r>
              <w:t xml:space="preserve">1,920,000</w:t>
            </w:r>
          </w:p>
        </w:tc>
      </w:tr>
      <w:tr>
        <w:tc>
          <w:tcPr/>
          <w:p>
            <w:pPr>
              <w:pStyle w:val="Compact"/>
            </w:pPr>
            <w:r>
              <w:t xml:space="preserve">Government facilities (HC II-IV, General Hospitals)</w:t>
            </w:r>
          </w:p>
        </w:tc>
        <w:tc>
          <w:tcPr/>
          <w:p>
            <w:pPr>
              <w:pStyle w:val="Compact"/>
            </w:pPr>
            <w:r>
              <w:t xml:space="preserve">2,800</w:t>
            </w:r>
          </w:p>
        </w:tc>
        <w:tc>
          <w:tcPr/>
          <w:p>
            <w:pPr>
              <w:pStyle w:val="Compact"/>
            </w:pPr>
            <w:r>
              <w:t xml:space="preserve">350,000 (Growth)</w:t>
            </w:r>
          </w:p>
        </w:tc>
        <w:tc>
          <w:tcPr/>
          <w:p>
            <w:pPr>
              <w:pStyle w:val="Compact"/>
            </w:pPr>
            <w:r>
              <w:t xml:space="preserve">11,760,000,000</w:t>
            </w:r>
          </w:p>
        </w:tc>
        <w:tc>
          <w:tcPr/>
          <w:p>
            <w:pPr>
              <w:pStyle w:val="Compact"/>
            </w:pPr>
            <w:r>
              <w:t xml:space="preserve">3,136,000</w:t>
            </w:r>
          </w:p>
        </w:tc>
      </w:tr>
      <w:tr>
        <w:tc>
          <w:tcPr/>
          <w:p>
            <w:pPr>
              <w:pStyle w:val="Compact"/>
            </w:pPr>
            <w:r>
              <w:t xml:space="preserve">Mission / NGO hospitals</w:t>
            </w:r>
          </w:p>
        </w:tc>
        <w:tc>
          <w:tcPr/>
          <w:p>
            <w:pPr>
              <w:pStyle w:val="Compact"/>
            </w:pPr>
            <w:r>
              <w:t xml:space="preserve">150</w:t>
            </w:r>
          </w:p>
        </w:tc>
        <w:tc>
          <w:tcPr/>
          <w:p>
            <w:pPr>
              <w:pStyle w:val="Compact"/>
            </w:pPr>
            <w:r>
              <w:t xml:space="preserve">700,000 (Pro)</w:t>
            </w:r>
          </w:p>
        </w:tc>
        <w:tc>
          <w:tcPr/>
          <w:p>
            <w:pPr>
              <w:pStyle w:val="Compact"/>
            </w:pPr>
            <w:r>
              <w:t xml:space="preserve">1,260,000,000</w:t>
            </w:r>
          </w:p>
        </w:tc>
        <w:tc>
          <w:tcPr/>
          <w:p>
            <w:pPr>
              <w:pStyle w:val="Compact"/>
            </w:pPr>
            <w:r>
              <w:t xml:space="preserve">336,000</w:t>
            </w:r>
          </w:p>
        </w:tc>
      </w:tr>
      <w:tr>
        <w:tc>
          <w:tcPr/>
          <w:p>
            <w:pPr>
              <w:pStyle w:val="Compact"/>
            </w:pPr>
            <w:r>
              <w:t xml:space="preserve">Multi-facility networks</w:t>
            </w:r>
          </w:p>
        </w:tc>
        <w:tc>
          <w:tcPr/>
          <w:p>
            <w:pPr>
              <w:pStyle w:val="Compact"/>
            </w:pPr>
            <w:r>
              <w:t xml:space="preserve">20</w:t>
            </w:r>
          </w:p>
        </w:tc>
        <w:tc>
          <w:tcPr/>
          <w:p>
            <w:pPr>
              <w:pStyle w:val="Compact"/>
            </w:pPr>
            <w:r>
              <w:t xml:space="preserve">2,000,000 (Enterprise, estimated)</w:t>
            </w:r>
          </w:p>
        </w:tc>
        <w:tc>
          <w:tcPr/>
          <w:p>
            <w:pPr>
              <w:pStyle w:val="Compact"/>
            </w:pPr>
            <w:r>
              <w:t xml:space="preserve">480,000,000</w:t>
            </w:r>
          </w:p>
        </w:tc>
        <w:tc>
          <w:tcPr/>
          <w:p>
            <w:pPr>
              <w:pStyle w:val="Compact"/>
            </w:pPr>
            <w:r>
              <w:t xml:space="preserve">128,000</w:t>
            </w:r>
          </w:p>
        </w:tc>
      </w:tr>
      <w:tr>
        <w:tc>
          <w:tcPr/>
          <w:p>
            <w:pPr>
              <w:pStyle w:val="Compact"/>
            </w:pPr>
            <w:r>
              <w:t xml:space="preserve">National referral hospitals</w:t>
            </w:r>
          </w:p>
        </w:tc>
        <w:tc>
          <w:tcPr/>
          <w:p>
            <w:pPr>
              <w:pStyle w:val="Compact"/>
            </w:pPr>
            <w:r>
              <w:t xml:space="preserve">6</w:t>
            </w:r>
          </w:p>
        </w:tc>
        <w:tc>
          <w:tcPr/>
          <w:p>
            <w:pPr>
              <w:pStyle w:val="Compact"/>
            </w:pPr>
            <w:r>
              <w:t xml:space="preserve">5,000,000 (Enterprise, estimated)</w:t>
            </w:r>
          </w:p>
        </w:tc>
        <w:tc>
          <w:tcPr/>
          <w:p>
            <w:pPr>
              <w:pStyle w:val="Compact"/>
            </w:pPr>
            <w:r>
              <w:t xml:space="preserve">360,000,000</w:t>
            </w:r>
          </w:p>
        </w:tc>
        <w:tc>
          <w:tcPr/>
          <w:p>
            <w:pPr>
              <w:pStyle w:val="Compact"/>
            </w:pPr>
            <w:r>
              <w:t xml:space="preserve">96,000</w:t>
            </w:r>
          </w:p>
        </w:tc>
      </w:tr>
      <w:tr>
        <w:tc>
          <w:tcPr/>
          <w:p>
            <w:pPr>
              <w:pStyle w:val="Compact"/>
            </w:pPr>
            <w:r>
              <w:t xml:space="preserve">PEPFAR implementing partners (facility count)</w:t>
            </w:r>
          </w:p>
        </w:tc>
        <w:tc>
          <w:tcPr/>
          <w:p>
            <w:pPr>
              <w:pStyle w:val="Compact"/>
            </w:pPr>
            <w:r>
              <w:t xml:space="preserve">200</w:t>
            </w:r>
          </w:p>
        </w:tc>
        <w:tc>
          <w:tcPr/>
          <w:p>
            <w:pPr>
              <w:pStyle w:val="Compact"/>
            </w:pPr>
            <w:r>
              <w:t xml:space="preserve">700,000 (Pro)</w:t>
            </w:r>
          </w:p>
        </w:tc>
        <w:tc>
          <w:tcPr/>
          <w:p>
            <w:pPr>
              <w:pStyle w:val="Compact"/>
            </w:pPr>
            <w:r>
              <w:t xml:space="preserve">1,680,000,000</w:t>
            </w:r>
          </w:p>
        </w:tc>
        <w:tc>
          <w:tcPr/>
          <w:p>
            <w:pPr>
              <w:pStyle w:val="Compact"/>
            </w:pPr>
            <w:r>
              <w:t xml:space="preserve">448,000</w:t>
            </w:r>
          </w:p>
        </w:tc>
      </w:tr>
      <w:tr>
        <w:tc>
          <w:tcPr/>
          <w:p>
            <w:pPr>
              <w:pStyle w:val="Compact"/>
            </w:pPr>
            <w:r>
              <w:t xml:space="preserve">TOTAL TAM (Uganda)</w:t>
            </w:r>
          </w:p>
        </w:tc>
        <w:tc>
          <w:tcPr/>
          <w:p>
            <w:pPr>
              <w:pStyle w:val="Compact"/>
            </w:pPr>
            <w:r>
              <w:t xml:space="preserve">~7,176</w:t>
            </w:r>
          </w:p>
        </w:tc>
        <w:tc>
          <w:tcPr/>
          <w:p>
            <w:pPr>
              <w:pStyle w:val="Compact"/>
            </w:pPr>
          </w:p>
        </w:tc>
        <w:tc>
          <w:tcPr/>
          <w:p>
            <w:pPr>
              <w:pStyle w:val="Compact"/>
            </w:pPr>
            <w:r>
              <w:t xml:space="preserve">22,740,000,000</w:t>
            </w:r>
          </w:p>
        </w:tc>
        <w:tc>
          <w:tcPr/>
          <w:p>
            <w:pPr>
              <w:pStyle w:val="Compact"/>
            </w:pPr>
            <w:r>
              <w:t xml:space="preserve">~6,064,000</w:t>
            </w:r>
          </w:p>
        </w:tc>
      </w:tr>
    </w:tbl>
    <w:p>
      <w:pPr>
        <w:pStyle w:val="BodyText"/>
      </w:pPr>
      <w:r>
        <w:t xml:space="preserve">Uganda TAM: approximately UGX 22.7 billion (USD 6.1 million) per year. The private clinic segment alone (4,000 facilities) represents UGX 7.2 billion (USD 1.9 million) per year — with ClinicMaster's installed base of 200+ facilities representing less than 5% penetration.</w:t>
      </w:r>
    </w:p>
    <w:bookmarkEnd w:id="35"/>
    <w:bookmarkStart w:id="36" w:name="Xf9538628defdca7344bd3bb5147668d6b0afea9"/>
    <w:p>
      <w:pPr>
        <w:pStyle w:val="Heading3"/>
      </w:pPr>
      <w:r>
        <w:t xml:space="preserve">3.1.2 Serviceable Addressable Market (SAM)</w:t>
      </w:r>
    </w:p>
    <w:p>
      <w:pPr>
        <w:pStyle w:val="FirstParagraph"/>
      </w:pPr>
      <w:r>
        <w:t xml:space="preserve">SAM filters the TAM to segments Medic8 can realistically serve within 3 years, given the product roadmap and sales capacity. This excludes national referral hospitals (Phase 4+ target requiring enterprise sales cycles) and limits government facilities to those with internet access and digital readiness.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SAM Facilities</w:t>
            </w:r>
          </w:p>
        </w:tc>
        <w:tc>
          <w:tcPr/>
          <w:p>
            <w:pPr>
              <w:pStyle w:val="Compact"/>
            </w:pPr>
            <w:r>
              <w:t xml:space="preserve">Annual Revenue (UGX)</w:t>
            </w:r>
          </w:p>
        </w:tc>
        <w:tc>
          <w:tcPr/>
          <w:p>
            <w:pPr>
              <w:pStyle w:val="Compact"/>
            </w:pPr>
            <w:r>
              <w:t xml:space="preserve">Annual Revenue (USD)</w:t>
            </w:r>
          </w:p>
        </w:tc>
      </w:tr>
      <w:tr>
        <w:tc>
          <w:tcPr/>
          <w:p>
            <w:pPr>
              <w:pStyle w:val="Compact"/>
            </w:pPr>
            <w:r>
              <w:t xml:space="preserve">Private clinics (urban + peri-urban)</w:t>
            </w:r>
          </w:p>
        </w:tc>
        <w:tc>
          <w:tcPr/>
          <w:p>
            <w:pPr>
              <w:pStyle w:val="Compact"/>
            </w:pPr>
            <w:r>
              <w:t xml:space="preserve">1,500</w:t>
            </w:r>
          </w:p>
        </w:tc>
        <w:tc>
          <w:tcPr/>
          <w:p>
            <w:pPr>
              <w:pStyle w:val="Compact"/>
            </w:pPr>
            <w:r>
              <w:t xml:space="preserve">2,700,000,000</w:t>
            </w:r>
          </w:p>
        </w:tc>
        <w:tc>
          <w:tcPr/>
          <w:p>
            <w:pPr>
              <w:pStyle w:val="Compact"/>
            </w:pPr>
            <w:r>
              <w:t xml:space="preserve">720,000</w:t>
            </w:r>
          </w:p>
        </w:tc>
      </w:tr>
      <w:tr>
        <w:tc>
          <w:tcPr/>
          <w:p>
            <w:pPr>
              <w:pStyle w:val="Compact"/>
            </w:pPr>
            <w:r>
              <w:t xml:space="preserve">Government facilities (HC IV + General Hospitals)</w:t>
            </w:r>
          </w:p>
        </w:tc>
        <w:tc>
          <w:tcPr/>
          <w:p>
            <w:pPr>
              <w:pStyle w:val="Compact"/>
            </w:pPr>
            <w:r>
              <w:t xml:space="preserve">300</w:t>
            </w:r>
          </w:p>
        </w:tc>
        <w:tc>
          <w:tcPr/>
          <w:p>
            <w:pPr>
              <w:pStyle w:val="Compact"/>
            </w:pPr>
            <w:r>
              <w:t xml:space="preserve">1,260,000,000</w:t>
            </w:r>
          </w:p>
        </w:tc>
        <w:tc>
          <w:tcPr/>
          <w:p>
            <w:pPr>
              <w:pStyle w:val="Compact"/>
            </w:pPr>
            <w:r>
              <w:t xml:space="preserve">336,000</w:t>
            </w:r>
          </w:p>
        </w:tc>
      </w:tr>
      <w:tr>
        <w:tc>
          <w:tcPr/>
          <w:p>
            <w:pPr>
              <w:pStyle w:val="Compact"/>
            </w:pPr>
            <w:r>
              <w:t xml:space="preserve">Mission / NGO hospitals</w:t>
            </w:r>
          </w:p>
        </w:tc>
        <w:tc>
          <w:tcPr/>
          <w:p>
            <w:pPr>
              <w:pStyle w:val="Compact"/>
            </w:pPr>
            <w:r>
              <w:t xml:space="preserve">100</w:t>
            </w:r>
          </w:p>
        </w:tc>
        <w:tc>
          <w:tcPr/>
          <w:p>
            <w:pPr>
              <w:pStyle w:val="Compact"/>
            </w:pPr>
            <w:r>
              <w:t xml:space="preserve">840,000,000</w:t>
            </w:r>
          </w:p>
        </w:tc>
        <w:tc>
          <w:tcPr/>
          <w:p>
            <w:pPr>
              <w:pStyle w:val="Compact"/>
            </w:pPr>
            <w:r>
              <w:t xml:space="preserve">224,000</w:t>
            </w:r>
          </w:p>
        </w:tc>
      </w:tr>
      <w:tr>
        <w:tc>
          <w:tcPr/>
          <w:p>
            <w:pPr>
              <w:pStyle w:val="Compact"/>
            </w:pPr>
            <w:r>
              <w:t xml:space="preserve">PEPFAR implementing partners</w:t>
            </w:r>
          </w:p>
        </w:tc>
        <w:tc>
          <w:tcPr/>
          <w:p>
            <w:pPr>
              <w:pStyle w:val="Compact"/>
            </w:pPr>
            <w:r>
              <w:t xml:space="preserve">100</w:t>
            </w:r>
          </w:p>
        </w:tc>
        <w:tc>
          <w:tcPr/>
          <w:p>
            <w:pPr>
              <w:pStyle w:val="Compact"/>
            </w:pPr>
            <w:r>
              <w:t xml:space="preserve">840,000,000</w:t>
            </w:r>
          </w:p>
        </w:tc>
        <w:tc>
          <w:tcPr/>
          <w:p>
            <w:pPr>
              <w:pStyle w:val="Compact"/>
            </w:pPr>
            <w:r>
              <w:t xml:space="preserve">224,000</w:t>
            </w:r>
          </w:p>
        </w:tc>
      </w:tr>
      <w:tr>
        <w:tc>
          <w:tcPr/>
          <w:p>
            <w:pPr>
              <w:pStyle w:val="Compact"/>
            </w:pPr>
            <w:r>
              <w:t xml:space="preserve">Multi-facility networks</w:t>
            </w:r>
          </w:p>
        </w:tc>
        <w:tc>
          <w:tcPr/>
          <w:p>
            <w:pPr>
              <w:pStyle w:val="Compact"/>
            </w:pPr>
            <w:r>
              <w:t xml:space="preserve">10</w:t>
            </w:r>
          </w:p>
        </w:tc>
        <w:tc>
          <w:tcPr/>
          <w:p>
            <w:pPr>
              <w:pStyle w:val="Compact"/>
            </w:pPr>
            <w:r>
              <w:t xml:space="preserve">240,000,000</w:t>
            </w:r>
          </w:p>
        </w:tc>
        <w:tc>
          <w:tcPr/>
          <w:p>
            <w:pPr>
              <w:pStyle w:val="Compact"/>
            </w:pPr>
            <w:r>
              <w:t xml:space="preserve">64,000</w:t>
            </w:r>
          </w:p>
        </w:tc>
      </w:tr>
      <w:tr>
        <w:tc>
          <w:tcPr/>
          <w:p>
            <w:pPr>
              <w:pStyle w:val="Compact"/>
            </w:pPr>
            <w:r>
              <w:t xml:space="preserve">TOTAL SAM (Uganda)</w:t>
            </w:r>
          </w:p>
        </w:tc>
        <w:tc>
          <w:tcPr/>
          <w:p>
            <w:pPr>
              <w:pStyle w:val="Compact"/>
            </w:pPr>
            <w:r>
              <w:t xml:space="preserve">~2,010</w:t>
            </w:r>
          </w:p>
        </w:tc>
        <w:tc>
          <w:tcPr/>
          <w:p>
            <w:pPr>
              <w:pStyle w:val="Compact"/>
            </w:pPr>
            <w:r>
              <w:t xml:space="preserve">5,880,000,000</w:t>
            </w:r>
          </w:p>
        </w:tc>
        <w:tc>
          <w:tcPr/>
          <w:p>
            <w:pPr>
              <w:pStyle w:val="Compact"/>
            </w:pPr>
            <w:r>
              <w:t xml:space="preserve">~1,568,000</w:t>
            </w:r>
          </w:p>
        </w:tc>
      </w:tr>
    </w:tbl>
    <w:p>
      <w:pPr>
        <w:pStyle w:val="BodyText"/>
      </w:pPr>
      <w:r>
        <w:t xml:space="preserve">Uganda SAM: approximately UGX 5.9 billion (USD 1.6 million) per year.</w:t>
      </w:r>
    </w:p>
    <w:bookmarkEnd w:id="36"/>
    <w:bookmarkStart w:id="37" w:name="X6cbe73dfdf4146ab1d17c93b1004ec89bf920d7"/>
    <w:p>
      <w:pPr>
        <w:pStyle w:val="Heading3"/>
      </w:pPr>
      <w:r>
        <w:t xml:space="preserve">3.1.3 Serviceable Obtainable Market (SOM) — 24-Month Target</w:t>
      </w:r>
    </w:p>
    <w:p>
      <w:pPr>
        <w:pStyle w:val="FirstParagraph"/>
      </w:pPr>
      <w:r>
        <w:t xml:space="preserve">SOM represents the realistic acquisition target within the 24-month roadmap, accounting for solo-developer sales capacity and the phased product build.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Target Facilities</w:t>
            </w:r>
          </w:p>
        </w:tc>
        <w:tc>
          <w:tcPr/>
          <w:p>
            <w:pPr>
              <w:pStyle w:val="Compact"/>
            </w:pPr>
            <w:r>
              <w:t xml:space="preserve">MRR (UGX)</w:t>
            </w:r>
          </w:p>
        </w:tc>
        <w:tc>
          <w:tcPr/>
          <w:p>
            <w:pPr>
              <w:pStyle w:val="Compact"/>
            </w:pPr>
            <w:r>
              <w:t xml:space="preserve">Annual Revenue (UGX)</w:t>
            </w:r>
          </w:p>
        </w:tc>
        <w:tc>
          <w:tcPr/>
          <w:p>
            <w:pPr>
              <w:pStyle w:val="Compact"/>
            </w:pPr>
            <w:r>
              <w:t xml:space="preserve">Annual Revenue (USD)</w:t>
            </w:r>
          </w:p>
        </w:tc>
      </w:tr>
      <w:tr>
        <w:tc>
          <w:tcPr/>
          <w:p>
            <w:pPr>
              <w:pStyle w:val="Compact"/>
            </w:pPr>
            <w:r>
              <w:t xml:space="preserve">Phase 1 (Month 6)</w:t>
            </w:r>
          </w:p>
        </w:tc>
        <w:tc>
          <w:tcPr/>
          <w:p>
            <w:pPr>
              <w:pStyle w:val="Compact"/>
            </w:pPr>
            <w:r>
              <w:t xml:space="preserve">10</w:t>
            </w:r>
          </w:p>
        </w:tc>
        <w:tc>
          <w:tcPr/>
          <w:p>
            <w:pPr>
              <w:pStyle w:val="Compact"/>
            </w:pPr>
            <w:r>
              <w:t xml:space="preserve">1,500,000</w:t>
            </w:r>
          </w:p>
        </w:tc>
        <w:tc>
          <w:tcPr/>
          <w:p>
            <w:pPr>
              <w:pStyle w:val="Compact"/>
            </w:pPr>
            <w:r>
              <w:t xml:space="preserve">18,000,000</w:t>
            </w:r>
          </w:p>
        </w:tc>
        <w:tc>
          <w:tcPr/>
          <w:p>
            <w:pPr>
              <w:pStyle w:val="Compact"/>
            </w:pPr>
            <w:r>
              <w:t xml:space="preserve">4,800</w:t>
            </w:r>
          </w:p>
        </w:tc>
      </w:tr>
      <w:tr>
        <w:tc>
          <w:tcPr/>
          <w:p>
            <w:pPr>
              <w:pStyle w:val="Compact"/>
            </w:pPr>
            <w:r>
              <w:t xml:space="preserve">Phase 2 (Month 12)</w:t>
            </w:r>
          </w:p>
        </w:tc>
        <w:tc>
          <w:tcPr/>
          <w:p>
            <w:pPr>
              <w:pStyle w:val="Compact"/>
            </w:pPr>
            <w:r>
              <w:t xml:space="preserve">50</w:t>
            </w:r>
          </w:p>
        </w:tc>
        <w:tc>
          <w:tcPr/>
          <w:p>
            <w:pPr>
              <w:pStyle w:val="Compact"/>
            </w:pPr>
            <w:r>
              <w:t xml:space="preserve">15,000,000</w:t>
            </w:r>
          </w:p>
        </w:tc>
        <w:tc>
          <w:tcPr/>
          <w:p>
            <w:pPr>
              <w:pStyle w:val="Compact"/>
            </w:pPr>
            <w:r>
              <w:t xml:space="preserve">180,000,000</w:t>
            </w:r>
          </w:p>
        </w:tc>
        <w:tc>
          <w:tcPr/>
          <w:p>
            <w:pPr>
              <w:pStyle w:val="Compact"/>
            </w:pPr>
            <w:r>
              <w:t xml:space="preserve">48,000</w:t>
            </w:r>
          </w:p>
        </w:tc>
      </w:tr>
      <w:tr>
        <w:tc>
          <w:tcPr/>
          <w:p>
            <w:pPr>
              <w:pStyle w:val="Compact"/>
            </w:pPr>
            <w:r>
              <w:t xml:space="preserve">Phase 3 (Month 18)</w:t>
            </w:r>
          </w:p>
        </w:tc>
        <w:tc>
          <w:tcPr/>
          <w:p>
            <w:pPr>
              <w:pStyle w:val="Compact"/>
            </w:pPr>
            <w:r>
              <w:t xml:space="preserve">80</w:t>
            </w:r>
          </w:p>
        </w:tc>
        <w:tc>
          <w:tcPr/>
          <w:p>
            <w:pPr>
              <w:pStyle w:val="Compact"/>
            </w:pPr>
            <w:r>
              <w:t xml:space="preserve">40,000,000</w:t>
            </w:r>
          </w:p>
        </w:tc>
        <w:tc>
          <w:tcPr/>
          <w:p>
            <w:pPr>
              <w:pStyle w:val="Compact"/>
            </w:pPr>
            <w:r>
              <w:t xml:space="preserve">480,000,000</w:t>
            </w:r>
          </w:p>
        </w:tc>
        <w:tc>
          <w:tcPr/>
          <w:p>
            <w:pPr>
              <w:pStyle w:val="Compact"/>
            </w:pPr>
            <w:r>
              <w:t xml:space="preserve">128,000</w:t>
            </w:r>
          </w:p>
        </w:tc>
      </w:tr>
      <w:tr>
        <w:tc>
          <w:tcPr/>
          <w:p>
            <w:pPr>
              <w:pStyle w:val="Compact"/>
            </w:pPr>
            <w:r>
              <w:t xml:space="preserve">Phase 4 (Month 24)</w:t>
            </w:r>
          </w:p>
        </w:tc>
        <w:tc>
          <w:tcPr/>
          <w:p>
            <w:pPr>
              <w:pStyle w:val="Compact"/>
            </w:pPr>
            <w:r>
              <w:t xml:space="preserve">150</w:t>
            </w:r>
          </w:p>
        </w:tc>
        <w:tc>
          <w:tcPr/>
          <w:p>
            <w:pPr>
              <w:pStyle w:val="Compact"/>
            </w:pPr>
            <w:r>
              <w:t xml:space="preserve">100,000,000</w:t>
            </w:r>
          </w:p>
        </w:tc>
        <w:tc>
          <w:tcPr/>
          <w:p>
            <w:pPr>
              <w:pStyle w:val="Compact"/>
            </w:pPr>
            <w:r>
              <w:t xml:space="preserve">1,200,000,000</w:t>
            </w:r>
          </w:p>
        </w:tc>
        <w:tc>
          <w:tcPr/>
          <w:p>
            <w:pPr>
              <w:pStyle w:val="Compact"/>
            </w:pPr>
            <w:r>
              <w:t xml:space="preserve">320,000</w:t>
            </w:r>
          </w:p>
        </w:tc>
      </w:tr>
    </w:tbl>
    <w:p>
      <w:pPr>
        <w:pStyle w:val="BodyText"/>
      </w:pPr>
      <w:r>
        <w:t xml:space="preserve">24-month SOM: UGX 100M MRR (USD 320,000 annualised) from approximately 150 facilities.</w:t>
      </w:r>
    </w:p>
    <w:bookmarkEnd w:id="37"/>
    <w:bookmarkEnd w:id="38"/>
    <w:bookmarkStart w:id="39" w:name="X4f46b7495437f8d69b3a5aa6b19e65f61594697"/>
    <w:p>
      <w:pPr>
        <w:pStyle w:val="Heading2"/>
      </w:pPr>
      <w:r>
        <w:t xml:space="preserve">3.2 Francophone Africa Market</w:t>
      </w:r>
    </w:p>
    <w:p>
      <w:pPr>
        <w:pStyle w:val="FirstParagraph"/>
      </w:pPr>
      <w:r>
        <w:t xml:space="preserve">The French-language interface unlocks a market that is structurally inaccessible to English-only competitors. No commercial EHR with a complete, clinician-reviewed French interface currently operates in this market.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Country</w:t>
            </w:r>
          </w:p>
        </w:tc>
        <w:tc>
          <w:tcPr/>
          <w:p>
            <w:pPr>
              <w:pStyle w:val="Compact"/>
            </w:pPr>
            <w:r>
              <w:t xml:space="preserve">Registered Facilities</w:t>
            </w:r>
          </w:p>
        </w:tc>
        <w:tc>
          <w:tcPr/>
          <w:p>
            <w:pPr>
              <w:pStyle w:val="Compact"/>
            </w:pPr>
            <w:r>
              <w:t xml:space="preserve">Population</w:t>
            </w:r>
          </w:p>
        </w:tc>
        <w:tc>
          <w:tcPr/>
          <w:p>
            <w:pPr>
              <w:pStyle w:val="Compact"/>
            </w:pPr>
            <w:r>
              <w:t xml:space="preserve">Entry Phase</w:t>
            </w:r>
          </w:p>
        </w:tc>
        <w:tc>
          <w:tcPr/>
          <w:p>
            <w:pPr>
              <w:pStyle w:val="Compact"/>
            </w:pPr>
            <w:r>
              <w:t xml:space="preserve">Key Driver</w:t>
            </w:r>
          </w:p>
        </w:tc>
      </w:tr>
      <w:tr>
        <w:tc>
          <w:tcPr/>
          <w:p>
            <w:pPr>
              <w:pStyle w:val="Compact"/>
            </w:pPr>
            <w:r>
              <w:t xml:space="preserve">DRC</w:t>
            </w:r>
          </w:p>
        </w:tc>
        <w:tc>
          <w:tcPr/>
          <w:p>
            <w:pPr>
              <w:pStyle w:val="Compact"/>
            </w:pPr>
            <w:r>
              <w:t xml:space="preserve">1,200+ (formal sector)</w:t>
            </w:r>
          </w:p>
        </w:tc>
        <w:tc>
          <w:tcPr/>
          <w:p>
            <w:pPr>
              <w:pStyle w:val="Compact"/>
            </w:pPr>
            <w:r>
              <w:t xml:space="preserve">100M+</w:t>
            </w:r>
          </w:p>
        </w:tc>
        <w:tc>
          <w:tcPr/>
          <w:p>
            <w:pPr>
              <w:pStyle w:val="Compact"/>
            </w:pPr>
            <w:r>
              <w:t xml:space="preserve">Phase 4</w:t>
            </w:r>
          </w:p>
        </w:tc>
        <w:tc>
          <w:tcPr/>
          <w:p>
            <w:pPr>
              <w:pStyle w:val="Compact"/>
            </w:pPr>
            <w:r>
              <w:t xml:space="preserve">Largest Francophone healthcare IT greenfield in Africa; significant donor-funded health infrastructure (PEPFAR, Global Fund, USAID)</w:t>
            </w:r>
          </w:p>
        </w:tc>
      </w:tr>
      <w:tr>
        <w:tc>
          <w:tcPr/>
          <w:p>
            <w:pPr>
              <w:pStyle w:val="Compact"/>
            </w:pPr>
            <w:r>
              <w:t xml:space="preserve">Rwanda</w:t>
            </w:r>
          </w:p>
        </w:tc>
        <w:tc>
          <w:tcPr/>
          <w:p>
            <w:pPr>
              <w:pStyle w:val="Compact"/>
            </w:pPr>
            <w:r>
              <w:t xml:space="preserve">1,500+</w:t>
            </w:r>
          </w:p>
        </w:tc>
        <w:tc>
          <w:tcPr/>
          <w:p>
            <w:pPr>
              <w:pStyle w:val="Compact"/>
            </w:pPr>
            <w:r>
              <w:t xml:space="preserve">14M</w:t>
            </w:r>
          </w:p>
        </w:tc>
        <w:tc>
          <w:tcPr/>
          <w:p>
            <w:pPr>
              <w:pStyle w:val="Compact"/>
            </w:pPr>
            <w:r>
              <w:t xml:space="preserve">Phase 3/4</w:t>
            </w:r>
          </w:p>
        </w:tc>
        <w:tc>
          <w:tcPr/>
          <w:p>
            <w:pPr>
              <w:pStyle w:val="Compact"/>
            </w:pPr>
            <w:r>
              <w:t xml:space="preserve">Actively digitising health sector; government-mandated Mutuelle de Santé insurance scheme; advanced national HMIS</w:t>
            </w:r>
          </w:p>
        </w:tc>
      </w:tr>
      <w:tr>
        <w:tc>
          <w:tcPr/>
          <w:p>
            <w:pPr>
              <w:pStyle w:val="Compact"/>
            </w:pPr>
            <w:r>
              <w:t xml:space="preserve">Cameroon</w:t>
            </w:r>
          </w:p>
        </w:tc>
        <w:tc>
          <w:tcPr/>
          <w:p>
            <w:pPr>
              <w:pStyle w:val="Compact"/>
            </w:pPr>
            <w:r>
              <w:t xml:space="preserve">3,000+</w:t>
            </w:r>
          </w:p>
        </w:tc>
        <w:tc>
          <w:tcPr/>
          <w:p>
            <w:pPr>
              <w:pStyle w:val="Compact"/>
            </w:pPr>
            <w:r>
              <w:t xml:space="preserve">28M</w:t>
            </w:r>
          </w:p>
        </w:tc>
        <w:tc>
          <w:tcPr/>
          <w:p>
            <w:pPr>
              <w:pStyle w:val="Compact"/>
            </w:pPr>
            <w:r>
              <w:t xml:space="preserve">Phase 4+</w:t>
            </w:r>
          </w:p>
        </w:tc>
        <w:tc>
          <w:tcPr/>
          <w:p>
            <w:pPr>
              <w:pStyle w:val="Compact"/>
            </w:pPr>
            <w:r>
              <w:t xml:space="preserve">French-English bilingual population; growing private clinic market</w:t>
            </w:r>
          </w:p>
        </w:tc>
      </w:tr>
      <w:tr>
        <w:tc>
          <w:tcPr/>
          <w:p>
            <w:pPr>
              <w:pStyle w:val="Compact"/>
            </w:pPr>
            <w:r>
              <w:t xml:space="preserve">Burundi</w:t>
            </w:r>
          </w:p>
        </w:tc>
        <w:tc>
          <w:tcPr/>
          <w:p>
            <w:pPr>
              <w:pStyle w:val="Compact"/>
            </w:pPr>
            <w:r>
              <w:t xml:space="preserve">800+</w:t>
            </w:r>
          </w:p>
        </w:tc>
        <w:tc>
          <w:tcPr/>
          <w:p>
            <w:pPr>
              <w:pStyle w:val="Compact"/>
            </w:pPr>
            <w:r>
              <w:t xml:space="preserve">13M</w:t>
            </w:r>
          </w:p>
        </w:tc>
        <w:tc>
          <w:tcPr/>
          <w:p>
            <w:pPr>
              <w:pStyle w:val="Compact"/>
            </w:pPr>
            <w:r>
              <w:t xml:space="preserve">Phase 4+</w:t>
            </w:r>
          </w:p>
        </w:tc>
        <w:tc>
          <w:tcPr/>
          <w:p>
            <w:pPr>
              <w:pStyle w:val="Compact"/>
            </w:pPr>
            <w:r>
              <w:t xml:space="preserve">French official language; early-stage health IT market; significant NGO presence</w:t>
            </w:r>
          </w:p>
        </w:tc>
      </w:tr>
    </w:tbl>
    <w:p>
      <w:pPr>
        <w:pStyle w:val="BodyText"/>
      </w:pPr>
      <w:r>
        <w:t xml:space="preserve">Combined Francophone market: 6,500+ health facilities where the French-language interface removes the primary adoption barrier. This market is directly unlocked by the i18n architecture built for Phase 1 — no additional infrastructure investment is required to enter these markets.</w:t>
      </w:r>
    </w:p>
    <w:p>
      <w:pPr>
        <w:pStyle w:val="BodyText"/>
      </w:pPr>
      <w:r>
        <w:t xml:space="preserve">DRC market note: DRC alone has 1,200+ registered health facilities and a population of 100M+. The healthcare sector is heavily donor-funded (PEPFAR, Global Fund, UNICEF, MSF), which provides a familiar sales motion for an EHR that offers PEPFAR MER indicators, donor fund accounting, and FHIR R4 API in a French-language interface.</w:t>
      </w:r>
    </w:p>
    <w:p>
      <w:pPr>
        <w:pStyle w:val="BodyText"/>
      </w:pPr>
      <w:r>
        <w:t xml:space="preserve">Rwanda market note: Rwanda has 1,500+ registered facilities and an actively digitising government health sector. The government-mandated Mutuelle de Santé community health insurance scheme creates a specific workflow requirement (insurance management) that Medic8 addresses. French is a co-official language alongside Kinyarwanda. The Rwandan health sector has demonstrated willingness to adopt digital tools that integrate with the national HMIS.</w:t>
      </w:r>
    </w:p>
    <w:bookmarkEnd w:id="39"/>
    <w:bookmarkStart w:id="40" w:name="Xa13f9f5a33051c4c1c51449b522bd12462bf278"/>
    <w:p>
      <w:pPr>
        <w:pStyle w:val="Heading2"/>
      </w:pPr>
      <w:r>
        <w:t xml:space="preserve">3.3 East Africa Expansion Multiplier</w:t>
      </w:r>
    </w:p>
    <w:p>
      <w:pPr>
        <w:pStyle w:val="FirstParagraph"/>
      </w:pPr>
      <w:r>
        <w:t xml:space="preserve">The country configuration layer enables expansion without forking the codebase. East African markets multiply the Uganda TAM significantly.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Estimated Facilities</w:t>
            </w:r>
          </w:p>
        </w:tc>
        <w:tc>
          <w:tcPr/>
          <w:p>
            <w:pPr>
              <w:pStyle w:val="Compact"/>
            </w:pPr>
            <w:r>
              <w:t xml:space="preserve">Entry Phase</w:t>
            </w:r>
          </w:p>
        </w:tc>
        <w:tc>
          <w:tcPr/>
          <w:p>
            <w:pPr>
              <w:pStyle w:val="Compact"/>
            </w:pPr>
            <w:r>
              <w:t xml:space="preserve">Multiplier vs Uganda TAM</w:t>
            </w:r>
          </w:p>
        </w:tc>
      </w:tr>
      <w:tr>
        <w:tc>
          <w:tcPr/>
          <w:p>
            <w:pPr>
              <w:pStyle w:val="Compact"/>
            </w:pPr>
            <w:r>
              <w:t xml:space="preserve">Kenya</w:t>
            </w:r>
          </w:p>
        </w:tc>
        <w:tc>
          <w:tcPr/>
          <w:p>
            <w:pPr>
              <w:pStyle w:val="Compact"/>
            </w:pPr>
            <w:r>
              <w:t xml:space="preserve">12,000+</w:t>
            </w:r>
          </w:p>
        </w:tc>
        <w:tc>
          <w:tcPr/>
          <w:p>
            <w:pPr>
              <w:pStyle w:val="Compact"/>
            </w:pPr>
            <w:r>
              <w:t xml:space="preserve">Phase 3</w:t>
            </w:r>
          </w:p>
        </w:tc>
        <w:tc>
          <w:tcPr/>
          <w:p>
            <w:pPr>
              <w:pStyle w:val="Compact"/>
            </w:pPr>
            <w:r>
              <w:t xml:space="preserve">2.0x</w:t>
            </w:r>
          </w:p>
        </w:tc>
      </w:tr>
      <w:tr>
        <w:tc>
          <w:tcPr/>
          <w:p>
            <w:pPr>
              <w:pStyle w:val="Compact"/>
            </w:pPr>
            <w:r>
              <w:t xml:space="preserve">Tanzania</w:t>
            </w:r>
          </w:p>
        </w:tc>
        <w:tc>
          <w:tcPr/>
          <w:p>
            <w:pPr>
              <w:pStyle w:val="Compact"/>
            </w:pPr>
            <w:r>
              <w:t xml:space="preserve">8,000+</w:t>
            </w:r>
          </w:p>
        </w:tc>
        <w:tc>
          <w:tcPr/>
          <w:p>
            <w:pPr>
              <w:pStyle w:val="Compact"/>
            </w:pPr>
            <w:r>
              <w:t xml:space="preserve">Phase 3</w:t>
            </w:r>
          </w:p>
        </w:tc>
        <w:tc>
          <w:tcPr/>
          <w:p>
            <w:pPr>
              <w:pStyle w:val="Compact"/>
            </w:pPr>
            <w:r>
              <w:t xml:space="preserve">1.3x</w:t>
            </w:r>
          </w:p>
        </w:tc>
      </w:tr>
      <w:tr>
        <w:tc>
          <w:tcPr/>
          <w:p>
            <w:pPr>
              <w:pStyle w:val="Compact"/>
            </w:pPr>
            <w:r>
              <w:t xml:space="preserve">Rwanda</w:t>
            </w:r>
          </w:p>
        </w:tc>
        <w:tc>
          <w:tcPr/>
          <w:p>
            <w:pPr>
              <w:pStyle w:val="Compact"/>
            </w:pPr>
            <w:r>
              <w:t xml:space="preserve">1,500+</w:t>
            </w:r>
          </w:p>
        </w:tc>
        <w:tc>
          <w:tcPr/>
          <w:p>
            <w:pPr>
              <w:pStyle w:val="Compact"/>
            </w:pPr>
            <w:r>
              <w:t xml:space="preserve">Phase 3/4</w:t>
            </w:r>
          </w:p>
        </w:tc>
        <w:tc>
          <w:tcPr/>
          <w:p>
            <w:pPr>
              <w:pStyle w:val="Compact"/>
            </w:pPr>
            <w:r>
              <w:t xml:space="preserve">0.25x</w:t>
            </w:r>
          </w:p>
        </w:tc>
      </w:tr>
      <w:tr>
        <w:tc>
          <w:tcPr/>
          <w:p>
            <w:pPr>
              <w:pStyle w:val="Compact"/>
            </w:pPr>
            <w:r>
              <w:t xml:space="preserve">DRC</w:t>
            </w:r>
          </w:p>
        </w:tc>
        <w:tc>
          <w:tcPr/>
          <w:p>
            <w:pPr>
              <w:pStyle w:val="Compact"/>
            </w:pPr>
            <w:r>
              <w:t xml:space="preserve">4,000+ (formal sector)</w:t>
            </w:r>
          </w:p>
        </w:tc>
        <w:tc>
          <w:tcPr/>
          <w:p>
            <w:pPr>
              <w:pStyle w:val="Compact"/>
            </w:pPr>
            <w:r>
              <w:t xml:space="preserve">Phase 4</w:t>
            </w:r>
          </w:p>
        </w:tc>
        <w:tc>
          <w:tcPr/>
          <w:p>
            <w:pPr>
              <w:pStyle w:val="Compact"/>
            </w:pPr>
            <w:r>
              <w:t xml:space="preserve">0.7x</w:t>
            </w:r>
          </w:p>
        </w:tc>
      </w:tr>
      <w:tr>
        <w:tc>
          <w:tcPr/>
          <w:p>
            <w:pPr>
              <w:pStyle w:val="Compact"/>
            </w:pPr>
            <w:r>
              <w:t xml:space="preserve">Nigeria</w:t>
            </w:r>
          </w:p>
        </w:tc>
        <w:tc>
          <w:tcPr/>
          <w:p>
            <w:pPr>
              <w:pStyle w:val="Compact"/>
            </w:pPr>
            <w:r>
              <w:t xml:space="preserve">30,000+</w:t>
            </w:r>
          </w:p>
        </w:tc>
        <w:tc>
          <w:tcPr/>
          <w:p>
            <w:pPr>
              <w:pStyle w:val="Compact"/>
            </w:pPr>
            <w:r>
              <w:t xml:space="preserve">Phase 4</w:t>
            </w:r>
          </w:p>
        </w:tc>
        <w:tc>
          <w:tcPr/>
          <w:p>
            <w:pPr>
              <w:pStyle w:val="Compact"/>
            </w:pPr>
            <w:r>
              <w:t xml:space="preserve">5.0x</w:t>
            </w:r>
          </w:p>
        </w:tc>
      </w:tr>
    </w:tbl>
    <w:p>
      <w:pPr>
        <w:pStyle w:val="BodyText"/>
      </w:pPr>
      <w:r>
        <w:t xml:space="preserve">East Africa (Kenya + Tanzania + Rwanda) TAM multiplier: approximately 3.5x the Uganda TAM, bringing the regional TAM to approximately USD 19.5 million per year. With Francophone Africa added (DRC + Cameroon + Burundi), the total addressable region exceeds USD 25 million per year.</w:t>
      </w:r>
    </w:p>
    <w:bookmarkEnd w:id="40"/>
    <w:bookmarkStart w:id="41" w:name="Xa1666e68518bf6f7fe08f358f9207904484bda9"/>
    <w:p>
      <w:pPr>
        <w:pStyle w:val="Heading2"/>
      </w:pPr>
      <w:r>
        <w:t xml:space="preserve">3.4 Global AI in Healthcare Market</w:t>
      </w:r>
    </w:p>
    <w:p>
      <w:pPr>
        <w:pStyle w:val="FirstParagraph"/>
      </w:pPr>
      <w:r>
        <w:t xml:space="preserve">The global generative AI in healthcare market is projected to exceed USD 45 billion by 2030, with a compound annual growth rate exceeding 40% from 2024. The primary growth drivers are clinical documentation automation, revenue cycle management AI, and clinical decision support.</w:t>
      </w:r>
    </w:p>
    <w:p>
      <w:pPr>
        <w:pStyle w:val="BodyText"/>
      </w:pPr>
      <w:r>
        <w:t xml:space="preserve">East Africa positioning within this trend:</w:t>
      </w:r>
    </w:p>
    <w:p>
      <w:pPr>
        <w:pStyle w:val="Compact"/>
        <w:numPr>
          <w:ilvl w:val="0"/>
          <w:numId w:val="1010"/>
        </w:numPr>
      </w:pPr>
      <w:r>
        <w:t xml:space="preserve">The generative AI adoption wave in clinical documentation began in 2023 in North America and Europe. East Africa is 2-3 years behind this curve — the adoption window is open.</w:t>
      </w:r>
    </w:p>
    <w:p>
      <w:pPr>
        <w:pStyle w:val="Compact"/>
        <w:numPr>
          <w:ilvl w:val="0"/>
          <w:numId w:val="1010"/>
        </w:numPr>
      </w:pPr>
      <w:r>
        <w:t xml:space="preserve">Facilities that adopt AI-assisted documentation early establish workflow efficiency advantages (15-20 minutes per clinician per day recovered from documentation) and accumulate structured clinical data that supports population health analytics over time.</w:t>
      </w:r>
    </w:p>
    <w:p>
      <w:pPr>
        <w:pStyle w:val="Compact"/>
        <w:numPr>
          <w:ilvl w:val="0"/>
          <w:numId w:val="1010"/>
        </w:numPr>
      </w:pPr>
      <w:r>
        <w:t xml:space="preserve">AI claim scrubbing, which predicts insurance rejection before submission, is an immediately monetisable capability. Every rejected insurance claim costs a facility in delayed reimbursement and administrative rework. A 20% reduction in first-submission rejection rate is a direct revenue improvement.</w:t>
      </w:r>
    </w:p>
    <w:p>
      <w:pPr>
        <w:pStyle w:val="Compact"/>
        <w:numPr>
          <w:ilvl w:val="0"/>
          <w:numId w:val="1010"/>
        </w:numPr>
      </w:pPr>
      <w:r>
        <w:t xml:space="preserve">No competitor in the East Africa market currently offers clinician-facing generative AI at the point of care. The early-mover window is structurally limited: once one EHR establishes AI credibility in this market, switching costs make displacement difficult.</w:t>
      </w:r>
    </w:p>
    <w:p>
      <w:pPr>
        <w:pStyle w:val="FirstParagraph"/>
      </w:pPr>
      <w:r>
        <w:t xml:space="preserve">Medic8's AI Intelligence module is positioned as a standalone credit pack or flat fee add-on — not bundled into a premium tier — so any facility can activate it regardless of clinical subscription tier. This maximises adoption velocity.</w:t>
      </w:r>
    </w:p>
    <w:bookmarkEnd w:id="41"/>
    <w:bookmarkStart w:id="42" w:name="Xc65f43150f901003cddf6dde752e105834aa0e3"/>
    <w:p>
      <w:pPr>
        <w:pStyle w:val="Heading2"/>
      </w:pPr>
      <w:r>
        <w:t xml:space="preserve">3.5 Future Markets: India and Australia</w:t>
      </w:r>
    </w:p>
    <w:p>
      <w:pPr>
        <w:pStyle w:val="Compact"/>
        <w:numPr>
          <w:ilvl w:val="0"/>
          <w:numId w:val="1011"/>
        </w:numPr>
      </w:pPr>
      <w:r>
        <w:t xml:space="preserve">India: Over 70,000 private hospitals and 30,000+ primary health centres. The private hospital chain segment alone (500-bed+ networks) represents a multi-billion dollar HIS market. Medic8 targets mid-tier private hospital chains in Phase 4 via the country configuration layer. ABDM (Ayushman Bharat Digital Mission) ABHA health ID integration is a market entry requirement.</w:t>
      </w:r>
    </w:p>
    <w:p>
      <w:pPr>
        <w:pStyle w:val="Compact"/>
        <w:numPr>
          <w:ilvl w:val="0"/>
          <w:numId w:val="1011"/>
        </w:numPr>
      </w:pPr>
      <w:r>
        <w:t xml:space="preserve">Australia: High-compliance, high-ARPU market for specialist clinics and allied health. Medicare Number integration and My Health Record connectivity are required. Smaller facility count but significantly higher per-facility revenue (AUD 500-2,000/month).</w:t>
      </w:r>
    </w:p>
    <w:bookmarkEnd w:id="42"/>
    <w:bookmarkStart w:id="43" w:name="Xc3d019a22a0fbbe1e54c6cdca5a32187899c23c"/>
    <w:p>
      <w:pPr>
        <w:pStyle w:val="Heading2"/>
      </w:pPr>
      <w:r>
        <w:t xml:space="preserve">3.6 TCO Competitive Advantage</w:t>
      </w:r>
    </w:p>
    <w:p>
      <w:pPr>
        <w:pStyle w:val="FirstParagraph"/>
      </w:pPr>
      <w:r>
        <w:t xml:space="preserve">The TCO comparison against OpenMRS is the primary migration pitch for PEPFAR-funded facilities and mission hospitals.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Cost Category</w:t>
            </w:r>
          </w:p>
        </w:tc>
        <w:tc>
          <w:tcPr/>
          <w:p>
            <w:pPr>
              <w:pStyle w:val="Compact"/>
            </w:pPr>
            <w:r>
              <w:t xml:space="preserve">OpenMRS (3-Year)</w:t>
            </w:r>
          </w:p>
        </w:tc>
        <w:tc>
          <w:tcPr/>
          <w:p>
            <w:pPr>
              <w:pStyle w:val="Compact"/>
            </w:pPr>
            <w:r>
              <w:t xml:space="preserve">Medic8 (3-Year)</w:t>
            </w:r>
          </w:p>
        </w:tc>
        <w:tc>
          <w:tcPr/>
          <w:p>
            <w:pPr>
              <w:pStyle w:val="Compact"/>
            </w:pPr>
            <w:r>
              <w:t xml:space="preserve">Medic8 Advantage</w:t>
            </w:r>
          </w:p>
        </w:tc>
      </w:tr>
      <w:tr>
        <w:tc>
          <w:tcPr/>
          <w:p>
            <w:pPr>
              <w:pStyle w:val="Compact"/>
            </w:pPr>
            <w:r>
              <w:t xml:space="preserve">Software licence</w:t>
            </w:r>
          </w:p>
        </w:tc>
        <w:tc>
          <w:tcPr/>
          <w:p>
            <w:pPr>
              <w:pStyle w:val="Compact"/>
            </w:pPr>
            <w:r>
              <w:t xml:space="preserve">$0</w:t>
            </w:r>
          </w:p>
        </w:tc>
        <w:tc>
          <w:tcPr/>
          <w:p>
            <w:pPr>
              <w:pStyle w:val="Compact"/>
            </w:pPr>
            <m:oMath>
              <m:r>
                <m:t>3</m:t>
              </m:r>
              <m:r>
                <m:rPr>
                  <m:sty m:val="p"/>
                </m:rPr>
                <m:t>,</m:t>
              </m:r>
              <m:r>
                <m:t>150</m:t>
              </m:r>
              <m:r>
                <m:rPr>
                  <m:sty m:val="p"/>
                </m:rPr>
                <m:t>−</m:t>
              </m:r>
            </m:oMath>
            <w:r>
              <w:t xml:space="preserve">23,700</w:t>
            </w:r>
          </w:p>
        </w:tc>
        <w:tc>
          <w:tcPr/>
          <w:p>
            <w:pPr>
              <w:pStyle w:val="Compact"/>
            </w:pPr>
            <w:r>
              <w:t xml:space="preserve">—</w:t>
            </w:r>
          </w:p>
        </w:tc>
      </w:tr>
      <w:tr>
        <w:tc>
          <w:tcPr/>
          <w:p>
            <w:pPr>
              <w:pStyle w:val="Compact"/>
            </w:pPr>
            <w:r>
              <w:t xml:space="preserve">Server/infrastructure</w:t>
            </w:r>
          </w:p>
        </w:tc>
        <w:tc>
          <w:tcPr/>
          <w:p>
            <w:pPr>
              <w:pStyle w:val="Compact"/>
            </w:pPr>
            <m:oMath>
              <m:r>
                <m:t>1</m:t>
              </m:r>
              <m:r>
                <m:rPr>
                  <m:sty m:val="p"/>
                </m:rPr>
                <m:t>,</m:t>
              </m:r>
              <m:r>
                <m:t>800</m:t>
              </m:r>
              <m:r>
                <m:rPr>
                  <m:sty m:val="p"/>
                </m:rPr>
                <m:t>−</m:t>
              </m:r>
            </m:oMath>
            <w:r>
              <w:t xml:space="preserve">6,000</w:t>
            </w:r>
          </w:p>
        </w:tc>
        <w:tc>
          <w:tcPr/>
          <w:p>
            <w:pPr>
              <w:pStyle w:val="Compact"/>
            </w:pPr>
            <w:r>
              <w:t xml:space="preserve">Included</w:t>
            </w:r>
          </w:p>
        </w:tc>
        <w:tc>
          <w:tcPr/>
          <w:p>
            <w:pPr>
              <w:pStyle w:val="Compact"/>
            </w:pPr>
            <m:oMath>
              <m:r>
                <m:t>1</m:t>
              </m:r>
              <m:r>
                <m:rPr>
                  <m:sty m:val="p"/>
                </m:rPr>
                <m:t>,</m:t>
              </m:r>
              <m:r>
                <m:t>800</m:t>
              </m:r>
              <m:r>
                <m:rPr>
                  <m:sty m:val="p"/>
                </m:rPr>
                <m:t>−</m:t>
              </m:r>
            </m:oMath>
            <w:r>
              <w:t xml:space="preserve">6,000 saved</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c>
          <w:tcPr/>
          <w:p>
            <w:pPr>
              <w:pStyle w:val="Compact"/>
            </w:pPr>
            <m:oMath>
              <m:r>
                <m:t>0</m:t>
              </m:r>
              <m:r>
                <m:rPr>
                  <m:sty m:val="p"/>
                </m:rPr>
                <m:t>−</m:t>
              </m:r>
            </m:oMath>
            <w:r>
              <w:t xml:space="preserve">1,500</w:t>
            </w:r>
          </w:p>
        </w:tc>
        <w:tc>
          <w:tcPr/>
          <w:p>
            <w:pPr>
              <w:pStyle w:val="Compact"/>
            </w:pPr>
            <m:oMath>
              <m:r>
                <m:t>8</m:t>
              </m:r>
              <m:r>
                <m:rPr>
                  <m:sty m:val="p"/>
                </m:rPr>
                <m:t>,</m:t>
              </m:r>
              <m:r>
                <m:t>500</m:t>
              </m:r>
              <m:r>
                <m:rPr>
                  <m:sty m:val="p"/>
                </m:rPr>
                <m:t>−</m:t>
              </m:r>
            </m:oMath>
            <w:r>
              <w:t xml:space="preserve">48,500 saved</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c>
          <w:tcPr/>
          <w:p>
            <w:pPr>
              <w:pStyle w:val="Compact"/>
            </w:pPr>
            <w:r>
              <w:t xml:space="preserve">Included</w:t>
            </w:r>
          </w:p>
        </w:tc>
        <w:tc>
          <w:tcPr/>
          <w:p>
            <w:pPr>
              <w:pStyle w:val="Compact"/>
            </w:pPr>
            <m:oMath>
              <m:r>
                <m:t>15</m:t>
              </m:r>
              <m:r>
                <m:rPr>
                  <m:sty m:val="p"/>
                </m:rPr>
                <m:t>,</m:t>
              </m:r>
              <m:r>
                <m:t>000</m:t>
              </m:r>
              <m:r>
                <m:rPr>
                  <m:sty m:val="p"/>
                </m:rPr>
                <m:t>−</m:t>
              </m:r>
            </m:oMath>
            <w:r>
              <w:t xml:space="preserve">60,000 saved</w:t>
            </w:r>
          </w:p>
        </w:tc>
      </w:tr>
      <w:tr>
        <w:tc>
          <w:tcPr/>
          <w:p>
            <w:pPr>
              <w:pStyle w:val="Compact"/>
            </w:pPr>
            <w:r>
              <w:t xml:space="preserve">Billing system</w:t>
            </w:r>
          </w:p>
        </w:tc>
        <w:tc>
          <w:tcPr/>
          <w:p>
            <w:pPr>
              <w:pStyle w:val="Compact"/>
            </w:pPr>
            <m:oMath>
              <m:r>
                <m:t>3</m:t>
              </m:r>
              <m:r>
                <m:rPr>
                  <m:sty m:val="p"/>
                </m:rPr>
                <m:t>,</m:t>
              </m:r>
              <m:r>
                <m:t>000</m:t>
              </m:r>
              <m:r>
                <m:rPr>
                  <m:sty m:val="p"/>
                </m:rPr>
                <m:t>−</m:t>
              </m:r>
            </m:oMath>
            <w:r>
              <w:t xml:space="preserve">15,000</w:t>
            </w:r>
          </w:p>
        </w:tc>
        <w:tc>
          <w:tcPr/>
          <w:p>
            <w:pPr>
              <w:pStyle w:val="Compact"/>
            </w:pPr>
            <w:r>
              <w:t xml:space="preserve">Included</w:t>
            </w:r>
          </w:p>
        </w:tc>
        <w:tc>
          <w:tcPr/>
          <w:p>
            <w:pPr>
              <w:pStyle w:val="Compact"/>
            </w:pPr>
            <m:oMath>
              <m:r>
                <m:t>3</m:t>
              </m:r>
              <m:r>
                <m:rPr>
                  <m:sty m:val="p"/>
                </m:rPr>
                <m:t>,</m:t>
              </m:r>
              <m:r>
                <m:t>000</m:t>
              </m:r>
              <m:r>
                <m:rPr>
                  <m:sty m:val="p"/>
                </m:rPr>
                <m:t>−</m:t>
              </m:r>
            </m:oMath>
            <w:r>
              <w:t xml:space="preserve">15,000 saved</w:t>
            </w:r>
          </w:p>
        </w:tc>
      </w:tr>
      <w:tr>
        <w:tc>
          <w:tcPr/>
          <w:p>
            <w:pPr>
              <w:pStyle w:val="Compact"/>
            </w:pPr>
            <w:r>
              <w:t xml:space="preserve">HR/Payroll</w:t>
            </w:r>
          </w:p>
        </w:tc>
        <w:tc>
          <w:tcPr/>
          <w:p>
            <w:pPr>
              <w:pStyle w:val="Compact"/>
            </w:pPr>
            <m:oMath>
              <m:r>
                <m:t>2</m:t>
              </m:r>
              <m:r>
                <m:rPr>
                  <m:sty m:val="p"/>
                </m:rPr>
                <m:t>,</m:t>
              </m:r>
              <m:r>
                <m:t>000</m:t>
              </m:r>
              <m:r>
                <m:rPr>
                  <m:sty m:val="p"/>
                </m:rPr>
                <m:t>−</m:t>
              </m:r>
            </m:oMath>
            <w:r>
              <w:t xml:space="preserve">8,000</w:t>
            </w:r>
          </w:p>
        </w:tc>
        <w:tc>
          <w:tcPr/>
          <w:p>
            <w:pPr>
              <w:pStyle w:val="Compact"/>
            </w:pPr>
            <w:r>
              <w:t xml:space="preserve">Included</w:t>
            </w:r>
          </w:p>
        </w:tc>
        <w:tc>
          <w:tcPr/>
          <w:p>
            <w:pPr>
              <w:pStyle w:val="Compact"/>
            </w:pPr>
            <m:oMath>
              <m:r>
                <m:t>2</m:t>
              </m:r>
              <m:r>
                <m:rPr>
                  <m:sty m:val="p"/>
                </m:rPr>
                <m:t>,</m:t>
              </m:r>
              <m:r>
                <m:t>000</m:t>
              </m:r>
              <m:r>
                <m:rPr>
                  <m:sty m:val="p"/>
                </m:rPr>
                <m:t>−</m:t>
              </m:r>
            </m:oMath>
            <w:r>
              <w:t xml:space="preserve">8,000 saved</w:t>
            </w:r>
          </w:p>
        </w:tc>
      </w:tr>
      <w:tr>
        <w:tc>
          <w:tcPr/>
          <w:p>
            <w:pPr>
              <w:pStyle w:val="Compact"/>
            </w:pPr>
            <w:r>
              <w:t xml:space="preserve">Insurance management</w:t>
            </w:r>
          </w:p>
        </w:tc>
        <w:tc>
          <w:tcPr/>
          <w:p>
            <w:pPr>
              <w:pStyle w:val="Compact"/>
            </w:pPr>
            <m:oMath>
              <m:r>
                <m:t>5</m:t>
              </m:r>
              <m:r>
                <m:rPr>
                  <m:sty m:val="p"/>
                </m:rPr>
                <m:t>,</m:t>
              </m:r>
              <m:r>
                <m:t>000</m:t>
              </m:r>
              <m:r>
                <m:rPr>
                  <m:sty m:val="p"/>
                </m:rPr>
                <m:t>−</m:t>
              </m:r>
            </m:oMath>
            <w:r>
              <w:t xml:space="preserve">25,000</w:t>
            </w:r>
          </w:p>
        </w:tc>
        <w:tc>
          <w:tcPr/>
          <w:p>
            <w:pPr>
              <w:pStyle w:val="Compact"/>
            </w:pPr>
            <w:r>
              <w:t xml:space="preserve">Included</w:t>
            </w:r>
          </w:p>
        </w:tc>
        <w:tc>
          <w:tcPr/>
          <w:p>
            <w:pPr>
              <w:pStyle w:val="Compact"/>
            </w:pPr>
            <m:oMath>
              <m:r>
                <m:t>5</m:t>
              </m:r>
              <m:r>
                <m:rPr>
                  <m:sty m:val="p"/>
                </m:rPr>
                <m:t>,</m:t>
              </m:r>
              <m:r>
                <m:t>000</m:t>
              </m:r>
              <m:r>
                <m:rPr>
                  <m:sty m:val="p"/>
                </m:rPr>
                <m:t>−</m:t>
              </m:r>
            </m:oMath>
            <w:r>
              <w:t xml:space="preserve">25,000 saved</w:t>
            </w:r>
          </w:p>
        </w:tc>
      </w:tr>
      <w:tr>
        <w:tc>
          <w:tcPr/>
          <w:p>
            <w:pPr>
              <w:pStyle w:val="Compact"/>
            </w:pPr>
            <w:r>
              <w:t xml:space="preserve">Training/support</w:t>
            </w:r>
          </w:p>
        </w:tc>
        <w:tc>
          <w:tcPr/>
          <w:p>
            <w:pPr>
              <w:pStyle w:val="Compact"/>
            </w:pPr>
            <m:oMath>
              <m:r>
                <m:t>6</m:t>
              </m:r>
              <m:r>
                <m:rPr>
                  <m:sty m:val="p"/>
                </m:rPr>
                <m:t>,</m:t>
              </m:r>
              <m:r>
                <m:t>000</m:t>
              </m:r>
              <m:r>
                <m:rPr>
                  <m:sty m:val="p"/>
                </m:rPr>
                <m:t>−</m:t>
              </m:r>
            </m:oMath>
            <w:r>
              <w:t xml:space="preserve">30,000</w:t>
            </w:r>
          </w:p>
        </w:tc>
        <w:tc>
          <w:tcPr/>
          <w:p>
            <w:pPr>
              <w:pStyle w:val="Compact"/>
            </w:pPr>
            <w:r>
              <w:t xml:space="preserve">Included</w:t>
            </w:r>
          </w:p>
        </w:tc>
        <w:tc>
          <w:tcPr/>
          <w:p>
            <w:pPr>
              <w:pStyle w:val="Compact"/>
            </w:pPr>
            <m:oMath>
              <m:r>
                <m:t>6</m:t>
              </m:r>
              <m:r>
                <m:rPr>
                  <m:sty m:val="p"/>
                </m:rPr>
                <m:t>,</m:t>
              </m:r>
              <m:r>
                <m:t>000</m:t>
              </m:r>
              <m:r>
                <m:rPr>
                  <m:sty m:val="p"/>
                </m:rPr>
                <m:t>−</m:t>
              </m:r>
            </m:oMath>
            <w:r>
              <w:t xml:space="preserve">30,000 saved</w:t>
            </w:r>
          </w:p>
        </w:tc>
      </w:tr>
      <w:tr>
        <w:tc>
          <w:tcPr/>
          <w:p>
            <w:pPr>
              <w:pStyle w:val="Compact"/>
            </w:pPr>
            <w:r>
              <w:t xml:space="preserve">AI Intelligence module</w:t>
            </w:r>
          </w:p>
        </w:tc>
        <w:tc>
          <w:tcPr/>
          <w:p>
            <w:pPr>
              <w:pStyle w:val="Compact"/>
            </w:pPr>
            <w:r>
              <w:t xml:space="preserve">Custom build</w:t>
            </w:r>
            <w:r>
              <w:t xml:space="preserve"> </w:t>
            </w:r>
            <m:oMath>
              <m:r>
                <m:t>5</m:t>
              </m:r>
              <m:r>
                <m:rPr>
                  <m:sty m:val="p"/>
                </m:rPr>
                <m:t>,</m:t>
              </m:r>
              <m:r>
                <m:t>000</m:t>
              </m:r>
              <m:r>
                <m:rPr>
                  <m:sty m:val="p"/>
                </m:rPr>
                <m:t>−</m:t>
              </m:r>
            </m:oMath>
            <w:r>
              <w:t xml:space="preserve">20,000</w:t>
            </w:r>
          </w:p>
        </w:tc>
        <w:tc>
          <w:tcPr/>
          <w:p>
            <w:pPr>
              <w:pStyle w:val="Compact"/>
            </w:pPr>
            <w:r>
              <w:t xml:space="preserve">Credit pack add-on</w:t>
            </w:r>
          </w:p>
        </w:tc>
        <w:tc>
          <w:tcPr/>
          <w:p>
            <w:pPr>
              <w:pStyle w:val="Compact"/>
            </w:pPr>
            <m:oMath>
              <m:r>
                <m:t>5</m:t>
              </m:r>
              <m:r>
                <m:rPr>
                  <m:sty m:val="p"/>
                </m:rPr>
                <m:t>,</m:t>
              </m:r>
              <m:r>
                <m:t>000</m:t>
              </m:r>
              <m:r>
                <m:rPr>
                  <m:sty m:val="p"/>
                </m:rPr>
                <m:t>−</m:t>
              </m:r>
            </m:oMath>
            <w:r>
              <w:t xml:space="preserve">20,000 saved</w:t>
            </w:r>
          </w:p>
        </w:tc>
      </w:tr>
      <w:tr>
        <w:tc>
          <w:tcPr/>
          <w:p>
            <w:pPr>
              <w:pStyle w:val="Compact"/>
            </w:pPr>
            <w:r>
              <w:t xml:space="preserve">TOTAL</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c>
          <w:tcPr/>
          <w:p>
            <w:pPr>
              <w:pStyle w:val="Compact"/>
            </w:pPr>
            <m:oMath>
              <m:r>
                <m:t>25</m:t>
              </m:r>
              <m:r>
                <m:rPr>
                  <m:sty m:val="p"/>
                </m:rPr>
                <m:t>,</m:t>
              </m:r>
              <m:r>
                <m:t>550</m:t>
              </m:r>
              <m:r>
                <m:rPr>
                  <m:sty m:val="p"/>
                </m:rPr>
                <m:t>−</m:t>
              </m:r>
            </m:oMath>
            <w:r>
              <w:t xml:space="preserve">58,900 saved</w:t>
            </w:r>
          </w:p>
        </w:tc>
      </w:tr>
    </w:tbl>
    <w:p>
      <w:pPr>
        <w:pStyle w:val="BodyText"/>
      </w:pPr>
      <w:r>
        <w:t xml:space="preserve">Medic8 saves the average facility USD 25,550-58,900 over 3 years compared to OpenMRS, while delivering billing, insurance, HR, payroll, mobile money, a patient app, AI Intelligence capabilities, and local Uganda-based support. The migration pitch: "OpenMRS is free to download and costs</w:t>
      </w:r>
      <w:r>
        <w:t xml:space="preserve"> </w:t>
      </w:r>
      <m:oMath>
        <m:r>
          <m:t>35</m:t>
        </m:r>
        <m:r>
          <m:rPr>
            <m:sty m:val="p"/>
          </m:rPr>
          <m:t>,</m:t>
        </m:r>
        <m:r>
          <m:t>000</m:t>
        </m:r>
        <m:r>
          <m:rPr>
            <m:sty m:val="p"/>
          </m:rPr>
          <m:t>−</m:t>
        </m:r>
      </m:oMath>
      <w:r>
        <w:t xml:space="preserve">130,000 to run. Medic8 costs</w:t>
      </w:r>
      <w:r>
        <w:t xml:space="preserve"> </w:t>
      </w:r>
      <m:oMath>
        <m:r>
          <m:t>9</m:t>
        </m:r>
        <m:r>
          <m:rPr>
            <m:sty m:val="p"/>
          </m:rPr>
          <m:t>,</m:t>
        </m:r>
        <m:r>
          <m:t>450</m:t>
        </m:r>
        <m:r>
          <m:rPr>
            <m:sty m:val="p"/>
          </m:rPr>
          <m:t>−</m:t>
        </m:r>
      </m:oMath>
      <w:r>
        <w:t xml:space="preserve">71,100 and includes everything OpenMRS requires you to build separately."</w:t>
      </w:r>
    </w:p>
    <w:bookmarkEnd w:id="43"/>
    <w:bookmarkEnd w:id="44"/>
    <w:bookmarkStart w:id="48" w:name="Xc1004696e119f54b768131cac07cddff1910c77"/>
    <w:p>
      <w:pPr>
        <w:pStyle w:val="Heading1"/>
      </w:pPr>
      <w:r>
        <w:t xml:space="preserve">4 Proposed Solution</w:t>
      </w:r>
    </w:p>
    <w:bookmarkStart w:id="45" w:name="X25d1139ed54b22d179177f7f673c106f51deeac"/>
    <w:p>
      <w:pPr>
        <w:pStyle w:val="Heading2"/>
      </w:pPr>
      <w:r>
        <w:t xml:space="preserve">4.1 High-Level Approach</w:t>
      </w:r>
    </w:p>
    <w:p>
      <w:pPr>
        <w:pStyle w:val="FirstParagraph"/>
      </w:pPr>
      <w:r>
        <w:t xml:space="preserve">Medic8 is a multi-tenant SaaS healthcare information management system that unifies clinical, administrative, and financial workflows in a single platform. The system shares its technology stack, architectural patterns, and infrastructure with Academia Pro (Chwezi Core Systems' school management platform), reducing development effort and operational costs through codebase reuse.</w:t>
      </w:r>
    </w:p>
    <w:p>
      <w:pPr>
        <w:pStyle w:val="BodyText"/>
      </w:pPr>
      <w:r>
        <w:rPr>
          <w:b/>
          <w:bCs/>
        </w:rPr>
        <w:t xml:space="preserve">Technology stack:</w:t>
      </w:r>
      <w:r>
        <w:t xml:space="preserve"> </w:t>
      </w:r>
      <w:r>
        <w:t xml:space="preserve">PHP 8.2+ with MySQL 8.x on the backend, Bootstrap 5/Tabler on the web frontend, native Kotlin (Android) and Swift (iOS) mobile applications.</w:t>
      </w:r>
    </w:p>
    <w:p>
      <w:pPr>
        <w:pStyle w:val="BodyText"/>
      </w:pPr>
      <w:r>
        <w:rPr>
          <w:b/>
          <w:bCs/>
        </w:rPr>
        <w:t xml:space="preserve">Architecture:</w:t>
      </w:r>
      <w:r>
        <w:t xml:space="preserve"> </w:t>
      </w:r>
      <w:r>
        <w:t xml:space="preserve">Centralised multi-tenant model with</w:t>
      </w:r>
      <w:r>
        <w:t xml:space="preserve"> </w:t>
      </w:r>
      <w:r>
        <w:rPr>
          <w:rStyle w:val="VerbatimChar"/>
        </w:rPr>
        <w:t xml:space="preserve">facility_id</w:t>
      </w:r>
      <w:r>
        <w:t xml:space="preserve"> </w:t>
      </w:r>
      <w:r>
        <w:t xml:space="preserve">row-level isolation, openEHR two-level modelling for multi-country clinical configurability, event-driven EHR data bus, FHIR R4 native API, and offline-first design for all clinical workflows.</w:t>
      </w:r>
    </w:p>
    <w:p>
      <w:pPr>
        <w:pStyle w:val="BodyText"/>
      </w:pPr>
      <w:r>
        <w:rPr>
          <w:b/>
          <w:bCs/>
        </w:rPr>
        <w:t xml:space="preserve">Delivery model:</w:t>
      </w:r>
      <w:r>
        <w:t xml:space="preserve"> </w:t>
      </w:r>
      <w:r>
        <w:t xml:space="preserve">Cloud-hosted SaaS with no on-premise infrastructure required. A facility is operational within 60 minutes of signup with zero-configuration defaults for Ugandan private clinics.</w:t>
      </w:r>
    </w:p>
    <w:p>
      <w:pPr>
        <w:pStyle w:val="BodyText"/>
      </w:pPr>
      <w:r>
        <w:rPr>
          <w:b/>
          <w:bCs/>
        </w:rPr>
        <w:t xml:space="preserve">Build sequence:</w:t>
      </w:r>
      <w:r>
        <w:t xml:space="preserve"> </w:t>
      </w:r>
      <w:r>
        <w:t xml:space="preserve">4 phases over 24 months, each gated by formal criteria:</w:t>
      </w:r>
    </w:p>
    <w:p>
      <w:pPr>
        <w:pStyle w:val="Compact"/>
        <w:numPr>
          <w:ilvl w:val="0"/>
          <w:numId w:val="1012"/>
        </w:numPr>
      </w:pPr>
      <w:r>
        <w:rPr>
          <w:b/>
          <w:bCs/>
        </w:rPr>
        <w:t xml:space="preserve">Phase 1 -- MVP (6 months):</w:t>
      </w:r>
      <w:r>
        <w:t xml:space="preserve"> </w:t>
      </w:r>
      <w:r>
        <w:t xml:space="preserve">Patient registration, OPD, pharmacy, basic lab, cash billing, mobile money. Target: 10 private clinics.</w:t>
      </w:r>
    </w:p>
    <w:p>
      <w:pPr>
        <w:pStyle w:val="Compact"/>
        <w:numPr>
          <w:ilvl w:val="0"/>
          <w:numId w:val="1012"/>
        </w:numPr>
      </w:pPr>
      <w:r>
        <w:rPr>
          <w:b/>
          <w:bCs/>
        </w:rPr>
        <w:t xml:space="preserve">Phase 2 -- Growth (Month 7-12):</w:t>
      </w:r>
      <w:r>
        <w:t xml:space="preserve"> </w:t>
      </w:r>
      <w:r>
        <w:t xml:space="preserve">IPD, maternity, immunisation, insurance, inventory, HR/payroll, HMIS reporting. Target: 50 facilities.</w:t>
      </w:r>
    </w:p>
    <w:p>
      <w:pPr>
        <w:pStyle w:val="Compact"/>
        <w:numPr>
          <w:ilvl w:val="0"/>
          <w:numId w:val="1012"/>
        </w:numPr>
      </w:pPr>
      <w:r>
        <w:rPr>
          <w:b/>
          <w:bCs/>
        </w:rPr>
        <w:t xml:space="preserve">Phase 3 -- Programmes (Month 13-18):</w:t>
      </w:r>
      <w:r>
        <w:t xml:space="preserve"> </w:t>
      </w:r>
      <w:r>
        <w:t xml:space="preserve">HIV/AIDS, TB, FHIR R4 API, PEPFAR MER indicators, CHW app, patient app. Target: PEPFAR implementing partners.</w:t>
      </w:r>
    </w:p>
    <w:p>
      <w:pPr>
        <w:pStyle w:val="Compact"/>
        <w:numPr>
          <w:ilvl w:val="0"/>
          <w:numId w:val="1012"/>
        </w:numPr>
      </w:pPr>
      <w:r>
        <w:rPr>
          <w:b/>
          <w:bCs/>
        </w:rPr>
        <w:t xml:space="preserve">Phase 4 -- Enterprise (Month 19-24):</w:t>
      </w:r>
      <w:r>
        <w:t xml:space="preserve"> </w:t>
      </w:r>
      <w:r>
        <w:t xml:space="preserve">Theatre, blood bank, PACS, multi-facility sharing, Director platform. Target: hospital networks and national referrals.</w:t>
      </w:r>
    </w:p>
    <w:bookmarkEnd w:id="45"/>
    <w:bookmarkStart w:id="46" w:name="X1843cb32ea84385f3a32ad44a35e1eff52bc06c"/>
    <w:p>
      <w:pPr>
        <w:pStyle w:val="Heading2"/>
      </w:pPr>
      <w:r>
        <w:t xml:space="preserve">4.2 Key Capabilities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Capability</w:t>
            </w:r>
          </w:p>
        </w:tc>
        <w:tc>
          <w:tcPr/>
          <w:p>
            <w:pPr>
              <w:pStyle w:val="Compact"/>
            </w:pPr>
            <w:r>
              <w:t xml:space="preserve">Business Goal Alignment</w:t>
            </w:r>
          </w:p>
        </w:tc>
      </w:tr>
      <w:tr>
        <w:tc>
          <w:tcPr/>
          <w:p>
            <w:pPr>
              <w:pStyle w:val="Compact"/>
            </w:pPr>
            <w:r>
              <w:t xml:space="preserve">1</w:t>
            </w:r>
          </w:p>
        </w:tc>
        <w:tc>
          <w:tcPr/>
          <w:p>
            <w:pPr>
              <w:pStyle w:val="Compact"/>
            </w:pPr>
            <w:r>
              <w:rPr>
                <w:b/>
                <w:bCs/>
              </w:rPr>
              <w:t xml:space="preserve">SaaS deployment with zero on-premise infrastructure</w:t>
            </w:r>
          </w:p>
        </w:tc>
        <w:tc>
          <w:tcPr/>
          <w:p>
            <w:pPr>
              <w:pStyle w:val="Compact"/>
            </w:pPr>
            <w:r>
              <w:t xml:space="preserve">Eliminates server maintenance costs for facilities; enables rapid onboarding (60 minutes to first patient); reduces barrier to entry for small clinics that cannot afford IT staff</w:t>
            </w:r>
          </w:p>
        </w:tc>
      </w:tr>
      <w:tr>
        <w:tc>
          <w:tcPr/>
          <w:p>
            <w:pPr>
              <w:pStyle w:val="Compact"/>
            </w:pPr>
            <w:r>
              <w:t xml:space="preserve">2</w:t>
            </w:r>
          </w:p>
        </w:tc>
        <w:tc>
          <w:tcPr/>
          <w:p>
            <w:pPr>
              <w:pStyle w:val="Compact"/>
            </w:pPr>
            <w:r>
              <w:rPr>
                <w:b/>
                <w:bCs/>
              </w:rPr>
              <w:t xml:space="preserve">Offline-first clinical workflows</w:t>
            </w:r>
          </w:p>
        </w:tc>
        <w:tc>
          <w:tcPr/>
          <w:p>
            <w:pPr>
              <w:pStyle w:val="Compact"/>
            </w:pPr>
            <w:r>
              <w:t xml:space="preserve">Ensures continuous patient care in areas with intermittent internet connectivity; Room database on Android synchronises when connectivity resumes; addresses Uganda's infrastructure reality</w:t>
            </w:r>
          </w:p>
        </w:tc>
      </w:tr>
      <w:tr>
        <w:tc>
          <w:tcPr/>
          <w:p>
            <w:pPr>
              <w:pStyle w:val="Compact"/>
            </w:pPr>
            <w:r>
              <w:t xml:space="preserve">3</w:t>
            </w:r>
          </w:p>
        </w:tc>
        <w:tc>
          <w:tcPr/>
          <w:p>
            <w:pPr>
              <w:pStyle w:val="Compact"/>
            </w:pPr>
            <w:r>
              <w:rPr>
                <w:b/>
                <w:bCs/>
              </w:rPr>
              <w:t xml:space="preserve">Mobile money integration (MTN MoMo, Airtel Money)</w:t>
            </w:r>
          </w:p>
        </w:tc>
        <w:tc>
          <w:tcPr/>
          <w:p>
            <w:pPr>
              <w:pStyle w:val="Compact"/>
            </w:pPr>
            <w:r>
              <w:t xml:space="preserve">Enables digital fee collection aligned with Uganda's dominant payment channel; auto-reconciliation eliminates manual cash tracking; reduces revenue leakage</w:t>
            </w:r>
          </w:p>
        </w:tc>
      </w:tr>
      <w:tr>
        <w:tc>
          <w:tcPr/>
          <w:p>
            <w:pPr>
              <w:pStyle w:val="Compact"/>
            </w:pPr>
            <w:r>
              <w:t xml:space="preserve">4</w:t>
            </w:r>
          </w:p>
        </w:tc>
        <w:tc>
          <w:tcPr/>
          <w:p>
            <w:pPr>
              <w:pStyle w:val="Compact"/>
            </w:pPr>
            <w:r>
              <w:rPr>
                <w:b/>
                <w:bCs/>
              </w:rPr>
              <w:t xml:space="preserve">Automated HMIS compliance (105/108/033b)</w:t>
            </w:r>
          </w:p>
        </w:tc>
        <w:tc>
          <w:tcPr/>
          <w:p>
            <w:pPr>
              <w:pStyle w:val="Compact"/>
            </w:pPr>
            <w:r>
              <w:t xml:space="preserve">Eliminates 2-3 staff-days per month of manual tallying; auto-populates HMIS forms from clinical data; direct DHIS2 API submission; reduces non-compliance risk for capitation grants</w:t>
            </w:r>
          </w:p>
        </w:tc>
      </w:tr>
      <w:tr>
        <w:tc>
          <w:tcPr/>
          <w:p>
            <w:pPr>
              <w:pStyle w:val="Compact"/>
            </w:pPr>
            <w:r>
              <w:t xml:space="preserve">5</w:t>
            </w:r>
          </w:p>
        </w:tc>
        <w:tc>
          <w:tcPr/>
          <w:p>
            <w:pPr>
              <w:pStyle w:val="Compact"/>
            </w:pPr>
            <w:r>
              <w:rPr>
                <w:b/>
                <w:bCs/>
              </w:rPr>
              <w:t xml:space="preserve">FHIR R4 interoperability</w:t>
            </w:r>
          </w:p>
        </w:tc>
        <w:tc>
          <w:tcPr/>
          <w:p>
            <w:pPr>
              <w:pStyle w:val="Compact"/>
            </w:pPr>
            <w:r>
              <w:t xml:space="preserve">Enables data exchange with external systems (DHIS2, PEPFAR DATIM, laboratory analysers, insurance portals); positions Medic8 as standards-compliant for donor-funded programmes</w:t>
            </w:r>
          </w:p>
        </w:tc>
      </w:tr>
      <w:tr>
        <w:tc>
          <w:tcPr/>
          <w:p>
            <w:pPr>
              <w:pStyle w:val="Compact"/>
            </w:pPr>
            <w:r>
              <w:t xml:space="preserve">6</w:t>
            </w:r>
          </w:p>
        </w:tc>
        <w:tc>
          <w:tcPr/>
          <w:p>
            <w:pPr>
              <w:pStyle w:val="Compact"/>
            </w:pPr>
            <w:r>
              <w:rPr>
                <w:b/>
                <w:bCs/>
              </w:rPr>
              <w:t xml:space="preserve">Global patient identity layer</w:t>
            </w:r>
          </w:p>
        </w:tc>
        <w:tc>
          <w:tcPr/>
          <w:p>
            <w:pPr>
              <w:pStyle w:val="Compact"/>
            </w:pPr>
            <w:r>
              <w:t xml:space="preserve">Shared architectural pattern with Academia Pro's global student identity; cross-facility patient record lookup for hospital networks; eliminates duplicate registrations</w:t>
            </w:r>
          </w:p>
        </w:tc>
      </w:tr>
      <w:tr>
        <w:tc>
          <w:tcPr/>
          <w:p>
            <w:pPr>
              <w:pStyle w:val="Compact"/>
            </w:pPr>
            <w:r>
              <w:t xml:space="preserve">7</w:t>
            </w:r>
          </w:p>
        </w:tc>
        <w:tc>
          <w:tcPr/>
          <w:p>
            <w:pPr>
              <w:pStyle w:val="Compact"/>
            </w:pPr>
            <w:r>
              <w:rPr>
                <w:b/>
                <w:bCs/>
              </w:rPr>
              <w:t xml:space="preserve">Country configuration layer</w:t>
            </w:r>
          </w:p>
        </w:tc>
        <w:tc>
          <w:tcPr/>
          <w:p>
            <w:pPr>
              <w:pStyle w:val="Compact"/>
            </w:pPr>
            <w:r>
              <w:t xml:space="preserve">Adapts regulatory frameworks, clinical protocols, financial systems, and reporting requirements per tenant; enables expansion to Kenya, Tanzania, Rwanda, DRC, Nigeria, India, and Australia without forking the codebase</w:t>
            </w:r>
          </w:p>
        </w:tc>
      </w:tr>
    </w:tbl>
    <w:bookmarkEnd w:id="46"/>
    <w:bookmarkStart w:id="47" w:name="X43fb506ebf680124e3589034bfee82aec6af00d"/>
    <w:p>
      <w:pPr>
        <w:pStyle w:val="Heading2"/>
      </w:pPr>
      <w:r>
        <w:t xml:space="preserve">4.3 Why Not Build on OpenMRS</w:t>
      </w:r>
    </w:p>
    <w:p>
      <w:pPr>
        <w:pStyle w:val="FirstParagraph"/>
      </w:pPr>
      <w:r>
        <w:t xml:space="preserve">The question of whether to fork or extend OpenMRS rather than building Medic8 from scratch requires a technical and commercial assessment. The conclusion is that building on OpenMRS would be more expensive, slower, and architecturally constrained than a purpose-built system.</w:t>
      </w:r>
    </w:p>
    <w:p>
      <w:pPr>
        <w:pStyle w:val="BodyText"/>
      </w:pPr>
      <w:r>
        <w:rPr>
          <w:b/>
          <w:bCs/>
        </w:rPr>
        <w:t xml:space="preserve">Technical arguments against an OpenMRS fork:</w:t>
      </w:r>
    </w:p>
    <w:p>
      <w:pPr>
        <w:numPr>
          <w:ilvl w:val="0"/>
          <w:numId w:val="1013"/>
        </w:numPr>
      </w:pPr>
      <w:r>
        <w:rPr>
          <w:b/>
          <w:bCs/>
        </w:rPr>
        <w:t xml:space="preserve">Language and stack mismatch:</w:t>
      </w:r>
      <w:r>
        <w:t xml:space="preserve"> </w:t>
      </w:r>
      <w:r>
        <w:t xml:space="preserve">OpenMRS is built in Java (Spring Framework). Chwezi Core Systems' development capability is PHP 8.2+ with MySQL 8.x. Adopting OpenMRS would require hiring or contracting Java developers at USD 80-120 per hour -- a cost the venture cannot sustain as a solo-developer operation.</w:t>
      </w:r>
    </w:p>
    <w:p>
      <w:pPr>
        <w:numPr>
          <w:ilvl w:val="0"/>
          <w:numId w:val="1013"/>
        </w:numPr>
      </w:pPr>
      <w:r>
        <w:rPr>
          <w:b/>
          <w:bCs/>
        </w:rPr>
        <w:t xml:space="preserve">No billing module:</w:t>
      </w:r>
      <w:r>
        <w:t xml:space="preserve"> </w:t>
      </w:r>
      <w:r>
        <w:t xml:space="preserve">OpenMRS has no integrated billing, insurance management, or financial accounting. These must be built or integrated separately (OpenHMIS or Odoo), adding USD 3,000-15,000 in implementation costs and creating integration maintenance overhead indefinitely.</w:t>
      </w:r>
    </w:p>
    <w:p>
      <w:pPr>
        <w:numPr>
          <w:ilvl w:val="0"/>
          <w:numId w:val="1013"/>
        </w:numPr>
      </w:pPr>
      <w:r>
        <w:rPr>
          <w:b/>
          <w:bCs/>
        </w:rPr>
        <w:t xml:space="preserve">No HR/payroll:</w:t>
      </w:r>
      <w:r>
        <w:t xml:space="preserve"> </w:t>
      </w:r>
      <w:r>
        <w:t xml:space="preserve">OpenMRS has no human resources or payroll capability. A separate system (or custom build) is required, adding USD 2,000-8,000 in costs.</w:t>
      </w:r>
    </w:p>
    <w:p>
      <w:pPr>
        <w:numPr>
          <w:ilvl w:val="0"/>
          <w:numId w:val="1013"/>
        </w:numPr>
      </w:pPr>
      <w:r>
        <w:rPr>
          <w:b/>
          <w:bCs/>
        </w:rPr>
        <w:t xml:space="preserve">No mobile money:</w:t>
      </w:r>
      <w:r>
        <w:t xml:space="preserve"> </w:t>
      </w:r>
      <w:r>
        <w:t xml:space="preserve">OpenMRS has no mobile money API integration. Building MTN MoMo and Airtel Money integration into an OpenMRS fork requires custom Java development with no upstream support.</w:t>
      </w:r>
    </w:p>
    <w:p>
      <w:pPr>
        <w:numPr>
          <w:ilvl w:val="0"/>
          <w:numId w:val="1013"/>
        </w:numPr>
      </w:pPr>
      <w:r>
        <w:rPr>
          <w:b/>
          <w:bCs/>
        </w:rPr>
        <w:t xml:space="preserve">Customisation cost trajectory:</w:t>
      </w:r>
      <w:r>
        <w:t xml:space="preserve"> </w:t>
      </w:r>
      <w:r>
        <w:t xml:space="preserve">OpenMRS customisation costs USD 15,000-60,000 over 3 years. Each customisation diverges from the upstream codebase, increasing maintenance cost with every release cycle.</w:t>
      </w:r>
    </w:p>
    <w:p>
      <w:pPr>
        <w:numPr>
          <w:ilvl w:val="0"/>
          <w:numId w:val="1013"/>
        </w:numPr>
      </w:pPr>
      <w:r>
        <w:rPr>
          <w:b/>
          <w:bCs/>
        </w:rPr>
        <w:t xml:space="preserve">No multi-tenant SaaS architecture:</w:t>
      </w:r>
      <w:r>
        <w:t xml:space="preserve"> </w:t>
      </w:r>
      <w:r>
        <w:t xml:space="preserve">OpenMRS is designed for single-facility, on-premise deployment. Converting it to a multi-tenant SaaS platform would require re-architecting the data isolation model, authentication system, and deployment pipeline -- effectively a rewrite of the platform layer.</w:t>
      </w:r>
    </w:p>
    <w:p>
      <w:pPr>
        <w:numPr>
          <w:ilvl w:val="0"/>
          <w:numId w:val="1013"/>
        </w:numPr>
      </w:pPr>
      <w:r>
        <w:rPr>
          <w:b/>
          <w:bCs/>
        </w:rPr>
        <w:t xml:space="preserve">No shared codebase benefit:</w:t>
      </w:r>
      <w:r>
        <w:t xml:space="preserve"> </w:t>
      </w:r>
      <w:r>
        <w:t xml:space="preserve">Building on OpenMRS provides no codebase reuse with Academia Pro. Building Medic8 on the same PHP/MySQL stack as Academia Pro enables shared infrastructure, shared authentication patterns, shared multi-tenant architecture, and shared country configuration logic.</w:t>
      </w:r>
    </w:p>
    <w:p>
      <w:pPr>
        <w:numPr>
          <w:ilvl w:val="0"/>
          <w:numId w:val="1013"/>
        </w:numPr>
      </w:pPr>
      <w:r>
        <w:rPr>
          <w:b/>
          <w:bCs/>
        </w:rPr>
        <w:t xml:space="preserve">Community support model:</w:t>
      </w:r>
      <w:r>
        <w:t xml:space="preserve"> </w:t>
      </w:r>
      <w:r>
        <w:t xml:space="preserve">OpenMRS relies on community-only support. When a production system fails at 2 AM, there is no vendor to call. Medic8 provides direct Uganda-based support included in the subscription.</w:t>
      </w:r>
    </w:p>
    <w:p>
      <w:pPr>
        <w:pStyle w:val="FirstParagraph"/>
      </w:pPr>
      <w:r>
        <w:rPr>
          <w:b/>
          <w:bCs/>
        </w:rPr>
        <w:t xml:space="preserve">Conclusion:</w:t>
      </w:r>
      <w:r>
        <w:t xml:space="preserve"> </w:t>
      </w:r>
      <w:r>
        <w:t xml:space="preserve">The total cost of adapting OpenMRS to match Medic8's scope (billing + insurance + HR + payroll + mobile money + SaaS + offline-first + patient app) exceeds the cost of building Medic8 from scratch on the existing PHP stack, while producing an architecturally inferior result with higher ongoing maintenance costs.</w:t>
      </w:r>
    </w:p>
    <w:bookmarkEnd w:id="47"/>
    <w:bookmarkEnd w:id="48"/>
    <w:bookmarkStart w:id="60" w:name="Xe10a933ab5ffef2e76fcf304fbbcd8ce7267893"/>
    <w:p>
      <w:pPr>
        <w:pStyle w:val="Heading1"/>
      </w:pPr>
      <w:r>
        <w:t xml:space="preserve">5 Competitive Analysis</w:t>
      </w:r>
    </w:p>
    <w:bookmarkStart w:id="51" w:name="X2f5143096890da7bed65d03a2518cbb5ba8c6c1"/>
    <w:p>
      <w:pPr>
        <w:pStyle w:val="Heading2"/>
      </w:pPr>
      <w:r>
        <w:t xml:space="preserve">5.1 ClinicMaster Comparison</w:t>
      </w:r>
    </w:p>
    <w:p>
      <w:pPr>
        <w:pStyle w:val="FirstParagraph"/>
      </w:pPr>
      <w:r>
        <w:t xml:space="preserve">ClinicMaster is the primary commercial competitor in Uganda, operating since 2013 with deployments in 200+ facilities across Uganda, Kenya, Zambia, South Sudan, and Rwanda. Its installed base represents less than 5% penetration of the 4,000+ private health facilities in Uganda alone — evidence that the market remains substantially greenfield.</w:t>
      </w:r>
    </w:p>
    <w:bookmarkStart w:id="49" w:name="X1abf7d89507f14730331f0260b6bfebc311ea6e"/>
    <w:p>
      <w:pPr>
        <w:pStyle w:val="Heading3"/>
      </w:pPr>
      <w:r>
        <w:t xml:space="preserve">5.1.1 Feature Comparison (14 Capabilities Medic8 Matches and Exceeds)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ClinicMaster</w:t>
            </w:r>
          </w:p>
        </w:tc>
        <w:tc>
          <w:tcPr/>
          <w:p>
            <w:pPr>
              <w:pStyle w:val="Compact"/>
            </w:pPr>
            <w:r>
              <w:t xml:space="preserve">Medic8</w:t>
            </w:r>
          </w:p>
        </w:tc>
        <w:tc>
          <w:tcPr/>
          <w:p>
            <w:pPr>
              <w:pStyle w:val="Compact"/>
            </w:pPr>
            <w:r>
              <w:t xml:space="preserve">Medic8 Enhancement</w:t>
            </w:r>
          </w:p>
        </w:tc>
      </w:tr>
      <w:tr>
        <w:tc>
          <w:tcPr/>
          <w:p>
            <w:pPr>
              <w:pStyle w:val="Compact"/>
            </w:pPr>
            <w:r>
              <w:t xml:space="preserve">Patient registration, visits, appointments</w:t>
            </w:r>
          </w:p>
        </w:tc>
        <w:tc>
          <w:tcPr/>
          <w:p>
            <w:pPr>
              <w:pStyle w:val="Compact"/>
            </w:pPr>
            <w:r>
              <w:t xml:space="preserve">Basic registration and visit handling</w:t>
            </w:r>
          </w:p>
        </w:tc>
        <w:tc>
          <w:tcPr/>
          <w:p>
            <w:pPr>
              <w:pStyle w:val="Compact"/>
            </w:pPr>
            <w:r>
              <w:t xml:space="preserve">Global patient identity, biometric verification, UNHCR/NIN integration</w:t>
            </w:r>
          </w:p>
        </w:tc>
        <w:tc>
          <w:tcPr/>
          <w:p>
            <w:pPr>
              <w:pStyle w:val="Compact"/>
            </w:pPr>
            <w:r>
              <w:t xml:space="preserve">Cross-facility lookup, refugee ID support</w:t>
            </w:r>
          </w:p>
        </w:tc>
      </w:tr>
      <w:tr>
        <w:tc>
          <w:tcPr/>
          <w:p>
            <w:pPr>
              <w:pStyle w:val="Compact"/>
            </w:pPr>
            <w:r>
              <w:t xml:space="preserve">Clinical documentation (SOAP, diagnoses, prescriptions)</w:t>
            </w:r>
          </w:p>
        </w:tc>
        <w:tc>
          <w:tcPr/>
          <w:p>
            <w:pPr>
              <w:pStyle w:val="Compact"/>
            </w:pPr>
            <w:r>
              <w:t xml:space="preserve">Standard clinical notes</w:t>
            </w:r>
          </w:p>
        </w:tc>
        <w:tc>
          <w:tcPr/>
          <w:p>
            <w:pPr>
              <w:pStyle w:val="Compact"/>
            </w:pPr>
            <w:r>
              <w:t xml:space="preserve">ICD-11 coding, drug interaction checking, AI-assisted documentation</w:t>
            </w:r>
          </w:p>
        </w:tc>
        <w:tc>
          <w:tcPr/>
          <w:p>
            <w:pPr>
              <w:pStyle w:val="Compact"/>
            </w:pPr>
            <w:r>
              <w:t xml:space="preserve">Clinical safety and coding precision</w:t>
            </w:r>
          </w:p>
        </w:tc>
      </w:tr>
      <w:tr>
        <w:tc>
          <w:tcPr/>
          <w:p>
            <w:pPr>
              <w:pStyle w:val="Compact"/>
            </w:pPr>
            <w:r>
              <w:t xml:space="preserve">Laboratory</w:t>
            </w:r>
          </w:p>
        </w:tc>
        <w:tc>
          <w:tcPr/>
          <w:p>
            <w:pPr>
              <w:pStyle w:val="Compact"/>
            </w:pPr>
            <w:r>
              <w:t xml:space="preserve">Basic lab workflow</w:t>
            </w:r>
          </w:p>
        </w:tc>
        <w:tc>
          <w:tcPr/>
          <w:p>
            <w:pPr>
              <w:pStyle w:val="Compact"/>
            </w:pPr>
            <w:r>
              <w:t xml:space="preserve">Critical value escalation, HL7 analyser interface, CPHL specimen workflow</w:t>
            </w:r>
          </w:p>
        </w:tc>
        <w:tc>
          <w:tcPr/>
          <w:p>
            <w:pPr>
              <w:pStyle w:val="Compact"/>
            </w:pPr>
            <w:r>
              <w:t xml:space="preserve">Automated analyser integration</w:t>
            </w:r>
          </w:p>
        </w:tc>
      </w:tr>
      <w:tr>
        <w:tc>
          <w:tcPr/>
          <w:p>
            <w:pPr>
              <w:pStyle w:val="Compact"/>
            </w:pPr>
            <w:r>
              <w:t xml:space="preserve">Radiology</w:t>
            </w:r>
          </w:p>
        </w:tc>
        <w:tc>
          <w:tcPr/>
          <w:p>
            <w:pPr>
              <w:pStyle w:val="Compact"/>
            </w:pPr>
            <w:r>
              <w:t xml:space="preserve">Basic radiology</w:t>
            </w:r>
          </w:p>
        </w:tc>
        <w:tc>
          <w:tcPr/>
          <w:p>
            <w:pPr>
              <w:pStyle w:val="Compact"/>
            </w:pPr>
            <w:r>
              <w:t xml:space="preserve">PACS integration, DICOM viewer, structured reporting templates</w:t>
            </w:r>
          </w:p>
        </w:tc>
        <w:tc>
          <w:tcPr/>
          <w:p>
            <w:pPr>
              <w:pStyle w:val="Compact"/>
            </w:pPr>
            <w:r>
              <w:t xml:space="preserve">Enterprise imaging capability</w:t>
            </w:r>
          </w:p>
        </w:tc>
      </w:tr>
      <w:tr>
        <w:tc>
          <w:tcPr/>
          <w:p>
            <w:pPr>
              <w:pStyle w:val="Compact"/>
            </w:pPr>
            <w:r>
              <w:t xml:space="preserve">Dental services</w:t>
            </w:r>
          </w:p>
        </w:tc>
        <w:tc>
          <w:tcPr/>
          <w:p>
            <w:pPr>
              <w:pStyle w:val="Compact"/>
            </w:pPr>
            <w:r>
              <w:t xml:space="preserve">Basic dental</w:t>
            </w:r>
          </w:p>
        </w:tc>
        <w:tc>
          <w:tcPr/>
          <w:p>
            <w:pPr>
              <w:pStyle w:val="Compact"/>
            </w:pPr>
            <w:r>
              <w:t xml:space="preserve">Graphical tooth chart, periodontal charting, dental lab tracking</w:t>
            </w:r>
          </w:p>
        </w:tc>
        <w:tc>
          <w:tcPr/>
          <w:p>
            <w:pPr>
              <w:pStyle w:val="Compact"/>
            </w:pPr>
            <w:r>
              <w:t xml:space="preserve">Comprehensive dental specialisation</w:t>
            </w:r>
          </w:p>
        </w:tc>
      </w:tr>
      <w:tr>
        <w:tc>
          <w:tcPr/>
          <w:p>
            <w:pPr>
              <w:pStyle w:val="Compact"/>
            </w:pPr>
            <w:r>
              <w:t xml:space="preserve">Eye care and optical</w:t>
            </w:r>
          </w:p>
        </w:tc>
        <w:tc>
          <w:tcPr/>
          <w:p>
            <w:pPr>
              <w:pStyle w:val="Compact"/>
            </w:pPr>
            <w:r>
              <w:t xml:space="preserve">Basic eye care</w:t>
            </w:r>
          </w:p>
        </w:tc>
        <w:tc>
          <w:tcPr/>
          <w:p>
            <w:pPr>
              <w:pStyle w:val="Compact"/>
            </w:pPr>
            <w:r>
              <w:t xml:space="preserve">Refraction records, optical prescription management, dispensing inventory</w:t>
            </w:r>
          </w:p>
        </w:tc>
        <w:tc>
          <w:tcPr/>
          <w:p>
            <w:pPr>
              <w:pStyle w:val="Compact"/>
            </w:pPr>
            <w:r>
              <w:t xml:space="preserve">Optometry integration</w:t>
            </w:r>
          </w:p>
        </w:tc>
      </w:tr>
      <w:tr>
        <w:tc>
          <w:tcPr/>
          <w:p>
            <w:pPr>
              <w:pStyle w:val="Compact"/>
            </w:pPr>
            <w:r>
              <w:t xml:space="preserve">Pharmacy and drug stock</w:t>
            </w:r>
          </w:p>
        </w:tc>
        <w:tc>
          <w:tcPr/>
          <w:p>
            <w:pPr>
              <w:pStyle w:val="Compact"/>
            </w:pPr>
            <w:r>
              <w:t xml:space="preserve">Basic pharmacy</w:t>
            </w:r>
          </w:p>
        </w:tc>
        <w:tc>
          <w:tcPr/>
          <w:p>
            <w:pPr>
              <w:pStyle w:val="Compact"/>
            </w:pPr>
            <w:r>
              <w:t xml:space="preserve">Stock-aware prescribing, NMS commodity codes, ARV dispensing tracking, PEPFAR reporting</w:t>
            </w:r>
          </w:p>
        </w:tc>
        <w:tc>
          <w:tcPr/>
          <w:p>
            <w:pPr>
              <w:pStyle w:val="Compact"/>
            </w:pPr>
            <w:r>
              <w:t xml:space="preserve">PEPFAR commodity tracking</w:t>
            </w:r>
          </w:p>
        </w:tc>
      </w:tr>
      <w:tr>
        <w:tc>
          <w:tcPr/>
          <w:p>
            <w:pPr>
              <w:pStyle w:val="Compact"/>
            </w:pPr>
            <w:r>
              <w:t xml:space="preserve">Insurance management and claims</w:t>
            </w:r>
          </w:p>
        </w:tc>
        <w:tc>
          <w:tcPr/>
          <w:p>
            <w:pPr>
              <w:pStyle w:val="Compact"/>
            </w:pPr>
            <w:r>
              <w:t xml:space="preserve">Basic insurance</w:t>
            </w:r>
          </w:p>
        </w:tc>
        <w:tc>
          <w:tcPr/>
          <w:p>
            <w:pPr>
              <w:pStyle w:val="Compact"/>
            </w:pPr>
            <w:r>
              <w:t xml:space="preserve">NHIS integration, pre-authorisation workflow, electronic claims submission, AI Claim Scrubbing, rejection analytics</w:t>
            </w:r>
          </w:p>
        </w:tc>
        <w:tc>
          <w:tcPr/>
          <w:p>
            <w:pPr>
              <w:pStyle w:val="Compact"/>
            </w:pPr>
            <w:r>
              <w:t xml:space="preserve">AI-powered rejection prediction before submission</w:t>
            </w:r>
          </w:p>
        </w:tc>
      </w:tr>
      <w:tr>
        <w:tc>
          <w:tcPr/>
          <w:p>
            <w:pPr>
              <w:pStyle w:val="Compact"/>
            </w:pPr>
            <w:r>
              <w:t xml:space="preserve">Cash payments and invoicing</w:t>
            </w:r>
          </w:p>
        </w:tc>
        <w:tc>
          <w:tcPr/>
          <w:p>
            <w:pPr>
              <w:pStyle w:val="Compact"/>
            </w:pPr>
            <w:r>
              <w:t xml:space="preserve">Basic cash billing</w:t>
            </w:r>
          </w:p>
        </w:tc>
        <w:tc>
          <w:tcPr/>
          <w:p>
            <w:pPr>
              <w:pStyle w:val="Compact"/>
            </w:pPr>
            <w:r>
              <w:t xml:space="preserve">MTN MoMo/Airtel Money API, micro-payment support, patient portal payments</w:t>
            </w:r>
          </w:p>
        </w:tc>
        <w:tc>
          <w:tcPr/>
          <w:p>
            <w:pPr>
              <w:pStyle w:val="Compact"/>
            </w:pPr>
            <w:r>
              <w:t xml:space="preserve">Mobile money auto-reconciliation</w:t>
            </w:r>
          </w:p>
        </w:tc>
      </w:tr>
      <w:tr>
        <w:tc>
          <w:tcPr/>
          <w:p>
            <w:pPr>
              <w:pStyle w:val="Compact"/>
            </w:pPr>
            <w:r>
              <w:t xml:space="preserve">Inpatient billing and deposits</w:t>
            </w:r>
          </w:p>
        </w:tc>
        <w:tc>
          <w:tcPr/>
          <w:p>
            <w:pPr>
              <w:pStyle w:val="Compact"/>
            </w:pPr>
            <w:r>
              <w:t xml:space="preserve">Basic inpatient billing</w:t>
            </w:r>
          </w:p>
        </w:tc>
        <w:tc>
          <w:tcPr/>
          <w:p>
            <w:pPr>
              <w:pStyle w:val="Compact"/>
            </w:pPr>
            <w:r>
              <w:t xml:space="preserve">Real-time running bill visibility, DAMA recording</w:t>
            </w:r>
          </w:p>
        </w:tc>
        <w:tc>
          <w:tcPr/>
          <w:p>
            <w:pPr>
              <w:pStyle w:val="Compact"/>
            </w:pPr>
            <w:r>
              <w:t xml:space="preserve">Continuous inpatient charge visibility</w:t>
            </w:r>
          </w:p>
        </w:tc>
      </w:tr>
      <w:tr>
        <w:tc>
          <w:tcPr/>
          <w:p>
            <w:pPr>
              <w:pStyle w:val="Compact"/>
            </w:pPr>
            <w:r>
              <w:t xml:space="preserve">Audit trail and roles</w:t>
            </w:r>
          </w:p>
        </w:tc>
        <w:tc>
          <w:tcPr/>
          <w:p>
            <w:pPr>
              <w:pStyle w:val="Compact"/>
            </w:pPr>
            <w:r>
              <w:t xml:space="preserve">Basic audit trail</w:t>
            </w:r>
          </w:p>
        </w:tc>
        <w:tc>
          <w:tcPr/>
          <w:p>
            <w:pPr>
              <w:pStyle w:val="Compact"/>
            </w:pPr>
            <w:r>
              <w:t xml:space="preserve">Granular RBAC+ABAC, device-level session management, sensitive record access tier</w:t>
            </w:r>
          </w:p>
        </w:tc>
        <w:tc>
          <w:tcPr/>
          <w:p>
            <w:pPr>
              <w:pStyle w:val="Compact"/>
            </w:pPr>
            <w:r>
              <w:t xml:space="preserve">HIV/mental health record protection</w:t>
            </w:r>
          </w:p>
        </w:tc>
      </w:tr>
      <w:tr>
        <w:tc>
          <w:tcPr/>
          <w:p>
            <w:pPr>
              <w:pStyle w:val="Compact"/>
            </w:pPr>
            <w:r>
              <w:t xml:space="preserve">Customised reports</w:t>
            </w:r>
          </w:p>
        </w:tc>
        <w:tc>
          <w:tcPr/>
          <w:p>
            <w:pPr>
              <w:pStyle w:val="Compact"/>
            </w:pPr>
            <w:r>
              <w:t xml:space="preserve">Basic reporting</w:t>
            </w:r>
          </w:p>
        </w:tc>
        <w:tc>
          <w:tcPr/>
          <w:p>
            <w:pPr>
              <w:pStyle w:val="Compact"/>
            </w:pPr>
            <w:r>
              <w:t xml:space="preserve">AI natural-language query reporting</w:t>
            </w:r>
          </w:p>
        </w:tc>
        <w:tc>
          <w:tcPr/>
          <w:p>
            <w:pPr>
              <w:pStyle w:val="Compact"/>
            </w:pPr>
            <w:r>
              <w:t xml:space="preserve">Non-technical staff can generate ad hoc reports</w:t>
            </w:r>
          </w:p>
        </w:tc>
      </w:tr>
      <w:tr>
        <w:tc>
          <w:tcPr/>
          <w:p>
            <w:pPr>
              <w:pStyle w:val="Compact"/>
            </w:pPr>
            <w:r>
              <w:t xml:space="preserve">Diagnostic device interfaces</w:t>
            </w:r>
          </w:p>
        </w:tc>
        <w:tc>
          <w:tcPr/>
          <w:p>
            <w:pPr>
              <w:pStyle w:val="Compact"/>
            </w:pPr>
            <w:r>
              <w:t xml:space="preserve">Basic device interfaces</w:t>
            </w:r>
          </w:p>
        </w:tc>
        <w:tc>
          <w:tcPr/>
          <w:p>
            <w:pPr>
              <w:pStyle w:val="Compact"/>
            </w:pPr>
            <w:r>
              <w:t xml:space="preserve">HL7/FHIR APIs, DHIS2 push, PACS integration, bidirectional analyser communication</w:t>
            </w:r>
          </w:p>
        </w:tc>
        <w:tc>
          <w:tcPr/>
          <w:p>
            <w:pPr>
              <w:pStyle w:val="Compact"/>
            </w:pPr>
            <w:r>
              <w:t xml:space="preserve">Full interoperability stack</w:t>
            </w:r>
          </w:p>
        </w:tc>
      </w:tr>
      <w:tr>
        <w:tc>
          <w:tcPr/>
          <w:p>
            <w:pPr>
              <w:pStyle w:val="Compact"/>
            </w:pPr>
            <w:r>
              <w:t xml:space="preserve">Fingerprint verification</w:t>
            </w:r>
          </w:p>
        </w:tc>
        <w:tc>
          <w:tcPr/>
          <w:p>
            <w:pPr>
              <w:pStyle w:val="Compact"/>
            </w:pPr>
            <w:r>
              <w:t xml:space="preserve">Basic biometric</w:t>
            </w:r>
          </w:p>
        </w:tc>
        <w:tc>
          <w:tcPr/>
          <w:p>
            <w:pPr>
              <w:pStyle w:val="Compact"/>
            </w:pPr>
            <w:r>
              <w:t xml:space="preserve">Facial recognition and QR code scanning</w:t>
            </w:r>
          </w:p>
        </w:tc>
        <w:tc>
          <w:tcPr/>
          <w:p>
            <w:pPr>
              <w:pStyle w:val="Compact"/>
            </w:pPr>
            <w:r>
              <w:t xml:space="preserve">Multi-modal patient identification</w:t>
            </w:r>
          </w:p>
        </w:tc>
      </w:tr>
    </w:tbl>
    <w:bookmarkEnd w:id="49"/>
    <w:bookmarkStart w:id="50" w:name="X47af2c045dd1ac9a4b9816ab8b48d73a967e26c"/>
    <w:p>
      <w:pPr>
        <w:pStyle w:val="Heading3"/>
      </w:pPr>
      <w:r>
        <w:t xml:space="preserve">5.1.2 ClinicMaster Decisive Gaps — Medic8 Advantages (20)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ClinicMaster Gap</w:t>
            </w:r>
          </w:p>
        </w:tc>
        <w:tc>
          <w:tcPr/>
          <w:p>
            <w:pPr>
              <w:pStyle w:val="Compact"/>
            </w:pPr>
            <w:r>
              <w:t xml:space="preserve">Medic8 Capability</w:t>
            </w:r>
          </w:p>
        </w:tc>
      </w:tr>
      <w:tr>
        <w:tc>
          <w:tcPr/>
          <w:p>
            <w:pPr>
              <w:pStyle w:val="Compact"/>
            </w:pPr>
            <w:r>
              <w:t xml:space="preserve">1</w:t>
            </w:r>
          </w:p>
        </w:tc>
        <w:tc>
          <w:tcPr/>
          <w:p>
            <w:pPr>
              <w:pStyle w:val="Compact"/>
            </w:pPr>
            <w:r>
              <w:t xml:space="preserve">Not SaaS — on-premise deployment per facility</w:t>
            </w:r>
          </w:p>
        </w:tc>
        <w:tc>
          <w:tcPr/>
          <w:p>
            <w:pPr>
              <w:pStyle w:val="Compact"/>
            </w:pPr>
            <w:r>
              <w:t xml:space="preserve">True cloud SaaS, operational in 2 hours</w:t>
            </w:r>
          </w:p>
        </w:tc>
      </w:tr>
      <w:tr>
        <w:tc>
          <w:tcPr/>
          <w:p>
            <w:pPr>
              <w:pStyle w:val="Compact"/>
            </w:pPr>
            <w:r>
              <w:t xml:space="preserve">2</w:t>
            </w:r>
          </w:p>
        </w:tc>
        <w:tc>
          <w:tcPr/>
          <w:p>
            <w:pPr>
              <w:pStyle w:val="Compact"/>
            </w:pPr>
            <w:r>
              <w:t xml:space="preserve">No transparent pricing — "contact us" model</w:t>
            </w:r>
          </w:p>
        </w:tc>
        <w:tc>
          <w:tcPr/>
          <w:p>
            <w:pPr>
              <w:pStyle w:val="Compact"/>
            </w:pPr>
            <w:r>
              <w:t xml:space="preserve">Published monthly pricing in UGX on the website</w:t>
            </w:r>
          </w:p>
        </w:tc>
      </w:tr>
      <w:tr>
        <w:tc>
          <w:tcPr/>
          <w:p>
            <w:pPr>
              <w:pStyle w:val="Compact"/>
            </w:pPr>
            <w:r>
              <w:t xml:space="preserve">3</w:t>
            </w:r>
          </w:p>
        </w:tc>
        <w:tc>
          <w:tcPr/>
          <w:p>
            <w:pPr>
              <w:pStyle w:val="Compact"/>
            </w:pPr>
            <w:r>
              <w:t xml:space="preserve">No patient mobile app</w:t>
            </w:r>
          </w:p>
        </w:tc>
        <w:tc>
          <w:tcPr/>
          <w:p>
            <w:pPr>
              <w:pStyle w:val="Compact"/>
            </w:pPr>
            <w:r>
              <w:t xml:space="preserve">Native Android app with records, lab results, appointments, and payments</w:t>
            </w:r>
          </w:p>
        </w:tc>
      </w:tr>
      <w:tr>
        <w:tc>
          <w:tcPr/>
          <w:p>
            <w:pPr>
              <w:pStyle w:val="Compact"/>
            </w:pPr>
            <w:r>
              <w:t xml:space="preserve">4</w:t>
            </w:r>
          </w:p>
        </w:tc>
        <w:tc>
          <w:tcPr/>
          <w:p>
            <w:pPr>
              <w:pStyle w:val="Compact"/>
            </w:pPr>
            <w:r>
              <w:t xml:space="preserve">No mobile money API</w:t>
            </w:r>
          </w:p>
        </w:tc>
        <w:tc>
          <w:tcPr/>
          <w:p>
            <w:pPr>
              <w:pStyle w:val="Compact"/>
            </w:pPr>
            <w:r>
              <w:t xml:space="preserve">MTN MoMo and Airtel Money API with auto-reconciliation</w:t>
            </w:r>
          </w:p>
        </w:tc>
      </w:tr>
      <w:tr>
        <w:tc>
          <w:tcPr/>
          <w:p>
            <w:pPr>
              <w:pStyle w:val="Compact"/>
            </w:pPr>
            <w:r>
              <w:t xml:space="preserve">5</w:t>
            </w:r>
          </w:p>
        </w:tc>
        <w:tc>
          <w:tcPr/>
          <w:p>
            <w:pPr>
              <w:pStyle w:val="Compact"/>
            </w:pPr>
            <w:r>
              <w:t xml:space="preserve">No offline-first architecture</w:t>
            </w:r>
          </w:p>
        </w:tc>
        <w:tc>
          <w:tcPr/>
          <w:p>
            <w:pPr>
              <w:pStyle w:val="Compact"/>
            </w:pPr>
            <w:r>
              <w:t xml:space="preserve">Room offline-first, full clinical workflow without internet connectivity</w:t>
            </w:r>
          </w:p>
        </w:tc>
      </w:tr>
      <w:tr>
        <w:tc>
          <w:tcPr/>
          <w:p>
            <w:pPr>
              <w:pStyle w:val="Compact"/>
            </w:pPr>
            <w:r>
              <w:t xml:space="preserve">6</w:t>
            </w:r>
          </w:p>
        </w:tc>
        <w:tc>
          <w:tcPr/>
          <w:p>
            <w:pPr>
              <w:pStyle w:val="Compact"/>
            </w:pPr>
            <w:r>
              <w:t xml:space="preserve">No FHIR API</w:t>
            </w:r>
          </w:p>
        </w:tc>
        <w:tc>
          <w:tcPr/>
          <w:p>
            <w:pPr>
              <w:pStyle w:val="Compact"/>
            </w:pPr>
            <w:r>
              <w:t xml:space="preserve">Full FHIR R4 with 14 resource types</w:t>
            </w:r>
          </w:p>
        </w:tc>
      </w:tr>
      <w:tr>
        <w:tc>
          <w:tcPr/>
          <w:p>
            <w:pPr>
              <w:pStyle w:val="Compact"/>
            </w:pPr>
            <w:r>
              <w:t xml:space="preserve">7</w:t>
            </w:r>
          </w:p>
        </w:tc>
        <w:tc>
          <w:tcPr/>
          <w:p>
            <w:pPr>
              <w:pStyle w:val="Compact"/>
            </w:pPr>
            <w:r>
              <w:t xml:space="preserve">No DHIS2 direct integration</w:t>
            </w:r>
          </w:p>
        </w:tc>
        <w:tc>
          <w:tcPr/>
          <w:p>
            <w:pPr>
              <w:pStyle w:val="Compact"/>
            </w:pPr>
            <w:r>
              <w:t xml:space="preserve">Auto-push HMIS 105/108 to DHIS2, zero double entry</w:t>
            </w:r>
          </w:p>
        </w:tc>
      </w:tr>
      <w:tr>
        <w:tc>
          <w:tcPr/>
          <w:p>
            <w:pPr>
              <w:pStyle w:val="Compact"/>
            </w:pPr>
            <w:r>
              <w:t xml:space="preserve">8</w:t>
            </w:r>
          </w:p>
        </w:tc>
        <w:tc>
          <w:tcPr/>
          <w:p>
            <w:pPr>
              <w:pStyle w:val="Compact"/>
            </w:pPr>
            <w:r>
              <w:t xml:space="preserve">No AI analytics</w:t>
            </w:r>
          </w:p>
        </w:tc>
        <w:tc>
          <w:tcPr/>
          <w:p>
            <w:pPr>
              <w:pStyle w:val="Compact"/>
            </w:pPr>
            <w:r>
              <w:t xml:space="preserve">AI natural-language queries, trend analysis, at-risk patient identification</w:t>
            </w:r>
          </w:p>
        </w:tc>
      </w:tr>
      <w:tr>
        <w:tc>
          <w:tcPr/>
          <w:p>
            <w:pPr>
              <w:pStyle w:val="Compact"/>
            </w:pPr>
            <w:r>
              <w:t xml:space="preserve">9</w:t>
            </w:r>
          </w:p>
        </w:tc>
        <w:tc>
          <w:tcPr/>
          <w:p>
            <w:pPr>
              <w:pStyle w:val="Compact"/>
            </w:pPr>
            <w:r>
              <w:t xml:space="preserve">No multi-facility SaaS architecture</w:t>
            </w:r>
          </w:p>
        </w:tc>
        <w:tc>
          <w:tcPr/>
          <w:p>
            <w:pPr>
              <w:pStyle w:val="Compact"/>
            </w:pPr>
            <w:r>
              <w:t xml:space="preserve">Director Platform with cross-facility analytics and centralised configuration</w:t>
            </w:r>
          </w:p>
        </w:tc>
      </w:tr>
      <w:tr>
        <w:tc>
          <w:tcPr/>
          <w:p>
            <w:pPr>
              <w:pStyle w:val="Compact"/>
            </w:pPr>
            <w:r>
              <w:t xml:space="preserve">10</w:t>
            </w:r>
          </w:p>
        </w:tc>
        <w:tc>
          <w:tcPr/>
          <w:p>
            <w:pPr>
              <w:pStyle w:val="Compact"/>
            </w:pPr>
            <w:r>
              <w:t xml:space="preserve">No CHW integration</w:t>
            </w:r>
          </w:p>
        </w:tc>
        <w:tc>
          <w:tcPr/>
          <w:p>
            <w:pPr>
              <w:pStyle w:val="Compact"/>
            </w:pPr>
            <w:r>
              <w:t xml:space="preserve">CHW/VHT Android app with community referral tracking</w:t>
            </w:r>
          </w:p>
        </w:tc>
      </w:tr>
      <w:tr>
        <w:tc>
          <w:tcPr/>
          <w:p>
            <w:pPr>
              <w:pStyle w:val="Compact"/>
            </w:pPr>
            <w:r>
              <w:t xml:space="preserve">11</w:t>
            </w:r>
          </w:p>
        </w:tc>
        <w:tc>
          <w:tcPr/>
          <w:p>
            <w:pPr>
              <w:pStyle w:val="Compact"/>
            </w:pPr>
            <w:r>
              <w:t xml:space="preserve">No telemedicine</w:t>
            </w:r>
          </w:p>
        </w:tc>
        <w:tc>
          <w:tcPr/>
          <w:p>
            <w:pPr>
              <w:pStyle w:val="Compact"/>
            </w:pPr>
            <w:r>
              <w:t xml:space="preserve">Video consultation module</w:t>
            </w:r>
          </w:p>
        </w:tc>
      </w:tr>
      <w:tr>
        <w:tc>
          <w:tcPr/>
          <w:p>
            <w:pPr>
              <w:pStyle w:val="Compact"/>
            </w:pPr>
            <w:r>
              <w:t xml:space="preserve">12</w:t>
            </w:r>
          </w:p>
        </w:tc>
        <w:tc>
          <w:tcPr/>
          <w:p>
            <w:pPr>
              <w:pStyle w:val="Compact"/>
            </w:pPr>
            <w:r>
              <w:t xml:space="preserve">No integrated payroll/HR with Uganda statutory</w:t>
            </w:r>
          </w:p>
        </w:tc>
        <w:tc>
          <w:tcPr/>
          <w:p>
            <w:pPr>
              <w:pStyle w:val="Compact"/>
            </w:pPr>
            <w:r>
              <w:t xml:space="preserve">Full HR with PAYE/NSSF deductions</w:t>
            </w:r>
          </w:p>
        </w:tc>
      </w:tr>
      <w:tr>
        <w:tc>
          <w:tcPr/>
          <w:p>
            <w:pPr>
              <w:pStyle w:val="Compact"/>
            </w:pPr>
            <w:r>
              <w:t xml:space="preserve">13</w:t>
            </w:r>
          </w:p>
        </w:tc>
        <w:tc>
          <w:tcPr/>
          <w:p>
            <w:pPr>
              <w:pStyle w:val="Compact"/>
            </w:pPr>
            <w:r>
              <w:t xml:space="preserve">No donor fund accounting</w:t>
            </w:r>
          </w:p>
        </w:tc>
        <w:tc>
          <w:tcPr/>
          <w:p>
            <w:pPr>
              <w:pStyle w:val="Compact"/>
            </w:pPr>
            <w:r>
              <w:t xml:space="preserve">PEPFAR/Global Fund/UNICEF ring-fenced cost centres</w:t>
            </w:r>
          </w:p>
        </w:tc>
      </w:tr>
      <w:tr>
        <w:tc>
          <w:tcPr/>
          <w:p>
            <w:pPr>
              <w:pStyle w:val="Compact"/>
            </w:pPr>
            <w:r>
              <w:t xml:space="preserve">14</w:t>
            </w:r>
          </w:p>
        </w:tc>
        <w:tc>
          <w:tcPr/>
          <w:p>
            <w:pPr>
              <w:pStyle w:val="Compact"/>
            </w:pPr>
            <w:r>
              <w:t xml:space="preserve">Limited to East/Southern Africa</w:t>
            </w:r>
          </w:p>
        </w:tc>
        <w:tc>
          <w:tcPr/>
          <w:p>
            <w:pPr>
              <w:pStyle w:val="Compact"/>
            </w:pPr>
            <w:r>
              <w:t xml:space="preserve">Globally configurable country configuration layer</w:t>
            </w:r>
          </w:p>
        </w:tc>
      </w:tr>
      <w:tr>
        <w:tc>
          <w:tcPr/>
          <w:p>
            <w:pPr>
              <w:pStyle w:val="Compact"/>
            </w:pPr>
            <w:r>
              <w:t xml:space="preserve">15</w:t>
            </w:r>
          </w:p>
        </w:tc>
        <w:tc>
          <w:tcPr/>
          <w:p>
            <w:pPr>
              <w:pStyle w:val="Compact"/>
            </w:pPr>
            <w:r>
              <w:t xml:space="preserve">No maternity specialisation</w:t>
            </w:r>
          </w:p>
        </w:tc>
        <w:tc>
          <w:tcPr/>
          <w:p>
            <w:pPr>
              <w:pStyle w:val="Compact"/>
            </w:pPr>
            <w:r>
              <w:t xml:space="preserve">Dedicated maternity module with partograph, PMTCT, and EmONC tracking</w:t>
            </w:r>
          </w:p>
        </w:tc>
      </w:tr>
      <w:tr>
        <w:tc>
          <w:tcPr/>
          <w:p>
            <w:pPr>
              <w:pStyle w:val="Compact"/>
            </w:pPr>
            <w:r>
              <w:t xml:space="preserve">16</w:t>
            </w:r>
          </w:p>
        </w:tc>
        <w:tc>
          <w:tcPr/>
          <w:p>
            <w:pPr>
              <w:pStyle w:val="Compact"/>
            </w:pPr>
            <w:r>
              <w:t xml:space="preserve">No generative AI at point of care</w:t>
            </w:r>
          </w:p>
        </w:tc>
        <w:tc>
          <w:tcPr/>
          <w:p>
            <w:pPr>
              <w:pStyle w:val="Compact"/>
            </w:pPr>
            <w:r>
              <w:t xml:space="preserve">AI-drafted SOAP notes, discharge summaries, and referral letters; clinician reviews and clicks</w:t>
            </w:r>
            <w:r>
              <w:t xml:space="preserve"> </w:t>
            </w:r>
            <w:r>
              <w:rPr>
                <w:b/>
                <w:bCs/>
              </w:rPr>
              <w:t xml:space="preserve">Approve Draft</w:t>
            </w:r>
            <w:r>
              <w:t xml:space="preserve"> </w:t>
            </w:r>
            <w:r>
              <w:t xml:space="preserve">before any text is saved to the patient record. No competitor in East Africa offers clinician-facing generative AI at the point of care.</w:t>
            </w:r>
          </w:p>
        </w:tc>
      </w:tr>
      <w:tr>
        <w:tc>
          <w:tcPr/>
          <w:p>
            <w:pPr>
              <w:pStyle w:val="Compact"/>
            </w:pPr>
            <w:r>
              <w:t xml:space="preserve">17</w:t>
            </w:r>
          </w:p>
        </w:tc>
        <w:tc>
          <w:tcPr/>
          <w:p>
            <w:pPr>
              <w:pStyle w:val="Compact"/>
            </w:pPr>
            <w:r>
              <w:t xml:space="preserve">No AI claim scrubbing</w:t>
            </w:r>
          </w:p>
        </w:tc>
        <w:tc>
          <w:tcPr/>
          <w:p>
            <w:pPr>
              <w:pStyle w:val="Compact"/>
            </w:pPr>
            <w:r>
              <w:t xml:space="preserve">Rejection probability prediction per claim line item before submission, reducing re-submission cycles and revenue leakage</w:t>
            </w:r>
          </w:p>
        </w:tc>
      </w:tr>
      <w:tr>
        <w:tc>
          <w:tcPr/>
          <w:p>
            <w:pPr>
              <w:pStyle w:val="Compact"/>
            </w:pPr>
            <w:r>
              <w:t xml:space="preserve">18</w:t>
            </w:r>
          </w:p>
        </w:tc>
        <w:tc>
          <w:tcPr/>
          <w:p>
            <w:pPr>
              <w:pStyle w:val="Compact"/>
            </w:pPr>
            <w:r>
              <w:t xml:space="preserve">No facility-level outbreak early warning</w:t>
            </w:r>
          </w:p>
        </w:tc>
        <w:tc>
          <w:tcPr/>
          <w:p>
            <w:pPr>
              <w:pStyle w:val="Compact"/>
            </w:pPr>
            <w:r>
              <w:t xml:space="preserve">Anomalous diagnosis clustering detected before the IDSR national threshold is crossed; Medical Officer alerted with disease codes, patient volume, and percentage deviation from the 90-day baseline</w:t>
            </w:r>
          </w:p>
        </w:tc>
      </w:tr>
      <w:tr>
        <w:tc>
          <w:tcPr/>
          <w:p>
            <w:pPr>
              <w:pStyle w:val="Compact"/>
            </w:pPr>
            <w:r>
              <w:t xml:space="preserve">19</w:t>
            </w:r>
          </w:p>
        </w:tc>
        <w:tc>
          <w:tcPr/>
          <w:p>
            <w:pPr>
              <w:pStyle w:val="Compact"/>
            </w:pPr>
            <w:r>
              <w:t xml:space="preserve">English-only interface</w:t>
            </w:r>
          </w:p>
        </w:tc>
        <w:tc>
          <w:tcPr/>
          <w:p>
            <w:pPr>
              <w:pStyle w:val="Compact"/>
            </w:pPr>
            <w:r>
              <w:t xml:space="preserve">English, French, and Kiswahili from day one; targets French-speaking DRC (1,200+ facilities), Rwanda, Cameroon, and Francophone West Africa</w:t>
            </w:r>
          </w:p>
        </w:tc>
      </w:tr>
      <w:tr>
        <w:tc>
          <w:tcPr/>
          <w:p>
            <w:pPr>
              <w:pStyle w:val="Compact"/>
            </w:pPr>
            <w:r>
              <w:t xml:space="preserve">20</w:t>
            </w:r>
          </w:p>
        </w:tc>
        <w:tc>
          <w:tcPr/>
          <w:p>
            <w:pPr>
              <w:pStyle w:val="Compact"/>
            </w:pPr>
            <w:r>
              <w:t xml:space="preserve">Single AI vendor lock-in risk</w:t>
            </w:r>
          </w:p>
        </w:tc>
        <w:tc>
          <w:tcPr/>
          <w:p>
            <w:pPr>
              <w:pStyle w:val="Compact"/>
            </w:pPr>
            <w:r>
              <w:t xml:space="preserve">Provider-agnostic AI adapter; facilities switch between OpenAI, Anthropic, DeepSeek, and Gemini from the admin panel without a code change</w:t>
            </w:r>
          </w:p>
        </w:tc>
      </w:tr>
    </w:tbl>
    <w:p>
      <w:r>
        <w:pict>
          <v:rect style="width:0;height:1.5pt" o:hralign="center" o:hrstd="t" o:hr="t"/>
        </w:pict>
      </w:r>
    </w:p>
    <w:bookmarkEnd w:id="50"/>
    <w:bookmarkEnd w:id="51"/>
    <w:bookmarkStart w:id="55" w:name="Xfdeac52fb28daf360f2fb41cb7429815230a16a"/>
    <w:p>
      <w:pPr>
        <w:pStyle w:val="Heading2"/>
      </w:pPr>
      <w:r>
        <w:t xml:space="preserve">5.2 OpenMRS Comparison</w:t>
      </w:r>
    </w:p>
    <w:p>
      <w:pPr>
        <w:pStyle w:val="FirstParagraph"/>
      </w:pPr>
      <w:r>
        <w:t xml:space="preserve">OpenMRS is deployed in 8,000+ facilities across 70+ countries. It is the EMR of choice for PEPFAR and Global Fund programmes. UgandaEMR is the national fork for Uganda. It is free to download and costs USD 35,000-130,000 to operate over 3 years.</w:t>
      </w:r>
    </w:p>
    <w:bookmarkStart w:id="52" w:name="Xcbadb2917d436bc7fd3195fded367d1bdf68f47"/>
    <w:p>
      <w:pPr>
        <w:pStyle w:val="Heading3"/>
      </w:pPr>
      <w:r>
        <w:t xml:space="preserve">5.2.1 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OpenMRS</w:t>
            </w:r>
          </w:p>
        </w:tc>
        <w:tc>
          <w:tcPr/>
          <w:p>
            <w:pPr>
              <w:pStyle w:val="Compact"/>
            </w:pPr>
            <w:r>
              <w:t xml:space="preserve">Medic8</w:t>
            </w:r>
          </w:p>
        </w:tc>
        <w:tc>
          <w:tcPr/>
          <w:p>
            <w:pPr>
              <w:pStyle w:val="Compact"/>
            </w:pPr>
            <w:r>
              <w:t xml:space="preserve">Medic8 Advantage</w:t>
            </w:r>
          </w:p>
        </w:tc>
      </w:tr>
      <w:tr>
        <w:tc>
          <w:tcPr/>
          <w:p>
            <w:pPr>
              <w:pStyle w:val="Compact"/>
            </w:pPr>
            <w:r>
              <w:t xml:space="preserve">Patient registration</w:t>
            </w:r>
          </w:p>
        </w:tc>
        <w:tc>
          <w:tcPr/>
          <w:p>
            <w:pPr>
              <w:pStyle w:val="Compact"/>
            </w:pPr>
            <w:r>
              <w:t xml:space="preserve">Yes</w:t>
            </w:r>
          </w:p>
        </w:tc>
        <w:tc>
          <w:tcPr/>
          <w:p>
            <w:pPr>
              <w:pStyle w:val="Compact"/>
            </w:pPr>
            <w:r>
              <w:t xml:space="preserve">Yes</w:t>
            </w:r>
          </w:p>
        </w:tc>
        <w:tc>
          <w:tcPr/>
          <w:p>
            <w:pPr>
              <w:pStyle w:val="Compact"/>
            </w:pPr>
            <w:r>
              <w:t xml:space="preserve">Equivalent + global identity layer, biometric, UNHCR ID</w:t>
            </w:r>
          </w:p>
        </w:tc>
      </w:tr>
      <w:tr>
        <w:tc>
          <w:tcPr/>
          <w:p>
            <w:pPr>
              <w:pStyle w:val="Compact"/>
            </w:pPr>
            <w:r>
              <w:t xml:space="preserve">Clinical documentation</w:t>
            </w:r>
          </w:p>
        </w:tc>
        <w:tc>
          <w:tcPr/>
          <w:p>
            <w:pPr>
              <w:pStyle w:val="Compact"/>
            </w:pPr>
            <w:r>
              <w:t xml:space="preserve">Yes</w:t>
            </w:r>
          </w:p>
        </w:tc>
        <w:tc>
          <w:tcPr/>
          <w:p>
            <w:pPr>
              <w:pStyle w:val="Compact"/>
            </w:pPr>
            <w:r>
              <w:t xml:space="preserve">Yes</w:t>
            </w:r>
          </w:p>
        </w:tc>
        <w:tc>
          <w:tcPr/>
          <w:p>
            <w:pPr>
              <w:pStyle w:val="Compact"/>
            </w:pPr>
            <w:r>
              <w:t xml:space="preserve">Equivalent + AI-assisted documentation</w:t>
            </w:r>
          </w:p>
        </w:tc>
      </w:tr>
      <w:tr>
        <w:tc>
          <w:tcPr/>
          <w:p>
            <w:pPr>
              <w:pStyle w:val="Compact"/>
            </w:pPr>
            <w:r>
              <w:t xml:space="preserve">ICD coding</w:t>
            </w:r>
          </w:p>
        </w:tc>
        <w:tc>
          <w:tcPr/>
          <w:p>
            <w:pPr>
              <w:pStyle w:val="Compact"/>
            </w:pPr>
            <w:r>
              <w:t xml:space="preserve">ICD-10</w:t>
            </w:r>
          </w:p>
        </w:tc>
        <w:tc>
          <w:tcPr/>
          <w:p>
            <w:pPr>
              <w:pStyle w:val="Compact"/>
            </w:pPr>
            <w:r>
              <w:t xml:space="preserve">ICD-10 + ICD-11</w:t>
            </w:r>
          </w:p>
        </w:tc>
        <w:tc>
          <w:tcPr/>
          <w:p>
            <w:pPr>
              <w:pStyle w:val="Compact"/>
            </w:pPr>
            <w:r>
              <w:t xml:space="preserve">Current WHO classification</w:t>
            </w:r>
          </w:p>
        </w:tc>
      </w:tr>
      <w:tr>
        <w:tc>
          <w:tcPr/>
          <w:p>
            <w:pPr>
              <w:pStyle w:val="Compact"/>
            </w:pPr>
            <w:r>
              <w:t xml:space="preserve">FHIR R4 API</w:t>
            </w:r>
          </w:p>
        </w:tc>
        <w:tc>
          <w:tcPr/>
          <w:p>
            <w:pPr>
              <w:pStyle w:val="Compact"/>
            </w:pPr>
            <w:r>
              <w:t xml:space="preserve">Yes (partial)</w:t>
            </w:r>
          </w:p>
        </w:tc>
        <w:tc>
          <w:tcPr/>
          <w:p>
            <w:pPr>
              <w:pStyle w:val="Compact"/>
            </w:pPr>
            <w:r>
              <w:t xml:space="preserve">Yes</w:t>
            </w:r>
          </w:p>
        </w:tc>
        <w:tc>
          <w:tcPr/>
          <w:p>
            <w:pPr>
              <w:pStyle w:val="Compact"/>
            </w:pPr>
            <w:r>
              <w:t xml:space="preserve">Equivalent + 14 resource types</w:t>
            </w:r>
          </w:p>
        </w:tc>
      </w:tr>
      <w:tr>
        <w:tc>
          <w:tcPr/>
          <w:p>
            <w:pPr>
              <w:pStyle w:val="Compact"/>
            </w:pPr>
            <w:r>
              <w:t xml:space="preserve">DHIS2 integration</w:t>
            </w:r>
          </w:p>
        </w:tc>
        <w:tc>
          <w:tcPr/>
          <w:p>
            <w:pPr>
              <w:pStyle w:val="Compact"/>
            </w:pPr>
            <w:r>
              <w:t xml:space="preserve">Yes</w:t>
            </w:r>
          </w:p>
        </w:tc>
        <w:tc>
          <w:tcPr/>
          <w:p>
            <w:pPr>
              <w:pStyle w:val="Compact"/>
            </w:pPr>
            <w:r>
              <w:t xml:space="preserve">Yes</w:t>
            </w:r>
          </w:p>
        </w:tc>
        <w:tc>
          <w:tcPr/>
          <w:p>
            <w:pPr>
              <w:pStyle w:val="Compact"/>
            </w:pPr>
            <w:r>
              <w:t xml:space="preserve">Equivalent + auto-push (zero double-entry)</w:t>
            </w:r>
          </w:p>
        </w:tc>
      </w:tr>
      <w:tr>
        <w:tc>
          <w:tcPr/>
          <w:p>
            <w:pPr>
              <w:pStyle w:val="Compact"/>
            </w:pPr>
            <w:r>
              <w:t xml:space="preserve">Offline capability</w:t>
            </w:r>
          </w:p>
        </w:tc>
        <w:tc>
          <w:tcPr/>
          <w:p>
            <w:pPr>
              <w:pStyle w:val="Compact"/>
            </w:pPr>
            <w:r>
              <w:t xml:space="preserve">Some distributions</w:t>
            </w:r>
          </w:p>
        </w:tc>
        <w:tc>
          <w:tcPr/>
          <w:p>
            <w:pPr>
              <w:pStyle w:val="Compact"/>
            </w:pPr>
            <w:r>
              <w:t xml:space="preserve">All clinical workflows</w:t>
            </w:r>
          </w:p>
        </w:tc>
        <w:tc>
          <w:tcPr/>
          <w:p>
            <w:pPr>
              <w:pStyle w:val="Compact"/>
            </w:pPr>
            <w:r>
              <w:t xml:space="preserve">Consistent offline-first architecture across all modules</w:t>
            </w:r>
          </w:p>
        </w:tc>
      </w:tr>
      <w:tr>
        <w:tc>
          <w:tcPr/>
          <w:p>
            <w:pPr>
              <w:pStyle w:val="Compact"/>
            </w:pPr>
            <w:r>
              <w:t xml:space="preserve">Billing</w:t>
            </w:r>
          </w:p>
        </w:tc>
        <w:tc>
          <w:tcPr/>
          <w:p>
            <w:pPr>
              <w:pStyle w:val="Compact"/>
            </w:pPr>
            <w:r>
              <w:t xml:space="preserve">No — requires OpenHMIS or separate system</w:t>
            </w:r>
          </w:p>
        </w:tc>
        <w:tc>
          <w:tcPr/>
          <w:p>
            <w:pPr>
              <w:pStyle w:val="Compact"/>
            </w:pPr>
            <w:r>
              <w:t xml:space="preserve">Integrated</w:t>
            </w:r>
          </w:p>
        </w:tc>
        <w:tc>
          <w:tcPr/>
          <w:p>
            <w:pPr>
              <w:pStyle w:val="Compact"/>
            </w:pPr>
            <w:r>
              <w:t xml:space="preserve">Eliminates bolt-on cost (</w:t>
            </w:r>
            <m:oMath>
              <m:r>
                <m:t>3</m:t>
              </m:r>
              <m:r>
                <m:rPr>
                  <m:sty m:val="p"/>
                </m:rPr>
                <m:t>,</m:t>
              </m:r>
              <m:r>
                <m:t>000</m:t>
              </m:r>
              <m:r>
                <m:rPr>
                  <m:sty m:val="p"/>
                </m:rPr>
                <m:t>−</m:t>
              </m:r>
            </m:oMath>
            <w:r>
              <w:t xml:space="preserve">15,000 over 3 years)</w:t>
            </w:r>
          </w:p>
        </w:tc>
      </w:tr>
      <w:tr>
        <w:tc>
          <w:tcPr/>
          <w:p>
            <w:pPr>
              <w:pStyle w:val="Compact"/>
            </w:pPr>
            <w:r>
              <w:t xml:space="preserve">Insurance management</w:t>
            </w:r>
          </w:p>
        </w:tc>
        <w:tc>
          <w:tcPr/>
          <w:p>
            <w:pPr>
              <w:pStyle w:val="Compact"/>
            </w:pPr>
            <w:r>
              <w:t xml:space="preserve">No — custom build required</w:t>
            </w:r>
          </w:p>
        </w:tc>
        <w:tc>
          <w:tcPr/>
          <w:p>
            <w:pPr>
              <w:pStyle w:val="Compact"/>
            </w:pPr>
            <w:r>
              <w:t xml:space="preserve">Integrated</w:t>
            </w:r>
          </w:p>
        </w:tc>
        <w:tc>
          <w:tcPr/>
          <w:p>
            <w:pPr>
              <w:pStyle w:val="Compact"/>
            </w:pPr>
            <w:r>
              <w:t xml:space="preserve">Eliminates custom development cost (</w:t>
            </w:r>
            <m:oMath>
              <m:r>
                <m:t>5</m:t>
              </m:r>
              <m:r>
                <m:rPr>
                  <m:sty m:val="p"/>
                </m:rPr>
                <m:t>,</m:t>
              </m:r>
              <m:r>
                <m:t>000</m:t>
              </m:r>
              <m:r>
                <m:rPr>
                  <m:sty m:val="p"/>
                </m:rPr>
                <m:t>−</m:t>
              </m:r>
            </m:oMath>
            <w:r>
              <w:t xml:space="preserve">25,000)</w:t>
            </w:r>
          </w:p>
        </w:tc>
      </w:tr>
      <w:tr>
        <w:tc>
          <w:tcPr/>
          <w:p>
            <w:pPr>
              <w:pStyle w:val="Compact"/>
            </w:pPr>
            <w:r>
              <w:t xml:space="preserve">HR/Payroll</w:t>
            </w:r>
          </w:p>
        </w:tc>
        <w:tc>
          <w:tcPr/>
          <w:p>
            <w:pPr>
              <w:pStyle w:val="Compact"/>
            </w:pPr>
            <w:r>
              <w:t xml:space="preserve">No — external system required</w:t>
            </w:r>
          </w:p>
        </w:tc>
        <w:tc>
          <w:tcPr/>
          <w:p>
            <w:pPr>
              <w:pStyle w:val="Compact"/>
            </w:pPr>
            <w:r>
              <w:t xml:space="preserve">Integrated</w:t>
            </w:r>
          </w:p>
        </w:tc>
        <w:tc>
          <w:tcPr/>
          <w:p>
            <w:pPr>
              <w:pStyle w:val="Compact"/>
            </w:pPr>
            <w:r>
              <w:t xml:space="preserve">Eliminates external system cost (</w:t>
            </w:r>
            <m:oMath>
              <m:r>
                <m:t>2</m:t>
              </m:r>
              <m:r>
                <m:rPr>
                  <m:sty m:val="p"/>
                </m:rPr>
                <m:t>,</m:t>
              </m:r>
              <m:r>
                <m:t>000</m:t>
              </m:r>
              <m:r>
                <m:rPr>
                  <m:sty m:val="p"/>
                </m:rPr>
                <m:t>−</m:t>
              </m:r>
            </m:oMath>
            <w:r>
              <w:t xml:space="preserve">8,000)</w:t>
            </w:r>
          </w:p>
        </w:tc>
      </w:tr>
      <w:tr>
        <w:tc>
          <w:tcPr/>
          <w:p>
            <w:pPr>
              <w:pStyle w:val="Compact"/>
            </w:pPr>
            <w:r>
              <w:t xml:space="preserve">Mobile money</w:t>
            </w:r>
          </w:p>
        </w:tc>
        <w:tc>
          <w:tcPr/>
          <w:p>
            <w:pPr>
              <w:pStyle w:val="Compact"/>
            </w:pPr>
            <w:r>
              <w:t xml:space="preserve">No — external integration required</w:t>
            </w:r>
          </w:p>
        </w:tc>
        <w:tc>
          <w:tcPr/>
          <w:p>
            <w:pPr>
              <w:pStyle w:val="Compact"/>
            </w:pPr>
            <w:r>
              <w:t xml:space="preserve">Integrated</w:t>
            </w:r>
          </w:p>
        </w:tc>
        <w:tc>
          <w:tcPr/>
          <w:p>
            <w:pPr>
              <w:pStyle w:val="Compact"/>
            </w:pPr>
            <w:r>
              <w:t xml:space="preserve">Native MoMo/Airtel Money API with auto-reconciliation</w:t>
            </w:r>
          </w:p>
        </w:tc>
      </w:tr>
      <w:tr>
        <w:tc>
          <w:tcPr/>
          <w:p>
            <w:pPr>
              <w:pStyle w:val="Compact"/>
            </w:pPr>
            <w:r>
              <w:t xml:space="preserve">Patient mobile app</w:t>
            </w:r>
          </w:p>
        </w:tc>
        <w:tc>
          <w:tcPr/>
          <w:p>
            <w:pPr>
              <w:pStyle w:val="Compact"/>
            </w:pPr>
            <w:r>
              <w:t xml:space="preserve">No</w:t>
            </w:r>
          </w:p>
        </w:tc>
        <w:tc>
          <w:tcPr/>
          <w:p>
            <w:pPr>
              <w:pStyle w:val="Compact"/>
            </w:pPr>
            <w:r>
              <w:t xml:space="preserve">Native Android</w:t>
            </w:r>
          </w:p>
        </w:tc>
        <w:tc>
          <w:tcPr/>
          <w:p>
            <w:pPr>
              <w:pStyle w:val="Compact"/>
            </w:pPr>
            <w:r>
              <w:t xml:space="preserve">Patient engagement channel for records, results, appointments, payments</w:t>
            </w:r>
          </w:p>
        </w:tc>
      </w:tr>
      <w:tr>
        <w:tc>
          <w:tcPr/>
          <w:p>
            <w:pPr>
              <w:pStyle w:val="Compact"/>
            </w:pPr>
            <w:r>
              <w:t xml:space="preserve">Financial accounting</w:t>
            </w:r>
          </w:p>
        </w:tc>
        <w:tc>
          <w:tcPr/>
          <w:p>
            <w:pPr>
              <w:pStyle w:val="Compact"/>
            </w:pPr>
            <w:r>
              <w:t xml:space="preserve">No</w:t>
            </w:r>
          </w:p>
        </w:tc>
        <w:tc>
          <w:tcPr/>
          <w:p>
            <w:pPr>
              <w:pStyle w:val="Compact"/>
            </w:pPr>
            <w:r>
              <w:t xml:space="preserve">Dual-mode (simple + advanced)</w:t>
            </w:r>
          </w:p>
        </w:tc>
        <w:tc>
          <w:tcPr/>
          <w:p>
            <w:pPr>
              <w:pStyle w:val="Compact"/>
            </w:pPr>
            <w:r>
              <w:t xml:space="preserve">Complete financial management including donor fund ring-fencing</w:t>
            </w:r>
          </w:p>
        </w:tc>
      </w:tr>
      <w:tr>
        <w:tc>
          <w:tcPr/>
          <w:p>
            <w:pPr>
              <w:pStyle w:val="Compact"/>
            </w:pPr>
            <w:r>
              <w:t xml:space="preserve">Inventory management</w:t>
            </w:r>
          </w:p>
        </w:tc>
        <w:tc>
          <w:tcPr/>
          <w:p>
            <w:pPr>
              <w:pStyle w:val="Compact"/>
            </w:pPr>
            <w:r>
              <w:t xml:space="preserve">Basic pharmacy only</w:t>
            </w:r>
          </w:p>
        </w:tc>
        <w:tc>
          <w:tcPr/>
          <w:p>
            <w:pPr>
              <w:pStyle w:val="Compact"/>
            </w:pPr>
            <w:r>
              <w:t xml:space="preserve">Multi-store with NMS ordering</w:t>
            </w:r>
          </w:p>
        </w:tc>
        <w:tc>
          <w:tcPr/>
          <w:p>
            <w:pPr>
              <w:pStyle w:val="Compact"/>
            </w:pPr>
            <w:r>
              <w:t xml:space="preserve">Full supply chain visibility across all stores</w:t>
            </w:r>
          </w:p>
        </w:tc>
      </w:tr>
      <w:tr>
        <w:tc>
          <w:tcPr/>
          <w:p>
            <w:pPr>
              <w:pStyle w:val="Compact"/>
            </w:pPr>
            <w:r>
              <w:t xml:space="preserve">UI consistency</w:t>
            </w:r>
          </w:p>
        </w:tc>
        <w:tc>
          <w:tcPr/>
          <w:p>
            <w:pPr>
              <w:pStyle w:val="Compact"/>
            </w:pPr>
            <w:r>
              <w:t xml:space="preserve">Multiple frameworks, varying quality</w:t>
            </w:r>
          </w:p>
        </w:tc>
        <w:tc>
          <w:tcPr/>
          <w:p>
            <w:pPr>
              <w:pStyle w:val="Compact"/>
            </w:pPr>
            <w:r>
              <w:t xml:space="preserve">Unified interface with role-scoped views</w:t>
            </w:r>
          </w:p>
        </w:tc>
        <w:tc>
          <w:tcPr/>
          <w:p>
            <w:pPr>
              <w:pStyle w:val="Compact"/>
            </w:pPr>
            <w:r>
              <w:t xml:space="preserve">Consistent user experience across all 32 modules</w:t>
            </w:r>
          </w:p>
        </w:tc>
      </w:tr>
      <w:tr>
        <w:tc>
          <w:tcPr/>
          <w:p>
            <w:pPr>
              <w:pStyle w:val="Compact"/>
            </w:pPr>
            <w:r>
              <w:t xml:space="preserve">Support model</w:t>
            </w:r>
          </w:p>
        </w:tc>
        <w:tc>
          <w:tcPr/>
          <w:p>
            <w:pPr>
              <w:pStyle w:val="Compact"/>
            </w:pPr>
            <w:r>
              <w:t xml:space="preserve">Community only</w:t>
            </w:r>
          </w:p>
        </w:tc>
        <w:tc>
          <w:tcPr/>
          <w:p>
            <w:pPr>
              <w:pStyle w:val="Compact"/>
            </w:pPr>
            <w:r>
              <w:t xml:space="preserve">Direct Uganda-based support team</w:t>
            </w:r>
          </w:p>
        </w:tc>
        <w:tc>
          <w:tcPr/>
          <w:p>
            <w:pPr>
              <w:pStyle w:val="Compact"/>
            </w:pPr>
            <w:r>
              <w:t xml:space="preserve">Vendor accountability with MoH reporting knowledge</w:t>
            </w:r>
          </w:p>
        </w:tc>
      </w:tr>
      <w:tr>
        <w:tc>
          <w:tcPr/>
          <w:p>
            <w:pPr>
              <w:pStyle w:val="Compact"/>
            </w:pPr>
            <w:r>
              <w:t xml:space="preserve">AI capabilities</w:t>
            </w:r>
          </w:p>
        </w:tc>
        <w:tc>
          <w:tcPr/>
          <w:p>
            <w:pPr>
              <w:pStyle w:val="Compact"/>
            </w:pPr>
            <w:r>
              <w:t xml:space="preserve">None</w:t>
            </w:r>
          </w:p>
        </w:tc>
        <w:tc>
          <w:tcPr/>
          <w:p>
            <w:pPr>
              <w:pStyle w:val="Compact"/>
            </w:pPr>
            <w:r>
              <w:t xml:space="preserve">6 capabilities: Clinical Documentation, ICD Coding Assist, Differential Diagnosis, Claim Scrubbing, Outbreak Early Warning, Patient Plain-Language Summary</w:t>
            </w:r>
          </w:p>
        </w:tc>
        <w:tc>
          <w:tcPr/>
          <w:p>
            <w:pPr>
              <w:pStyle w:val="Compact"/>
            </w:pPr>
            <w:r>
              <w:t xml:space="preserve">No competitor in East Africa offers this</w:t>
            </w:r>
          </w:p>
        </w:tc>
      </w:tr>
      <w:tr>
        <w:tc>
          <w:tcPr/>
          <w:p>
            <w:pPr>
              <w:pStyle w:val="Compact"/>
            </w:pPr>
            <w:r>
              <w:t xml:space="preserve">French-language interface</w:t>
            </w:r>
          </w:p>
        </w:tc>
        <w:tc>
          <w:tcPr/>
          <w:p>
            <w:pPr>
              <w:pStyle w:val="Compact"/>
            </w:pPr>
            <w:r>
              <w:t xml:space="preserve">Community translations — incomplete and untested in clinical settings</w:t>
            </w:r>
          </w:p>
        </w:tc>
        <w:tc>
          <w:tcPr/>
          <w:p>
            <w:pPr>
              <w:pStyle w:val="Compact"/>
            </w:pPr>
            <w:r>
              <w:t xml:space="preserve">Complete, clinician-reviewed French interface at Phase 1 ship</w:t>
            </w:r>
          </w:p>
        </w:tc>
        <w:tc>
          <w:tcPr/>
          <w:p>
            <w:pPr>
              <w:pStyle w:val="Compact"/>
            </w:pPr>
            <w:r>
              <w:t xml:space="preserve">Unlocks DRC (1,200+ facilities), Rwanda, Cameroon</w:t>
            </w:r>
          </w:p>
        </w:tc>
      </w:tr>
      <w:tr>
        <w:tc>
          <w:tcPr/>
          <w:p>
            <w:pPr>
              <w:pStyle w:val="Compact"/>
            </w:pPr>
            <w:r>
              <w:t xml:space="preserve">Kiswahili-language interface</w:t>
            </w:r>
          </w:p>
        </w:tc>
        <w:tc>
          <w:tcPr/>
          <w:p>
            <w:pPr>
              <w:pStyle w:val="Compact"/>
            </w:pPr>
            <w:r>
              <w:t xml:space="preserve">Community translations — incomplete and untested</w:t>
            </w:r>
          </w:p>
        </w:tc>
        <w:tc>
          <w:tcPr/>
          <w:p>
            <w:pPr>
              <w:pStyle w:val="Compact"/>
            </w:pPr>
            <w:r>
              <w:t xml:space="preserve">Complete, clinician-reviewed Kiswahili interface at Phase 1 ship</w:t>
            </w:r>
          </w:p>
        </w:tc>
        <w:tc>
          <w:tcPr/>
          <w:p>
            <w:pPr>
              <w:pStyle w:val="Compact"/>
            </w:pPr>
            <w:r>
              <w:t xml:space="preserve">Deepens Uganda/Tanzania/Kenya penetration</w:t>
            </w:r>
          </w:p>
        </w:tc>
      </w:tr>
    </w:tbl>
    <w:bookmarkEnd w:id="52"/>
    <w:bookmarkStart w:id="53" w:name="Xf50783ac513e45ab7f11c9e288a3ed4d065a7a8"/>
    <w:p>
      <w:pPr>
        <w:pStyle w:val="Heading3"/>
      </w:pPr>
      <w:r>
        <w:t xml:space="preserve">5.2.2 OpenMRS Gaps — Medic8 Advantages (14)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OpenMRS Gap</w:t>
            </w:r>
          </w:p>
        </w:tc>
        <w:tc>
          <w:tcPr/>
          <w:p>
            <w:pPr>
              <w:pStyle w:val="Compact"/>
            </w:pPr>
            <w:r>
              <w:t xml:space="preserve">Medic8 Capability</w:t>
            </w:r>
          </w:p>
        </w:tc>
      </w:tr>
      <w:tr>
        <w:tc>
          <w:tcPr/>
          <w:p>
            <w:pPr>
              <w:pStyle w:val="Compact"/>
            </w:pPr>
            <w:r>
              <w:t xml:space="preserve">1</w:t>
            </w:r>
          </w:p>
        </w:tc>
        <w:tc>
          <w:tcPr/>
          <w:p>
            <w:pPr>
              <w:pStyle w:val="Compact"/>
            </w:pPr>
            <w:r>
              <w:t xml:space="preserve">No integrated billing — requires separate OpenHMIS or Odoo integration</w:t>
            </w:r>
          </w:p>
        </w:tc>
        <w:tc>
          <w:tcPr/>
          <w:p>
            <w:pPr>
              <w:pStyle w:val="Compact"/>
            </w:pPr>
            <w:r>
              <w:t xml:space="preserve">Full billing module with cash, mobile money, and insurance</w:t>
            </w:r>
          </w:p>
        </w:tc>
      </w:tr>
      <w:tr>
        <w:tc>
          <w:tcPr/>
          <w:p>
            <w:pPr>
              <w:pStyle w:val="Compact"/>
            </w:pPr>
            <w:r>
              <w:t xml:space="preserve">2</w:t>
            </w:r>
          </w:p>
        </w:tc>
        <w:tc>
          <w:tcPr/>
          <w:p>
            <w:pPr>
              <w:pStyle w:val="Compact"/>
            </w:pPr>
            <w:r>
              <w:t xml:space="preserve">No insurance management — custom build required per deployment</w:t>
            </w:r>
          </w:p>
        </w:tc>
        <w:tc>
          <w:tcPr/>
          <w:p>
            <w:pPr>
              <w:pStyle w:val="Compact"/>
            </w:pPr>
            <w:r>
              <w:t xml:space="preserve">Pre-authorisation, claims submission, AI Claim Scrubbing, rejection analytics, NHIS integration</w:t>
            </w:r>
          </w:p>
        </w:tc>
      </w:tr>
      <w:tr>
        <w:tc>
          <w:tcPr/>
          <w:p>
            <w:pPr>
              <w:pStyle w:val="Compact"/>
            </w:pPr>
            <w:r>
              <w:t xml:space="preserve">3</w:t>
            </w:r>
          </w:p>
        </w:tc>
        <w:tc>
          <w:tcPr/>
          <w:p>
            <w:pPr>
              <w:pStyle w:val="Compact"/>
            </w:pPr>
            <w:r>
              <w:t xml:space="preserve">No HR/payroll — entirely external system</w:t>
            </w:r>
          </w:p>
        </w:tc>
        <w:tc>
          <w:tcPr/>
          <w:p>
            <w:pPr>
              <w:pStyle w:val="Compact"/>
            </w:pPr>
            <w:r>
              <w:t xml:space="preserve">Full HR with PAYE/NSSF statutory deductions</w:t>
            </w:r>
          </w:p>
        </w:tc>
      </w:tr>
      <w:tr>
        <w:tc>
          <w:tcPr/>
          <w:p>
            <w:pPr>
              <w:pStyle w:val="Compact"/>
            </w:pPr>
            <w:r>
              <w:t xml:space="preserve">4</w:t>
            </w:r>
          </w:p>
        </w:tc>
        <w:tc>
          <w:tcPr/>
          <w:p>
            <w:pPr>
              <w:pStyle w:val="Compact"/>
            </w:pPr>
            <w:r>
              <w:t xml:space="preserve">No mobile money — external integration required</w:t>
            </w:r>
          </w:p>
        </w:tc>
        <w:tc>
          <w:tcPr/>
          <w:p>
            <w:pPr>
              <w:pStyle w:val="Compact"/>
            </w:pPr>
            <w:r>
              <w:t xml:space="preserve">MTN MoMo, Airtel Money, M-Pesa API integration</w:t>
            </w:r>
          </w:p>
        </w:tc>
      </w:tr>
      <w:tr>
        <w:tc>
          <w:tcPr/>
          <w:p>
            <w:pPr>
              <w:pStyle w:val="Compact"/>
            </w:pPr>
            <w:r>
              <w:t xml:space="preserve">5</w:t>
            </w:r>
          </w:p>
        </w:tc>
        <w:tc>
          <w:tcPr/>
          <w:p>
            <w:pPr>
              <w:pStyle w:val="Compact"/>
            </w:pPr>
            <w:r>
              <w:t xml:space="preserve">Implementation cost</w:t>
            </w:r>
            <w:r>
              <w:t xml:space="preserve"> </w:t>
            </w:r>
            <m:oMath>
              <m:r>
                <m:t>10</m:t>
              </m:r>
              <m:r>
                <m:rPr>
                  <m:sty m:val="p"/>
                </m:rPr>
                <m:t>,</m:t>
              </m:r>
              <m:r>
                <m:t>000</m:t>
              </m:r>
              <m:r>
                <m:rPr>
                  <m:sty m:val="p"/>
                </m:rPr>
                <m:t>−</m:t>
              </m:r>
            </m:oMath>
            <w:r>
              <w:t xml:space="preserve">100,000+ — Java developers scarce in Uganda at USD 80-120/hour</w:t>
            </w:r>
          </w:p>
        </w:tc>
        <w:tc>
          <w:tcPr/>
          <w:p>
            <w:pPr>
              <w:pStyle w:val="Compact"/>
            </w:pPr>
            <w:r>
              <w:t xml:space="preserve">Zero setup fee, SaaS subscription from UGX 150,000/month</w:t>
            </w:r>
          </w:p>
        </w:tc>
      </w:tr>
      <w:tr>
        <w:tc>
          <w:tcPr/>
          <w:p>
            <w:pPr>
              <w:pStyle w:val="Compact"/>
            </w:pPr>
            <w:r>
              <w:t xml:space="preserve">6</w:t>
            </w:r>
          </w:p>
        </w:tc>
        <w:tc>
          <w:tcPr/>
          <w:p>
            <w:pPr>
              <w:pStyle w:val="Compact"/>
            </w:pPr>
            <w:r>
              <w:t xml:space="preserve">No patient mobile app</w:t>
            </w:r>
          </w:p>
        </w:tc>
        <w:tc>
          <w:tcPr/>
          <w:p>
            <w:pPr>
              <w:pStyle w:val="Compact"/>
            </w:pPr>
            <w:r>
              <w:t xml:space="preserve">Native Android app for records, results, appointments, and payments</w:t>
            </w:r>
          </w:p>
        </w:tc>
      </w:tr>
      <w:tr>
        <w:tc>
          <w:tcPr/>
          <w:p>
            <w:pPr>
              <w:pStyle w:val="Compact"/>
            </w:pPr>
            <w:r>
              <w:t xml:space="preserve">7</w:t>
            </w:r>
          </w:p>
        </w:tc>
        <w:tc>
          <w:tcPr/>
          <w:p>
            <w:pPr>
              <w:pStyle w:val="Compact"/>
            </w:pPr>
            <w:r>
              <w:t xml:space="preserve">Inconsistent UI across modules — multiple frameworks, varying quality</w:t>
            </w:r>
          </w:p>
        </w:tc>
        <w:tc>
          <w:tcPr/>
          <w:p>
            <w:pPr>
              <w:pStyle w:val="Compact"/>
            </w:pPr>
            <w:r>
              <w:t xml:space="preserve">Unified interface with role-scoped views across all 32 modules</w:t>
            </w:r>
          </w:p>
        </w:tc>
      </w:tr>
      <w:tr>
        <w:tc>
          <w:tcPr/>
          <w:p>
            <w:pPr>
              <w:pStyle w:val="Compact"/>
            </w:pPr>
            <w:r>
              <w:t xml:space="preserve">8</w:t>
            </w:r>
          </w:p>
        </w:tc>
        <w:tc>
          <w:tcPr/>
          <w:p>
            <w:pPr>
              <w:pStyle w:val="Compact"/>
            </w:pPr>
            <w:r>
              <w:t xml:space="preserve">Community-only support — no vendor to call when production fails</w:t>
            </w:r>
          </w:p>
        </w:tc>
        <w:tc>
          <w:tcPr/>
          <w:p>
            <w:pPr>
              <w:pStyle w:val="Compact"/>
            </w:pPr>
            <w:r>
              <w:t xml:space="preserve">Local Uganda support team with MoH reporting knowledge</w:t>
            </w:r>
          </w:p>
        </w:tc>
      </w:tr>
      <w:tr>
        <w:tc>
          <w:tcPr/>
          <w:p>
            <w:pPr>
              <w:pStyle w:val="Compact"/>
            </w:pPr>
            <w:r>
              <w:t xml:space="preserve">9</w:t>
            </w:r>
          </w:p>
        </w:tc>
        <w:tc>
          <w:tcPr/>
          <w:p>
            <w:pPr>
              <w:pStyle w:val="Compact"/>
            </w:pPr>
            <w:r>
              <w:t xml:space="preserve">No financial accounting — no chart of accounts, no P&amp;L, no balance sheet</w:t>
            </w:r>
          </w:p>
        </w:tc>
        <w:tc>
          <w:tcPr/>
          <w:p>
            <w:pPr>
              <w:pStyle w:val="Compact"/>
            </w:pPr>
            <w:r>
              <w:t xml:space="preserve">Dual-mode accounting with donor fund ring-fencing (PEPFAR, Global Fund, UNICEF)</w:t>
            </w:r>
          </w:p>
        </w:tc>
      </w:tr>
      <w:tr>
        <w:tc>
          <w:tcPr/>
          <w:p>
            <w:pPr>
              <w:pStyle w:val="Compact"/>
            </w:pPr>
            <w:r>
              <w:t xml:space="preserve">10</w:t>
            </w:r>
          </w:p>
        </w:tc>
        <w:tc>
          <w:tcPr/>
          <w:p>
            <w:pPr>
              <w:pStyle w:val="Compact"/>
            </w:pPr>
            <w:r>
              <w:t xml:space="preserve">Complex configuration — requires DHIS2/OpenMRS/server expertise to deploy</w:t>
            </w:r>
          </w:p>
        </w:tc>
        <w:tc>
          <w:tcPr/>
          <w:p>
            <w:pPr>
              <w:pStyle w:val="Compact"/>
            </w:pPr>
            <w:r>
              <w:t xml:space="preserve">Zero-config Ugandan defaults; operational within 60 minutes of signup</w:t>
            </w:r>
          </w:p>
        </w:tc>
      </w:tr>
      <w:tr>
        <w:tc>
          <w:tcPr/>
          <w:p>
            <w:pPr>
              <w:pStyle w:val="Compact"/>
            </w:pPr>
            <w:r>
              <w:t xml:space="preserve">11</w:t>
            </w:r>
          </w:p>
        </w:tc>
        <w:tc>
          <w:tcPr/>
          <w:p>
            <w:pPr>
              <w:pStyle w:val="Compact"/>
            </w:pPr>
            <w:r>
              <w:t xml:space="preserve">No inventory management beyond basic pharmacy</w:t>
            </w:r>
          </w:p>
        </w:tc>
        <w:tc>
          <w:tcPr/>
          <w:p>
            <w:pPr>
              <w:pStyle w:val="Compact"/>
            </w:pPr>
            <w:r>
              <w:t xml:space="preserve">Full multi-store inventory with GRN, stock transfers, NMS ordering, and expiry management</w:t>
            </w:r>
          </w:p>
        </w:tc>
      </w:tr>
      <w:tr>
        <w:tc>
          <w:tcPr/>
          <w:p>
            <w:pPr>
              <w:pStyle w:val="Compact"/>
            </w:pPr>
            <w:r>
              <w:t xml:space="preserve">12</w:t>
            </w:r>
          </w:p>
        </w:tc>
        <w:tc>
          <w:tcPr/>
          <w:p>
            <w:pPr>
              <w:pStyle w:val="Compact"/>
            </w:pPr>
            <w:r>
              <w:t xml:space="preserve">No ambulance management</w:t>
            </w:r>
          </w:p>
        </w:tc>
        <w:tc>
          <w:tcPr/>
          <w:p>
            <w:pPr>
              <w:pStyle w:val="Compact"/>
            </w:pPr>
            <w:r>
              <w:t xml:space="preserve">Ambulance dispatch and tracking module</w:t>
            </w:r>
          </w:p>
        </w:tc>
      </w:tr>
      <w:tr>
        <w:tc>
          <w:tcPr/>
          <w:p>
            <w:pPr>
              <w:pStyle w:val="Compact"/>
            </w:pPr>
            <w:r>
              <w:t xml:space="preserve">13</w:t>
            </w:r>
          </w:p>
        </w:tc>
        <w:tc>
          <w:tcPr/>
          <w:p>
            <w:pPr>
              <w:pStyle w:val="Compact"/>
            </w:pPr>
            <w:r>
              <w:t xml:space="preserve">No AI capabilities</w:t>
            </w:r>
          </w:p>
        </w:tc>
        <w:tc>
          <w:tcPr/>
          <w:p>
            <w:pPr>
              <w:pStyle w:val="Compact"/>
            </w:pPr>
            <w:r>
              <w:t xml:space="preserve">6 AI capabilities in the AI Intelligence module: AI Clinical Documentation, AI ICD Coding Assist, AI Differential Diagnosis, AI Claim Scrubbing, AI Outbreak Early Warning, AI Patient Plain-Language Summary — all requiring clinician review and explicit approval before any output is saved</w:t>
            </w:r>
          </w:p>
        </w:tc>
      </w:tr>
      <w:tr>
        <w:tc>
          <w:tcPr/>
          <w:p>
            <w:pPr>
              <w:pStyle w:val="Compact"/>
            </w:pPr>
            <w:r>
              <w:t xml:space="preserve">14</w:t>
            </w:r>
          </w:p>
        </w:tc>
        <w:tc>
          <w:tcPr/>
          <w:p>
            <w:pPr>
              <w:pStyle w:val="Compact"/>
            </w:pPr>
            <w:r>
              <w:t xml:space="preserve">English-dominant — Kiswahili and French community translations are incomplete and untested in clinical settings</w:t>
            </w:r>
          </w:p>
        </w:tc>
        <w:tc>
          <w:tcPr/>
          <w:p>
            <w:pPr>
              <w:pStyle w:val="Compact"/>
            </w:pPr>
            <w:r>
              <w:t xml:space="preserve">English, French, and Kiswahili ship as launch languages with all strings reviewed by native-speaker clinicians before any production release</w:t>
            </w:r>
          </w:p>
        </w:tc>
      </w:tr>
    </w:tbl>
    <w:bookmarkEnd w:id="53"/>
    <w:bookmarkStart w:id="54" w:name="X7b1393d91d540449b6be552d9a2af2a6b78467f"/>
    <w:p>
      <w:pPr>
        <w:pStyle w:val="Heading3"/>
      </w:pPr>
      <w:r>
        <w:t xml:space="preserve">5.2.3 Total Cost of Ownership Comparison (3-Year)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Category</w:t>
            </w:r>
          </w:p>
        </w:tc>
        <w:tc>
          <w:tcPr/>
          <w:p>
            <w:pPr>
              <w:pStyle w:val="Compact"/>
            </w:pPr>
            <w:r>
              <w:t xml:space="preserve">OpenMRS</w:t>
            </w:r>
          </w:p>
        </w:tc>
        <w:tc>
          <w:tcPr/>
          <w:p>
            <w:pPr>
              <w:pStyle w:val="Compact"/>
            </w:pPr>
            <w:r>
              <w:t xml:space="preserve">Medic8</w:t>
            </w:r>
          </w:p>
        </w:tc>
      </w:tr>
      <w:tr>
        <w:tc>
          <w:tcPr/>
          <w:p>
            <w:pPr>
              <w:pStyle w:val="Compact"/>
            </w:pPr>
            <w:r>
              <w:t xml:space="preserve">Software licence</w:t>
            </w:r>
          </w:p>
        </w:tc>
        <w:tc>
          <w:tcPr/>
          <w:p>
            <w:pPr>
              <w:pStyle w:val="Compact"/>
            </w:pPr>
            <w:r>
              <w:t xml:space="preserve">$0</w:t>
            </w:r>
          </w:p>
        </w:tc>
        <w:tc>
          <w:tcPr/>
          <w:p>
            <w:pPr>
              <w:pStyle w:val="Compact"/>
            </w:pPr>
            <m:oMath>
              <m:r>
                <m:t>3</m:t>
              </m:r>
              <m:r>
                <m:rPr>
                  <m:sty m:val="p"/>
                </m:rPr>
                <m:t>,</m:t>
              </m:r>
              <m:r>
                <m:t>150</m:t>
              </m:r>
              <m:r>
                <m:rPr>
                  <m:sty m:val="p"/>
                </m:rPr>
                <m:t>−</m:t>
              </m:r>
            </m:oMath>
            <w:r>
              <w:t xml:space="preserve">23,700</w:t>
            </w:r>
          </w:p>
        </w:tc>
      </w:tr>
      <w:tr>
        <w:tc>
          <w:tcPr/>
          <w:p>
            <w:pPr>
              <w:pStyle w:val="Compact"/>
            </w:pPr>
            <w:r>
              <w:t xml:space="preserve">Server/infrastructure</w:t>
            </w:r>
          </w:p>
        </w:tc>
        <w:tc>
          <w:tcPr/>
          <w:p>
            <w:pPr>
              <w:pStyle w:val="Compact"/>
            </w:pPr>
            <m:oMath>
              <m:r>
                <m:t>1</m:t>
              </m:r>
              <m:r>
                <m:rPr>
                  <m:sty m:val="p"/>
                </m:rPr>
                <m:t>,</m:t>
              </m:r>
              <m:r>
                <m:t>800</m:t>
              </m:r>
              <m:r>
                <m:rPr>
                  <m:sty m:val="p"/>
                </m:rPr>
                <m:t>−</m:t>
              </m:r>
            </m:oMath>
            <w:r>
              <w:t xml:space="preserve">6,000</w:t>
            </w:r>
          </w:p>
        </w:tc>
        <w:tc>
          <w:tcPr/>
          <w:p>
            <w:pPr>
              <w:pStyle w:val="Compact"/>
            </w:pPr>
            <w:r>
              <w:t xml:space="preserve">Included</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c>
          <w:tcPr/>
          <w:p>
            <w:pPr>
              <w:pStyle w:val="Compact"/>
            </w:pPr>
            <m:oMath>
              <m:r>
                <m:t>0</m:t>
              </m:r>
              <m:r>
                <m:rPr>
                  <m:sty m:val="p"/>
                </m:rPr>
                <m:t>−</m:t>
              </m:r>
            </m:oMath>
            <w:r>
              <w:t xml:space="preserve">1,500</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c>
          <w:tcPr/>
          <w:p>
            <w:pPr>
              <w:pStyle w:val="Compact"/>
            </w:pPr>
            <w:r>
              <w:t xml:space="preserve">Included</w:t>
            </w:r>
          </w:p>
        </w:tc>
      </w:tr>
      <w:tr>
        <w:tc>
          <w:tcPr/>
          <w:p>
            <w:pPr>
              <w:pStyle w:val="Compact"/>
            </w:pPr>
            <w:r>
              <w:t xml:space="preserve">Billing system (external)</w:t>
            </w:r>
          </w:p>
        </w:tc>
        <w:tc>
          <w:tcPr/>
          <w:p>
            <w:pPr>
              <w:pStyle w:val="Compact"/>
            </w:pPr>
            <m:oMath>
              <m:r>
                <m:t>3</m:t>
              </m:r>
              <m:r>
                <m:rPr>
                  <m:sty m:val="p"/>
                </m:rPr>
                <m:t>,</m:t>
              </m:r>
              <m:r>
                <m:t>000</m:t>
              </m:r>
              <m:r>
                <m:rPr>
                  <m:sty m:val="p"/>
                </m:rPr>
                <m:t>−</m:t>
              </m:r>
            </m:oMath>
            <w:r>
              <w:t xml:space="preserve">15,000</w:t>
            </w:r>
          </w:p>
        </w:tc>
        <w:tc>
          <w:tcPr/>
          <w:p>
            <w:pPr>
              <w:pStyle w:val="Compact"/>
            </w:pPr>
            <w:r>
              <w:t xml:space="preserve">Included</w:t>
            </w:r>
          </w:p>
        </w:tc>
      </w:tr>
      <w:tr>
        <w:tc>
          <w:tcPr/>
          <w:p>
            <w:pPr>
              <w:pStyle w:val="Compact"/>
            </w:pPr>
            <w:r>
              <w:t xml:space="preserve">HR/Payroll (external)</w:t>
            </w:r>
          </w:p>
        </w:tc>
        <w:tc>
          <w:tcPr/>
          <w:p>
            <w:pPr>
              <w:pStyle w:val="Compact"/>
            </w:pPr>
            <m:oMath>
              <m:r>
                <m:t>2</m:t>
              </m:r>
              <m:r>
                <m:rPr>
                  <m:sty m:val="p"/>
                </m:rPr>
                <m:t>,</m:t>
              </m:r>
              <m:r>
                <m:t>000</m:t>
              </m:r>
              <m:r>
                <m:rPr>
                  <m:sty m:val="p"/>
                </m:rPr>
                <m:t>−</m:t>
              </m:r>
            </m:oMath>
            <w:r>
              <w:t xml:space="preserve">8,000</w:t>
            </w:r>
          </w:p>
        </w:tc>
        <w:tc>
          <w:tcPr/>
          <w:p>
            <w:pPr>
              <w:pStyle w:val="Compact"/>
            </w:pPr>
            <w:r>
              <w:t xml:space="preserve">Included</w:t>
            </w:r>
          </w:p>
        </w:tc>
      </w:tr>
      <w:tr>
        <w:tc>
          <w:tcPr/>
          <w:p>
            <w:pPr>
              <w:pStyle w:val="Compact"/>
            </w:pPr>
            <w:r>
              <w:t xml:space="preserve">Insurance management (external)</w:t>
            </w:r>
          </w:p>
        </w:tc>
        <w:tc>
          <w:tcPr/>
          <w:p>
            <w:pPr>
              <w:pStyle w:val="Compact"/>
            </w:pPr>
            <m:oMath>
              <m:r>
                <m:t>5</m:t>
              </m:r>
              <m:r>
                <m:rPr>
                  <m:sty m:val="p"/>
                </m:rPr>
                <m:t>,</m:t>
              </m:r>
              <m:r>
                <m:t>000</m:t>
              </m:r>
              <m:r>
                <m:rPr>
                  <m:sty m:val="p"/>
                </m:rPr>
                <m:t>−</m:t>
              </m:r>
            </m:oMath>
            <w:r>
              <w:t xml:space="preserve">25,000</w:t>
            </w:r>
          </w:p>
        </w:tc>
        <w:tc>
          <w:tcPr/>
          <w:p>
            <w:pPr>
              <w:pStyle w:val="Compact"/>
            </w:pPr>
            <w:r>
              <w:t xml:space="preserve">Included</w:t>
            </w:r>
          </w:p>
        </w:tc>
      </w:tr>
      <w:tr>
        <w:tc>
          <w:tcPr/>
          <w:p>
            <w:pPr>
              <w:pStyle w:val="Compact"/>
            </w:pPr>
            <w:r>
              <w:t xml:space="preserve">Training/support</w:t>
            </w:r>
          </w:p>
        </w:tc>
        <w:tc>
          <w:tcPr/>
          <w:p>
            <w:pPr>
              <w:pStyle w:val="Compact"/>
            </w:pPr>
            <m:oMath>
              <m:r>
                <m:t>6</m:t>
              </m:r>
              <m:r>
                <m:rPr>
                  <m:sty m:val="p"/>
                </m:rPr>
                <m:t>,</m:t>
              </m:r>
              <m:r>
                <m:t>000</m:t>
              </m:r>
              <m:r>
                <m:rPr>
                  <m:sty m:val="p"/>
                </m:rPr>
                <m:t>−</m:t>
              </m:r>
            </m:oMath>
            <w:r>
              <w:t xml:space="preserve">30,000</w:t>
            </w:r>
          </w:p>
        </w:tc>
        <w:tc>
          <w:tcPr/>
          <w:p>
            <w:pPr>
              <w:pStyle w:val="Compact"/>
            </w:pPr>
            <w:r>
              <w:t xml:space="preserve">Included</w:t>
            </w:r>
          </w:p>
        </w:tc>
      </w:tr>
      <w:tr>
        <w:tc>
          <w:tcPr/>
          <w:p>
            <w:pPr>
              <w:pStyle w:val="Compact"/>
            </w:pPr>
            <w:r>
              <w:t xml:space="preserve">AI Intelligence module</w:t>
            </w:r>
          </w:p>
        </w:tc>
        <w:tc>
          <w:tcPr/>
          <w:p>
            <w:pPr>
              <w:pStyle w:val="Compact"/>
            </w:pPr>
            <w:r>
              <w:t xml:space="preserve">Custom build</w:t>
            </w:r>
            <w:r>
              <w:t xml:space="preserve"> </w:t>
            </w:r>
            <m:oMath>
              <m:r>
                <m:t>5</m:t>
              </m:r>
              <m:r>
                <m:rPr>
                  <m:sty m:val="p"/>
                </m:rPr>
                <m:t>,</m:t>
              </m:r>
              <m:r>
                <m:t>000</m:t>
              </m:r>
              <m:r>
                <m:rPr>
                  <m:sty m:val="p"/>
                </m:rPr>
                <m:t>−</m:t>
              </m:r>
            </m:oMath>
            <w:r>
              <w:t xml:space="preserve">20,000</w:t>
            </w:r>
          </w:p>
        </w:tc>
        <w:tc>
          <w:tcPr/>
          <w:p>
            <w:pPr>
              <w:pStyle w:val="Compact"/>
            </w:pPr>
            <w:r>
              <w:t xml:space="preserve">Credit pack add-on</w:t>
            </w:r>
          </w:p>
        </w:tc>
      </w:tr>
      <w:tr>
        <w:tc>
          <w:tcPr/>
          <w:p>
            <w:pPr>
              <w:pStyle w:val="Compact"/>
            </w:pPr>
            <w:r>
              <w:t xml:space="preserve">TOTAL</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r>
    </w:tbl>
    <w:p>
      <w:pPr>
        <w:pStyle w:val="BodyText"/>
      </w:pPr>
      <w:r>
        <w:t xml:space="preserve">Medic8 saves the average facility USD 25,550-58,900 over 3 years compared to OpenMRS. Migration pitch: "OpenMRS is free to download and costs</w:t>
      </w:r>
      <w:r>
        <w:t xml:space="preserve"> </w:t>
      </w:r>
      <m:oMath>
        <m:r>
          <m:t>35</m:t>
        </m:r>
        <m:r>
          <m:rPr>
            <m:sty m:val="p"/>
          </m:rPr>
          <m:t>,</m:t>
        </m:r>
        <m:r>
          <m:t>000</m:t>
        </m:r>
        <m:r>
          <m:rPr>
            <m:sty m:val="p"/>
          </m:rPr>
          <m:t>−</m:t>
        </m:r>
      </m:oMath>
      <w:r>
        <w:t xml:space="preserve">130,000 to run. Medic8 costs</w:t>
      </w:r>
      <w:r>
        <w:t xml:space="preserve"> </w:t>
      </w:r>
      <m:oMath>
        <m:r>
          <m:t>9</m:t>
        </m:r>
        <m:r>
          <m:rPr>
            <m:sty m:val="p"/>
          </m:rPr>
          <m:t>,</m:t>
        </m:r>
        <m:r>
          <m:t>450</m:t>
        </m:r>
        <m:r>
          <m:rPr>
            <m:sty m:val="p"/>
          </m:rPr>
          <m:t>−</m:t>
        </m:r>
      </m:oMath>
      <w:r>
        <w:t xml:space="preserve">71,100 and includes billing, insurance, HR, payroll, mobile money, a patient app, AI Intelligence, and a local Uganda support team."</w:t>
      </w:r>
    </w:p>
    <w:p>
      <w:r>
        <w:pict>
          <v:rect style="width:0;height:1.5pt" o:hralign="center" o:hrstd="t" o:hr="t"/>
        </w:pict>
      </w:r>
    </w:p>
    <w:bookmarkEnd w:id="54"/>
    <w:bookmarkEnd w:id="55"/>
    <w:bookmarkStart w:id="56" w:name="X2ab26a9ba2c16dfc8d9cbe131990f363f3b2101"/>
    <w:p>
      <w:pPr>
        <w:pStyle w:val="Heading2"/>
      </w:pPr>
      <w:r>
        <w:t xml:space="preserve">5.3 Hope Missionary Hospital — Reference Deployment</w:t>
      </w:r>
    </w:p>
    <w:p>
      <w:pPr>
        <w:pStyle w:val="FirstParagraph"/>
      </w:pPr>
      <w:r>
        <w:t xml:space="preserve">Hope Missionary Hospital (Jungle Medical Missions) operates 2 hospitals in Tororo and Kasanje, Uganda. Contract signed July 2024, valued at USD 3,000.</w:t>
      </w:r>
    </w:p>
    <w:p>
      <w:pPr>
        <w:pStyle w:val="BodyText"/>
      </w:pPr>
      <w:r>
        <w:t xml:space="preserve">Requirements mapped to Medic8:</w:t>
      </w:r>
    </w:p>
    <w:p>
      <w:pPr>
        <w:pStyle w:val="Compact"/>
        <w:numPr>
          <w:ilvl w:val="0"/>
          <w:numId w:val="1014"/>
        </w:numPr>
      </w:pPr>
      <w:r>
        <w:t xml:space="preserve">Multi-site operations — Director Platform.</w:t>
      </w:r>
    </w:p>
    <w:p>
      <w:pPr>
        <w:pStyle w:val="Compact"/>
        <w:numPr>
          <w:ilvl w:val="0"/>
          <w:numId w:val="1014"/>
        </w:numPr>
      </w:pPr>
      <w:r>
        <w:t xml:space="preserve">Finance and accounts — accounting module with fund accounting.</w:t>
      </w:r>
    </w:p>
    <w:p>
      <w:pPr>
        <w:pStyle w:val="Compact"/>
        <w:numPr>
          <w:ilvl w:val="0"/>
          <w:numId w:val="1014"/>
        </w:numPr>
      </w:pPr>
      <w:r>
        <w:t xml:space="preserve">Point of sale — cashier module.</w:t>
      </w:r>
    </w:p>
    <w:p>
      <w:pPr>
        <w:pStyle w:val="Compact"/>
        <w:numPr>
          <w:ilvl w:val="0"/>
          <w:numId w:val="1014"/>
        </w:numPr>
      </w:pPr>
      <w:r>
        <w:t xml:space="preserve">Insurance reporting — Insurance Management module.</w:t>
      </w:r>
    </w:p>
    <w:p>
      <w:pPr>
        <w:pStyle w:val="Compact"/>
        <w:numPr>
          <w:ilvl w:val="0"/>
          <w:numId w:val="1014"/>
        </w:numPr>
      </w:pPr>
      <w:r>
        <w:t xml:space="preserve">Indigent patient management — fee waiver and charity care workflow.</w:t>
      </w:r>
    </w:p>
    <w:p>
      <w:pPr>
        <w:pStyle w:val="Compact"/>
        <w:numPr>
          <w:ilvl w:val="0"/>
          <w:numId w:val="1014"/>
        </w:numPr>
      </w:pPr>
      <w:r>
        <w:t xml:space="preserve">Outreach programmes — Community Health Worker module with referral tracking.</w:t>
      </w:r>
    </w:p>
    <w:p>
      <w:pPr>
        <w:pStyle w:val="FirstParagraph"/>
      </w:pPr>
      <w:r>
        <w:t xml:space="preserve">This reference deployment demonstrates Medic8's readiness for mission hospital deployment and establishes a credibility reference for the broader mission hospital market segment (200+ facilities in Uganda).</w:t>
      </w:r>
    </w:p>
    <w:p>
      <w:r>
        <w:pict>
          <v:rect style="width:0;height:1.5pt" o:hralign="center" o:hrstd="t" o:hr="t"/>
        </w:pict>
      </w:r>
    </w:p>
    <w:bookmarkEnd w:id="56"/>
    <w:bookmarkStart w:id="57" w:name="X2f6e0aef6e94b2eeef5a20c8071a8f3e4a1b69c"/>
    <w:p>
      <w:pPr>
        <w:pStyle w:val="Heading2"/>
      </w:pPr>
      <w:r>
        <w:t xml:space="preserve">5.4 Updated TCO Comparison with AI Intelligence Row</w:t>
      </w:r>
    </w:p>
    <w:p>
      <w:pPr>
        <w:pStyle w:val="FirstParagraph"/>
      </w:pPr>
      <w:r>
        <w:t xml:space="preserve">The updated TCO table includes the AI Intelligence module as a cost line — making the comparison complete for facilities evaluating whether to build AI capability on OpenMRS or adopt it as a Medic8 add-on.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Cost Category</w:t>
            </w:r>
          </w:p>
        </w:tc>
        <w:tc>
          <w:tcPr/>
          <w:p>
            <w:pPr>
              <w:pStyle w:val="Compact"/>
            </w:pPr>
            <w:r>
              <w:t xml:space="preserve">OpenMRS (3-Year)</w:t>
            </w:r>
          </w:p>
        </w:tc>
        <w:tc>
          <w:tcPr/>
          <w:p>
            <w:pPr>
              <w:pStyle w:val="Compact"/>
            </w:pPr>
            <w:r>
              <w:t xml:space="preserve">Medic8 (3-Year)</w:t>
            </w:r>
          </w:p>
        </w:tc>
        <w:tc>
          <w:tcPr/>
          <w:p>
            <w:pPr>
              <w:pStyle w:val="Compact"/>
            </w:pPr>
            <w:r>
              <w:t xml:space="preserve">Medic8 Advantage</w:t>
            </w:r>
          </w:p>
        </w:tc>
      </w:tr>
      <w:tr>
        <w:tc>
          <w:tcPr/>
          <w:p>
            <w:pPr>
              <w:pStyle w:val="Compact"/>
            </w:pPr>
            <w:r>
              <w:t xml:space="preserve">Software licence</w:t>
            </w:r>
          </w:p>
        </w:tc>
        <w:tc>
          <w:tcPr/>
          <w:p>
            <w:pPr>
              <w:pStyle w:val="Compact"/>
            </w:pPr>
            <w:r>
              <w:t xml:space="preserve">$0</w:t>
            </w:r>
          </w:p>
        </w:tc>
        <w:tc>
          <w:tcPr/>
          <w:p>
            <w:pPr>
              <w:pStyle w:val="Compact"/>
            </w:pPr>
            <m:oMath>
              <m:r>
                <m:t>3</m:t>
              </m:r>
              <m:r>
                <m:rPr>
                  <m:sty m:val="p"/>
                </m:rPr>
                <m:t>,</m:t>
              </m:r>
              <m:r>
                <m:t>150</m:t>
              </m:r>
              <m:r>
                <m:rPr>
                  <m:sty m:val="p"/>
                </m:rPr>
                <m:t>−</m:t>
              </m:r>
            </m:oMath>
            <w:r>
              <w:t xml:space="preserve">23,700</w:t>
            </w:r>
          </w:p>
        </w:tc>
        <w:tc>
          <w:tcPr/>
          <w:p>
            <w:pPr>
              <w:pStyle w:val="Compact"/>
            </w:pPr>
            <w:r>
              <w:t xml:space="preserve">—</w:t>
            </w:r>
          </w:p>
        </w:tc>
      </w:tr>
      <w:tr>
        <w:tc>
          <w:tcPr/>
          <w:p>
            <w:pPr>
              <w:pStyle w:val="Compact"/>
            </w:pPr>
            <w:r>
              <w:t xml:space="preserve">Server/infrastructure</w:t>
            </w:r>
          </w:p>
        </w:tc>
        <w:tc>
          <w:tcPr/>
          <w:p>
            <w:pPr>
              <w:pStyle w:val="Compact"/>
            </w:pPr>
            <m:oMath>
              <m:r>
                <m:t>1</m:t>
              </m:r>
              <m:r>
                <m:rPr>
                  <m:sty m:val="p"/>
                </m:rPr>
                <m:t>,</m:t>
              </m:r>
              <m:r>
                <m:t>800</m:t>
              </m:r>
              <m:r>
                <m:rPr>
                  <m:sty m:val="p"/>
                </m:rPr>
                <m:t>−</m:t>
              </m:r>
            </m:oMath>
            <w:r>
              <w:t xml:space="preserve">6,000</w:t>
            </w:r>
          </w:p>
        </w:tc>
        <w:tc>
          <w:tcPr/>
          <w:p>
            <w:pPr>
              <w:pStyle w:val="Compact"/>
            </w:pPr>
            <w:r>
              <w:t xml:space="preserve">Included</w:t>
            </w:r>
          </w:p>
        </w:tc>
        <w:tc>
          <w:tcPr/>
          <w:p>
            <w:pPr>
              <w:pStyle w:val="Compact"/>
            </w:pPr>
            <m:oMath>
              <m:r>
                <m:t>1</m:t>
              </m:r>
              <m:r>
                <m:rPr>
                  <m:sty m:val="p"/>
                </m:rPr>
                <m:t>,</m:t>
              </m:r>
              <m:r>
                <m:t>800</m:t>
              </m:r>
              <m:r>
                <m:rPr>
                  <m:sty m:val="p"/>
                </m:rPr>
                <m:t>−</m:t>
              </m:r>
            </m:oMath>
            <w:r>
              <w:t xml:space="preserve">6,000 saved</w:t>
            </w:r>
          </w:p>
        </w:tc>
      </w:tr>
      <w:tr>
        <w:tc>
          <w:tcPr/>
          <w:p>
            <w:pPr>
              <w:pStyle w:val="Compact"/>
            </w:pPr>
            <w:r>
              <w:t xml:space="preserve">Initial implementation</w:t>
            </w:r>
          </w:p>
        </w:tc>
        <w:tc>
          <w:tcPr/>
          <w:p>
            <w:pPr>
              <w:pStyle w:val="Compact"/>
            </w:pPr>
            <m:oMath>
              <m:r>
                <m:t>10</m:t>
              </m:r>
              <m:r>
                <m:rPr>
                  <m:sty m:val="p"/>
                </m:rPr>
                <m:t>,</m:t>
              </m:r>
              <m:r>
                <m:t>000</m:t>
              </m:r>
              <m:r>
                <m:rPr>
                  <m:sty m:val="p"/>
                </m:rPr>
                <m:t>−</m:t>
              </m:r>
            </m:oMath>
            <w:r>
              <w:t xml:space="preserve">50,000</w:t>
            </w:r>
          </w:p>
        </w:tc>
        <w:tc>
          <w:tcPr/>
          <w:p>
            <w:pPr>
              <w:pStyle w:val="Compact"/>
            </w:pPr>
            <m:oMath>
              <m:r>
                <m:t>0</m:t>
              </m:r>
              <m:r>
                <m:rPr>
                  <m:sty m:val="p"/>
                </m:rPr>
                <m:t>−</m:t>
              </m:r>
            </m:oMath>
            <w:r>
              <w:t xml:space="preserve">1,500</w:t>
            </w:r>
          </w:p>
        </w:tc>
        <w:tc>
          <w:tcPr/>
          <w:p>
            <w:pPr>
              <w:pStyle w:val="Compact"/>
            </w:pPr>
            <m:oMath>
              <m:r>
                <m:t>8</m:t>
              </m:r>
              <m:r>
                <m:rPr>
                  <m:sty m:val="p"/>
                </m:rPr>
                <m:t>,</m:t>
              </m:r>
              <m:r>
                <m:t>500</m:t>
              </m:r>
              <m:r>
                <m:rPr>
                  <m:sty m:val="p"/>
                </m:rPr>
                <m:t>−</m:t>
              </m:r>
            </m:oMath>
            <w:r>
              <w:t xml:space="preserve">48,500 saved</w:t>
            </w:r>
          </w:p>
        </w:tc>
      </w:tr>
      <w:tr>
        <w:tc>
          <w:tcPr/>
          <w:p>
            <w:pPr>
              <w:pStyle w:val="Compact"/>
            </w:pPr>
            <w:r>
              <w:t xml:space="preserve">Ongoing customisation</w:t>
            </w:r>
          </w:p>
        </w:tc>
        <w:tc>
          <w:tcPr/>
          <w:p>
            <w:pPr>
              <w:pStyle w:val="Compact"/>
            </w:pPr>
            <m:oMath>
              <m:r>
                <m:t>15</m:t>
              </m:r>
              <m:r>
                <m:rPr>
                  <m:sty m:val="p"/>
                </m:rPr>
                <m:t>,</m:t>
              </m:r>
              <m:r>
                <m:t>000</m:t>
              </m:r>
              <m:r>
                <m:rPr>
                  <m:sty m:val="p"/>
                </m:rPr>
                <m:t>−</m:t>
              </m:r>
            </m:oMath>
            <w:r>
              <w:t xml:space="preserve">60,000</w:t>
            </w:r>
          </w:p>
        </w:tc>
        <w:tc>
          <w:tcPr/>
          <w:p>
            <w:pPr>
              <w:pStyle w:val="Compact"/>
            </w:pPr>
            <w:r>
              <w:t xml:space="preserve">Included</w:t>
            </w:r>
          </w:p>
        </w:tc>
        <w:tc>
          <w:tcPr/>
          <w:p>
            <w:pPr>
              <w:pStyle w:val="Compact"/>
            </w:pPr>
            <m:oMath>
              <m:r>
                <m:t>15</m:t>
              </m:r>
              <m:r>
                <m:rPr>
                  <m:sty m:val="p"/>
                </m:rPr>
                <m:t>,</m:t>
              </m:r>
              <m:r>
                <m:t>000</m:t>
              </m:r>
              <m:r>
                <m:rPr>
                  <m:sty m:val="p"/>
                </m:rPr>
                <m:t>−</m:t>
              </m:r>
            </m:oMath>
            <w:r>
              <w:t xml:space="preserve">60,000 saved</w:t>
            </w:r>
          </w:p>
        </w:tc>
      </w:tr>
      <w:tr>
        <w:tc>
          <w:tcPr/>
          <w:p>
            <w:pPr>
              <w:pStyle w:val="Compact"/>
            </w:pPr>
            <w:r>
              <w:t xml:space="preserve">Billing system</w:t>
            </w:r>
          </w:p>
        </w:tc>
        <w:tc>
          <w:tcPr/>
          <w:p>
            <w:pPr>
              <w:pStyle w:val="Compact"/>
            </w:pPr>
            <m:oMath>
              <m:r>
                <m:t>3</m:t>
              </m:r>
              <m:r>
                <m:rPr>
                  <m:sty m:val="p"/>
                </m:rPr>
                <m:t>,</m:t>
              </m:r>
              <m:r>
                <m:t>000</m:t>
              </m:r>
              <m:r>
                <m:rPr>
                  <m:sty m:val="p"/>
                </m:rPr>
                <m:t>−</m:t>
              </m:r>
            </m:oMath>
            <w:r>
              <w:t xml:space="preserve">15,000</w:t>
            </w:r>
          </w:p>
        </w:tc>
        <w:tc>
          <w:tcPr/>
          <w:p>
            <w:pPr>
              <w:pStyle w:val="Compact"/>
            </w:pPr>
            <w:r>
              <w:t xml:space="preserve">Included</w:t>
            </w:r>
          </w:p>
        </w:tc>
        <w:tc>
          <w:tcPr/>
          <w:p>
            <w:pPr>
              <w:pStyle w:val="Compact"/>
            </w:pPr>
            <m:oMath>
              <m:r>
                <m:t>3</m:t>
              </m:r>
              <m:r>
                <m:rPr>
                  <m:sty m:val="p"/>
                </m:rPr>
                <m:t>,</m:t>
              </m:r>
              <m:r>
                <m:t>000</m:t>
              </m:r>
              <m:r>
                <m:rPr>
                  <m:sty m:val="p"/>
                </m:rPr>
                <m:t>−</m:t>
              </m:r>
            </m:oMath>
            <w:r>
              <w:t xml:space="preserve">15,000 saved</w:t>
            </w:r>
          </w:p>
        </w:tc>
      </w:tr>
      <w:tr>
        <w:tc>
          <w:tcPr/>
          <w:p>
            <w:pPr>
              <w:pStyle w:val="Compact"/>
            </w:pPr>
            <w:r>
              <w:t xml:space="preserve">HR/Payroll</w:t>
            </w:r>
          </w:p>
        </w:tc>
        <w:tc>
          <w:tcPr/>
          <w:p>
            <w:pPr>
              <w:pStyle w:val="Compact"/>
            </w:pPr>
            <m:oMath>
              <m:r>
                <m:t>2</m:t>
              </m:r>
              <m:r>
                <m:rPr>
                  <m:sty m:val="p"/>
                </m:rPr>
                <m:t>,</m:t>
              </m:r>
              <m:r>
                <m:t>000</m:t>
              </m:r>
              <m:r>
                <m:rPr>
                  <m:sty m:val="p"/>
                </m:rPr>
                <m:t>−</m:t>
              </m:r>
            </m:oMath>
            <w:r>
              <w:t xml:space="preserve">8,000</w:t>
            </w:r>
          </w:p>
        </w:tc>
        <w:tc>
          <w:tcPr/>
          <w:p>
            <w:pPr>
              <w:pStyle w:val="Compact"/>
            </w:pPr>
            <w:r>
              <w:t xml:space="preserve">Included</w:t>
            </w:r>
          </w:p>
        </w:tc>
        <w:tc>
          <w:tcPr/>
          <w:p>
            <w:pPr>
              <w:pStyle w:val="Compact"/>
            </w:pPr>
            <m:oMath>
              <m:r>
                <m:t>2</m:t>
              </m:r>
              <m:r>
                <m:rPr>
                  <m:sty m:val="p"/>
                </m:rPr>
                <m:t>,</m:t>
              </m:r>
              <m:r>
                <m:t>000</m:t>
              </m:r>
              <m:r>
                <m:rPr>
                  <m:sty m:val="p"/>
                </m:rPr>
                <m:t>−</m:t>
              </m:r>
            </m:oMath>
            <w:r>
              <w:t xml:space="preserve">8,000 saved</w:t>
            </w:r>
          </w:p>
        </w:tc>
      </w:tr>
      <w:tr>
        <w:tc>
          <w:tcPr/>
          <w:p>
            <w:pPr>
              <w:pStyle w:val="Compact"/>
            </w:pPr>
            <w:r>
              <w:t xml:space="preserve">Insurance management</w:t>
            </w:r>
          </w:p>
        </w:tc>
        <w:tc>
          <w:tcPr/>
          <w:p>
            <w:pPr>
              <w:pStyle w:val="Compact"/>
            </w:pPr>
            <m:oMath>
              <m:r>
                <m:t>5</m:t>
              </m:r>
              <m:r>
                <m:rPr>
                  <m:sty m:val="p"/>
                </m:rPr>
                <m:t>,</m:t>
              </m:r>
              <m:r>
                <m:t>000</m:t>
              </m:r>
              <m:r>
                <m:rPr>
                  <m:sty m:val="p"/>
                </m:rPr>
                <m:t>−</m:t>
              </m:r>
            </m:oMath>
            <w:r>
              <w:t xml:space="preserve">25,000</w:t>
            </w:r>
          </w:p>
        </w:tc>
        <w:tc>
          <w:tcPr/>
          <w:p>
            <w:pPr>
              <w:pStyle w:val="Compact"/>
            </w:pPr>
            <w:r>
              <w:t xml:space="preserve">Included</w:t>
            </w:r>
          </w:p>
        </w:tc>
        <w:tc>
          <w:tcPr/>
          <w:p>
            <w:pPr>
              <w:pStyle w:val="Compact"/>
            </w:pPr>
            <m:oMath>
              <m:r>
                <m:t>5</m:t>
              </m:r>
              <m:r>
                <m:rPr>
                  <m:sty m:val="p"/>
                </m:rPr>
                <m:t>,</m:t>
              </m:r>
              <m:r>
                <m:t>000</m:t>
              </m:r>
              <m:r>
                <m:rPr>
                  <m:sty m:val="p"/>
                </m:rPr>
                <m:t>−</m:t>
              </m:r>
            </m:oMath>
            <w:r>
              <w:t xml:space="preserve">25,000 saved</w:t>
            </w:r>
          </w:p>
        </w:tc>
      </w:tr>
      <w:tr>
        <w:tc>
          <w:tcPr/>
          <w:p>
            <w:pPr>
              <w:pStyle w:val="Compact"/>
            </w:pPr>
            <w:r>
              <w:t xml:space="preserve">Training/support</w:t>
            </w:r>
          </w:p>
        </w:tc>
        <w:tc>
          <w:tcPr/>
          <w:p>
            <w:pPr>
              <w:pStyle w:val="Compact"/>
            </w:pPr>
            <m:oMath>
              <m:r>
                <m:t>6</m:t>
              </m:r>
              <m:r>
                <m:rPr>
                  <m:sty m:val="p"/>
                </m:rPr>
                <m:t>,</m:t>
              </m:r>
              <m:r>
                <m:t>000</m:t>
              </m:r>
              <m:r>
                <m:rPr>
                  <m:sty m:val="p"/>
                </m:rPr>
                <m:t>−</m:t>
              </m:r>
            </m:oMath>
            <w:r>
              <w:t xml:space="preserve">30,000</w:t>
            </w:r>
          </w:p>
        </w:tc>
        <w:tc>
          <w:tcPr/>
          <w:p>
            <w:pPr>
              <w:pStyle w:val="Compact"/>
            </w:pPr>
            <w:r>
              <w:t xml:space="preserve">Included</w:t>
            </w:r>
          </w:p>
        </w:tc>
        <w:tc>
          <w:tcPr/>
          <w:p>
            <w:pPr>
              <w:pStyle w:val="Compact"/>
            </w:pPr>
            <m:oMath>
              <m:r>
                <m:t>6</m:t>
              </m:r>
              <m:r>
                <m:rPr>
                  <m:sty m:val="p"/>
                </m:rPr>
                <m:t>,</m:t>
              </m:r>
              <m:r>
                <m:t>000</m:t>
              </m:r>
              <m:r>
                <m:rPr>
                  <m:sty m:val="p"/>
                </m:rPr>
                <m:t>−</m:t>
              </m:r>
            </m:oMath>
            <w:r>
              <w:t xml:space="preserve">30,000 saved</w:t>
            </w:r>
          </w:p>
        </w:tc>
      </w:tr>
      <w:tr>
        <w:tc>
          <w:tcPr/>
          <w:p>
            <w:pPr>
              <w:pStyle w:val="Compact"/>
            </w:pPr>
            <w:r>
              <w:t xml:space="preserve">AI Intelligence module</w:t>
            </w:r>
          </w:p>
        </w:tc>
        <w:tc>
          <w:tcPr/>
          <w:p>
            <w:pPr>
              <w:pStyle w:val="Compact"/>
            </w:pPr>
            <w:r>
              <w:t xml:space="preserve">Custom build</w:t>
            </w:r>
            <w:r>
              <w:t xml:space="preserve"> </w:t>
            </w:r>
            <m:oMath>
              <m:r>
                <m:t>5</m:t>
              </m:r>
              <m:r>
                <m:rPr>
                  <m:sty m:val="p"/>
                </m:rPr>
                <m:t>,</m:t>
              </m:r>
              <m:r>
                <m:t>000</m:t>
              </m:r>
              <m:r>
                <m:rPr>
                  <m:sty m:val="p"/>
                </m:rPr>
                <m:t>−</m:t>
              </m:r>
            </m:oMath>
            <w:r>
              <w:t xml:space="preserve">20,000 (NLP/ML developer + training data + API integration)</w:t>
            </w:r>
          </w:p>
        </w:tc>
        <w:tc>
          <w:tcPr/>
          <w:p>
            <w:pPr>
              <w:pStyle w:val="Compact"/>
            </w:pPr>
            <w:r>
              <w:t xml:space="preserve">Credit pack add-on (estimated</w:t>
            </w:r>
            <w:r>
              <w:t xml:space="preserve"> </w:t>
            </w:r>
            <m:oMath>
              <m:r>
                <m:t>1</m:t>
              </m:r>
              <m:r>
                <m:rPr>
                  <m:sty m:val="p"/>
                </m:rPr>
                <m:t>,</m:t>
              </m:r>
              <m:r>
                <m:t>200</m:t>
              </m:r>
              <m:r>
                <m:rPr>
                  <m:sty m:val="p"/>
                </m:rPr>
                <m:t>−</m:t>
              </m:r>
            </m:oMath>
            <w:r>
              <w:t xml:space="preserve">3,600/year at current AI API pricing)</w:t>
            </w:r>
          </w:p>
        </w:tc>
        <w:tc>
          <w:tcPr/>
          <w:p>
            <w:pPr>
              <w:pStyle w:val="Compact"/>
            </w:pPr>
            <m:oMath>
              <m:r>
                <m:t>2</m:t>
              </m:r>
              <m:r>
                <m:rPr>
                  <m:sty m:val="p"/>
                </m:rPr>
                <m:t>,</m:t>
              </m:r>
              <m:r>
                <m:t>000</m:t>
              </m:r>
              <m:r>
                <m:rPr>
                  <m:sty m:val="p"/>
                </m:rPr>
                <m:t>−</m:t>
              </m:r>
            </m:oMath>
            <w:r>
              <w:t xml:space="preserve">17,000+ saved</w:t>
            </w:r>
          </w:p>
        </w:tc>
      </w:tr>
      <w:tr>
        <w:tc>
          <w:tcPr/>
          <w:p>
            <w:pPr>
              <w:pStyle w:val="Compact"/>
            </w:pPr>
            <w:r>
              <w:t xml:space="preserve">TOTAL</w:t>
            </w:r>
          </w:p>
        </w:tc>
        <w:tc>
          <w:tcPr/>
          <w:p>
            <w:pPr>
              <w:pStyle w:val="Compact"/>
            </w:pPr>
            <m:oMath>
              <m:r>
                <m:t>40</m:t>
              </m:r>
              <m:r>
                <m:rPr>
                  <m:sty m:val="p"/>
                </m:rPr>
                <m:t>,</m:t>
              </m:r>
              <m:r>
                <m:t>000</m:t>
              </m:r>
              <m:r>
                <m:rPr>
                  <m:sty m:val="p"/>
                </m:rPr>
                <m:t>−</m:t>
              </m:r>
            </m:oMath>
            <w:r>
              <w:t xml:space="preserve">150,000</w:t>
            </w:r>
          </w:p>
        </w:tc>
        <w:tc>
          <w:tcPr/>
          <w:p>
            <w:pPr>
              <w:pStyle w:val="Compact"/>
            </w:pPr>
            <m:oMath>
              <m:r>
                <m:t>9</m:t>
              </m:r>
              <m:r>
                <m:rPr>
                  <m:sty m:val="p"/>
                </m:rPr>
                <m:t>,</m:t>
              </m:r>
              <m:r>
                <m:t>450</m:t>
              </m:r>
              <m:r>
                <m:rPr>
                  <m:sty m:val="p"/>
                </m:rPr>
                <m:t>−</m:t>
              </m:r>
            </m:oMath>
            <w:r>
              <w:t xml:space="preserve">71,100</w:t>
            </w:r>
          </w:p>
        </w:tc>
        <w:tc>
          <w:tcPr/>
          <w:p>
            <w:pPr>
              <w:pStyle w:val="Compact"/>
            </w:pPr>
            <m:oMath>
              <m:r>
                <m:t>30</m:t>
              </m:r>
              <m:r>
                <m:rPr>
                  <m:sty m:val="p"/>
                </m:rPr>
                <m:t>,</m:t>
              </m:r>
              <m:r>
                <m:t>550</m:t>
              </m:r>
              <m:r>
                <m:rPr>
                  <m:sty m:val="p"/>
                </m:rPr>
                <m:t>−</m:t>
              </m:r>
            </m:oMath>
            <w:r>
              <w:t xml:space="preserve">78,900 saved</w:t>
            </w:r>
          </w:p>
        </w:tc>
      </w:tr>
    </w:tbl>
    <w:p>
      <w:pPr>
        <w:pStyle w:val="BodyText"/>
      </w:pPr>
      <w:r>
        <w:t xml:space="preserve">When AI Intelligence is included in the comparison, Medic8's TCO advantage widens to USD 30,550-78,900 over 3 years. Building a custom AI layer on OpenMRS requires NLP/ML developer time, AI API integration, a training data strategy, and ongoing model maintenance — a cost that compounds with every capability added.</w:t>
      </w:r>
    </w:p>
    <w:p>
      <w:r>
        <w:pict>
          <v:rect style="width:0;height:1.5pt" o:hralign="center" o:hrstd="t" o:hr="t"/>
        </w:pict>
      </w:r>
    </w:p>
    <w:bookmarkEnd w:id="57"/>
    <w:bookmarkStart w:id="58" w:name="X44e5552a4772fd40681516b6c4ef23e736f1adb"/>
    <w:p>
      <w:pPr>
        <w:pStyle w:val="Heading2"/>
      </w:pPr>
      <w:r>
        <w:t xml:space="preserve">5.5 Key Differentiator Summary</w:t>
      </w:r>
    </w:p>
    <w:p>
      <w:pPr>
        <w:pStyle w:val="FirstParagraph"/>
      </w:pPr>
      <w:r>
        <w:t xml:space="preserve">Medic8's competitive position rests on 5 structural differentiators that are difficult for incumbents to replicate:</w:t>
      </w:r>
    </w:p>
    <w:p>
      <w:pPr>
        <w:numPr>
          <w:ilvl w:val="0"/>
          <w:numId w:val="1015"/>
        </w:numPr>
      </w:pPr>
      <w:r>
        <w:t xml:space="preserve">SaaS architecture: True multi-tenant cloud delivery eliminates on-premise infrastructure, IT staffing, and server maintenance for every customer. ClinicMaster would need to re-architect from desktop to cloud; OpenMRS would need to rebuild its single-tenant deployment model.</w:t>
      </w:r>
    </w:p>
    <w:p>
      <w:pPr>
        <w:numPr>
          <w:ilvl w:val="0"/>
          <w:numId w:val="1015"/>
        </w:numPr>
      </w:pPr>
      <w:r>
        <w:t xml:space="preserve">Mobile money native: MTN MoMo and Airtel Money API integration with auto-reconciliation is built into the billing engine, not bolted on. This aligns with Uganda's dominant payment channel and eliminates cash-handling friction.</w:t>
      </w:r>
    </w:p>
    <w:p>
      <w:pPr>
        <w:numPr>
          <w:ilvl w:val="0"/>
          <w:numId w:val="1015"/>
        </w:numPr>
      </w:pPr>
      <w:r>
        <w:t xml:space="preserve">Offline-first: Room database on Android ensures that core clinical workflows (registration, vitals, prescribing, dispensing) operate without internet connectivity. This is not a degraded mode — it is the primary design assumption for Uganda's infrastructure reality.</w:t>
      </w:r>
    </w:p>
    <w:p>
      <w:pPr>
        <w:numPr>
          <w:ilvl w:val="0"/>
          <w:numId w:val="1015"/>
        </w:numPr>
      </w:pPr>
      <w:r>
        <w:t xml:space="preserve">AI Intelligence — provider-agnostic: 6 clinician-facing AI capabilities with a</w:t>
      </w:r>
      <w:r>
        <w:t xml:space="preserve"> </w:t>
      </w:r>
      <w:r>
        <w:rPr>
          <w:rStyle w:val="VerbatimChar"/>
        </w:rPr>
        <w:t xml:space="preserve">AIProviderInterface</w:t>
      </w:r>
      <w:r>
        <w:t xml:space="preserve"> </w:t>
      </w:r>
      <w:r>
        <w:t xml:space="preserve">adapter layer supporting OpenAI, Anthropic, DeepSeek, and Gemini. Facilities can switch providers from the admin panel without a code change — no competitor in East Africa offers this, and no competitor currently offers any clinician-facing AI at the point of care.</w:t>
      </w:r>
    </w:p>
    <w:p>
      <w:pPr>
        <w:numPr>
          <w:ilvl w:val="0"/>
          <w:numId w:val="1015"/>
        </w:numPr>
      </w:pPr>
      <w:r>
        <w:t xml:space="preserve">Multi-language from day one: English, French, and Kiswahili ship as launch languages with all strings professionally reviewed. This opens the Francophone Africa market (6,500+ facilities) that is structurally inaccessible to English-only competitors. French-language support in DRC is not a future roadmap item — it is a Phase 1 deliverable.</w:t>
      </w:r>
    </w:p>
    <w:p>
      <w:r>
        <w:pict>
          <v:rect style="width:0;height:1.5pt" o:hralign="center" o:hrstd="t" o:hr="t"/>
        </w:pict>
      </w:r>
    </w:p>
    <w:bookmarkEnd w:id="58"/>
    <w:bookmarkStart w:id="59" w:name="X8a0964d9b9aa341ae80ea618fbefdfe24395bff"/>
    <w:p>
      <w:pPr>
        <w:pStyle w:val="Heading2"/>
      </w:pPr>
      <w:r>
        <w:t xml:space="preserve">5.6 Competitive Moat</w:t>
      </w:r>
    </w:p>
    <w:p>
      <w:pPr>
        <w:pStyle w:val="FirstParagraph"/>
      </w:pPr>
      <w:r>
        <w:t xml:space="preserve">The combination of SaaS delivery + mobile money + offline-first + AI Intelligence (provider-agnostic) + multi-language (English, French, Kiswahili) + shared codebase with Academia Pro creates a moat that is structurally expensive for competitors to cross:</w:t>
      </w:r>
    </w:p>
    <w:p>
      <w:pPr>
        <w:pStyle w:val="Compact"/>
        <w:numPr>
          <w:ilvl w:val="0"/>
          <w:numId w:val="1016"/>
        </w:numPr>
      </w:pPr>
      <w:r>
        <w:t xml:space="preserve">ClinicMaster would need to rebuild its desktop application as cloud SaaS (multi-year effort), add mobile money API integration, build an AI layer from scratch, build 2 additional language interfaces with clinical translation review, and match the FHIR R4 API — all simultaneously.</w:t>
      </w:r>
    </w:p>
    <w:p>
      <w:pPr>
        <w:pStyle w:val="Compact"/>
        <w:numPr>
          <w:ilvl w:val="0"/>
          <w:numId w:val="1016"/>
        </w:numPr>
      </w:pPr>
      <w:r>
        <w:t xml:space="preserve">OpenMRS would need to add billing, insurance, HR, payroll, mobile money, and AI modules while converting to a multi-tenant SaaS deployment — effectively building a new product on top of a community-governed codebase. The community translation process for OpenMRS makes a reviewed French interface years away.</w:t>
      </w:r>
    </w:p>
    <w:p>
      <w:pPr>
        <w:pStyle w:val="Compact"/>
        <w:numPr>
          <w:ilvl w:val="0"/>
          <w:numId w:val="1016"/>
        </w:numPr>
      </w:pPr>
      <w:r>
        <w:t xml:space="preserve">Foreign enterprise HIS vendors (Epic, Cerner, Meditech) cannot compete on price or local context in the African market; their per-facility cost exceeds the entire Uganda TAM for most segments.</w:t>
      </w:r>
    </w:p>
    <w:p>
      <w:pPr>
        <w:pStyle w:val="Compact"/>
        <w:numPr>
          <w:ilvl w:val="0"/>
          <w:numId w:val="1016"/>
        </w:numPr>
      </w:pPr>
      <w:r>
        <w:t xml:space="preserve">New entrants would lack the shared codebase advantage with Academia Pro, the domain knowledge accumulated across both platforms, the Hope Missionary Hospital reference deployment, and the 2-year head start in building the regulatory and clinical localisation depth required for the East Africa market.</w:t>
      </w:r>
    </w:p>
    <w:bookmarkEnd w:id="59"/>
    <w:bookmarkEnd w:id="60"/>
    <w:bookmarkStart w:id="75" w:name="X31e51dbbac7bae56f3fac6fb069fda7a546bb41"/>
    <w:p>
      <w:pPr>
        <w:pStyle w:val="Heading1"/>
      </w:pPr>
      <w:r>
        <w:t xml:space="preserve">6 Financial Model</w:t>
      </w:r>
    </w:p>
    <w:bookmarkStart w:id="65" w:name="X715617acff3560a1a6ac1e5948952ca366072c6"/>
    <w:p>
      <w:pPr>
        <w:pStyle w:val="Heading2"/>
      </w:pPr>
      <w:r>
        <w:t xml:space="preserve">6.1 Development Costs</w:t>
      </w:r>
    </w:p>
    <w:bookmarkStart w:id="61" w:name="X3371d2eea7be190d2b959ddd63451b4a0688198"/>
    <w:p>
      <w:pPr>
        <w:pStyle w:val="Heading3"/>
      </w:pPr>
      <w:r>
        <w:t xml:space="preserve">6.1.1 Developer Cost</w:t>
      </w:r>
    </w:p>
    <w:p>
      <w:pPr>
        <w:pStyle w:val="FirstParagraph"/>
      </w:pPr>
      <w:r>
        <w:t xml:space="preserve">Medic8 is developed by a solo developer (Peter) under Chwezi Core Systems. There is no salary expense; the cost is measured as opportunity cost of time allocated to Medic8 versus alternative revenue-generating activities.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Estimate</w:t>
            </w:r>
          </w:p>
        </w:tc>
        <w:tc>
          <w:tcPr/>
          <w:p>
            <w:pPr>
              <w:pStyle w:val="Compact"/>
            </w:pPr>
            <w:r>
              <w:t xml:space="preserve">Notes</w:t>
            </w:r>
          </w:p>
        </w:tc>
      </w:tr>
      <w:tr>
        <w:tc>
          <w:tcPr/>
          <w:p>
            <w:pPr>
              <w:pStyle w:val="Compact"/>
            </w:pPr>
            <w:r>
              <w:t xml:space="preserve">Developer opportunity cost (Phase 1, 6 months)</w:t>
            </w:r>
          </w:p>
        </w:tc>
        <w:tc>
          <w:tcPr/>
          <w:p>
            <w:pPr>
              <w:pStyle w:val="Compact"/>
            </w:pPr>
            <w:r>
              <w:t xml:space="preserve">~USD 12,000-18,000</w:t>
            </w:r>
          </w:p>
        </w:tc>
        <w:tc>
          <w:tcPr/>
          <w:p>
            <w:pPr>
              <w:pStyle w:val="Compact"/>
            </w:pPr>
            <w:r>
              <w:t xml:space="preserve">Based on comparable freelance PHP/mobile developer rates in Uganda (USD 2,000-3,000/month). This is not an outflow -- it is the opportunity cost of time that could be billed to clients.</w:t>
            </w:r>
          </w:p>
        </w:tc>
      </w:tr>
      <w:tr>
        <w:tc>
          <w:tcPr/>
          <w:p>
            <w:pPr>
              <w:pStyle w:val="Compact"/>
            </w:pPr>
            <w:r>
              <w:t xml:space="preserve">Codebase reuse from Academia Pro</w:t>
            </w:r>
          </w:p>
        </w:tc>
        <w:tc>
          <w:tcPr/>
          <w:p>
            <w:pPr>
              <w:pStyle w:val="Compact"/>
            </w:pPr>
            <w:r>
              <w:t xml:space="preserve">30-40% reduction in effort</w:t>
            </w:r>
          </w:p>
        </w:tc>
        <w:tc>
          <w:tcPr/>
          <w:p>
            <w:pPr>
              <w:pStyle w:val="Compact"/>
            </w:pPr>
            <w:r>
              <w:t xml:space="preserve">Multi-tenant architecture, authentication, RBAC, country configuration, mobile money integration, offline-first patterns, and global identity layer are shared.</w:t>
            </w:r>
          </w:p>
        </w:tc>
      </w:tr>
    </w:tbl>
    <w:bookmarkEnd w:id="61"/>
    <w:bookmarkStart w:id="62" w:name="X59be6a5afe1b073aa4cf5e7aa4e527d19ae7f12"/>
    <w:p>
      <w:pPr>
        <w:pStyle w:val="Heading3"/>
      </w:pPr>
      <w:r>
        <w:t xml:space="preserve">6.1.2 Infrastructure Costs (Annual)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Annual Cost (USD)</w:t>
            </w:r>
          </w:p>
        </w:tc>
        <w:tc>
          <w:tcPr/>
          <w:p>
            <w:pPr>
              <w:pStyle w:val="Compact"/>
            </w:pPr>
            <w:r>
              <w:t xml:space="preserve">Notes</w:t>
            </w:r>
          </w:p>
        </w:tc>
      </w:tr>
      <w:tr>
        <w:tc>
          <w:tcPr/>
          <w:p>
            <w:pPr>
              <w:pStyle w:val="Compact"/>
            </w:pPr>
            <w:r>
              <w:t xml:space="preserve">Cloud hosting (AWS/DigitalOcean)</w:t>
            </w:r>
          </w:p>
        </w:tc>
        <w:tc>
          <w:tcPr/>
          <w:p>
            <w:pPr>
              <w:pStyle w:val="Compact"/>
            </w:pPr>
            <w:r>
              <w:t xml:space="preserve">1,200-3,600</w:t>
            </w:r>
          </w:p>
        </w:tc>
        <w:tc>
          <w:tcPr/>
          <w:p>
            <w:pPr>
              <w:pStyle w:val="Compact"/>
            </w:pPr>
            <w:r>
              <w:t xml:space="preserve">Scales with facility count; initial deployment on shared infrastructure with Academia Pro</w:t>
            </w:r>
          </w:p>
        </w:tc>
      </w:tr>
      <w:tr>
        <w:tc>
          <w:tcPr/>
          <w:p>
            <w:pPr>
              <w:pStyle w:val="Compact"/>
            </w:pPr>
            <w:r>
              <w:t xml:space="preserve">Domain name</w:t>
            </w:r>
          </w:p>
        </w:tc>
        <w:tc>
          <w:tcPr/>
          <w:p>
            <w:pPr>
              <w:pStyle w:val="Compact"/>
            </w:pPr>
            <w:r>
              <w:t xml:space="preserve">15-30</w:t>
            </w:r>
          </w:p>
        </w:tc>
        <w:tc>
          <w:tcPr/>
          <w:p>
            <w:pPr>
              <w:pStyle w:val="Compact"/>
            </w:pPr>
            <w:r>
              <w:rPr>
                <w:rStyle w:val="VerbatimChar"/>
              </w:rPr>
              <w:t xml:space="preserve">.com</w:t>
            </w:r>
            <w:r>
              <w:t xml:space="preserve"> </w:t>
            </w:r>
            <w:r>
              <w:t xml:space="preserve">or</w:t>
            </w:r>
            <w:r>
              <w:t xml:space="preserve"> </w:t>
            </w:r>
            <w:r>
              <w:rPr>
                <w:rStyle w:val="VerbatimChar"/>
              </w:rPr>
              <w:t xml:space="preserve">.health</w:t>
            </w:r>
            <w:r>
              <w:t xml:space="preserve"> </w:t>
            </w:r>
            <w:r>
              <w:t xml:space="preserve">domain</w:t>
            </w:r>
          </w:p>
        </w:tc>
      </w:tr>
      <w:tr>
        <w:tc>
          <w:tcPr/>
          <w:p>
            <w:pPr>
              <w:pStyle w:val="Compact"/>
            </w:pPr>
            <w:r>
              <w:t xml:space="preserve">SSL certificate</w:t>
            </w:r>
          </w:p>
        </w:tc>
        <w:tc>
          <w:tcPr/>
          <w:p>
            <w:pPr>
              <w:pStyle w:val="Compact"/>
            </w:pPr>
            <w:r>
              <w:t xml:space="preserve">0</w:t>
            </w:r>
          </w:p>
        </w:tc>
        <w:tc>
          <w:tcPr/>
          <w:p>
            <w:pPr>
              <w:pStyle w:val="Compact"/>
            </w:pPr>
            <w:r>
              <w:t xml:space="preserve">Let's Encrypt (free)</w:t>
            </w:r>
          </w:p>
        </w:tc>
      </w:tr>
      <w:tr>
        <w:tc>
          <w:tcPr/>
          <w:p>
            <w:pPr>
              <w:pStyle w:val="Compact"/>
            </w:pPr>
            <w:r>
              <w:t xml:space="preserve">SMS gateway (Africa's Talking)</w:t>
            </w:r>
          </w:p>
        </w:tc>
        <w:tc>
          <w:tcPr/>
          <w:p>
            <w:pPr>
              <w:pStyle w:val="Compact"/>
            </w:pPr>
            <w:r>
              <w:t xml:space="preserve">600-1,200</w:t>
            </w:r>
          </w:p>
        </w:tc>
        <w:tc>
          <w:tcPr/>
          <w:p>
            <w:pPr>
              <w:pStyle w:val="Compact"/>
            </w:pPr>
            <w:r>
              <w:t xml:space="preserve">Appointment reminders, OTP, alerts; ~UGX 30-50 per SMS; estimated 1,500-3,000 SMS/month initially</w:t>
            </w:r>
          </w:p>
        </w:tc>
      </w:tr>
      <w:tr>
        <w:tc>
          <w:tcPr/>
          <w:p>
            <w:pPr>
              <w:pStyle w:val="Compact"/>
            </w:pPr>
            <w:r>
              <w:t xml:space="preserve">Mobile money API setup (MTN MoMo)</w:t>
            </w:r>
          </w:p>
        </w:tc>
        <w:tc>
          <w:tcPr/>
          <w:p>
            <w:pPr>
              <w:pStyle w:val="Compact"/>
            </w:pPr>
            <w:r>
              <w:t xml:space="preserve">0-200</w:t>
            </w:r>
          </w:p>
        </w:tc>
        <w:tc>
          <w:tcPr/>
          <w:p>
            <w:pPr>
              <w:pStyle w:val="Compact"/>
            </w:pPr>
            <w:r>
              <w:t xml:space="preserve">One-time merchant registration; ongoing transaction fees are pass-through</w:t>
            </w:r>
          </w:p>
        </w:tc>
      </w:tr>
      <w:tr>
        <w:tc>
          <w:tcPr/>
          <w:p>
            <w:pPr>
              <w:pStyle w:val="Compact"/>
            </w:pPr>
            <w:r>
              <w:t xml:space="preserve">Mobile money API setup (Airtel Money)</w:t>
            </w:r>
          </w:p>
        </w:tc>
        <w:tc>
          <w:tcPr/>
          <w:p>
            <w:pPr>
              <w:pStyle w:val="Compact"/>
            </w:pPr>
            <w:r>
              <w:t xml:space="preserve">0-200</w:t>
            </w:r>
          </w:p>
        </w:tc>
        <w:tc>
          <w:tcPr/>
          <w:p>
            <w:pPr>
              <w:pStyle w:val="Compact"/>
            </w:pPr>
            <w:r>
              <w:t xml:space="preserve">One-time merchant registration</w:t>
            </w:r>
          </w:p>
        </w:tc>
      </w:tr>
      <w:tr>
        <w:tc>
          <w:tcPr/>
          <w:p>
            <w:pPr>
              <w:pStyle w:val="Compact"/>
            </w:pPr>
            <w:r>
              <w:t xml:space="preserve">Email service (transactional)</w:t>
            </w:r>
          </w:p>
        </w:tc>
        <w:tc>
          <w:tcPr/>
          <w:p>
            <w:pPr>
              <w:pStyle w:val="Compact"/>
            </w:pPr>
            <w:r>
              <w:t xml:space="preserve">0-120</w:t>
            </w:r>
          </w:p>
        </w:tc>
        <w:tc>
          <w:tcPr/>
          <w:p>
            <w:pPr>
              <w:pStyle w:val="Compact"/>
            </w:pPr>
            <w:r>
              <w:t xml:space="preserve">Free tier initially; scales with usage</w:t>
            </w:r>
          </w:p>
        </w:tc>
      </w:tr>
      <w:tr>
        <w:tc>
          <w:tcPr/>
          <w:p>
            <w:pPr>
              <w:pStyle w:val="Compact"/>
            </w:pPr>
            <w:r>
              <w:rPr>
                <w:b/>
                <w:bCs/>
              </w:rPr>
              <w:t xml:space="preserve">TOTAL Infrastructure (Year 1)</w:t>
            </w:r>
          </w:p>
        </w:tc>
        <w:tc>
          <w:tcPr/>
          <w:p>
            <w:pPr>
              <w:pStyle w:val="Compact"/>
            </w:pPr>
            <w:r>
              <w:rPr>
                <w:b/>
                <w:bCs/>
              </w:rPr>
              <w:t xml:space="preserve">1,815-5,350</w:t>
            </w:r>
          </w:p>
        </w:tc>
        <w:tc>
          <w:tcPr/>
          <w:p>
            <w:pPr>
              <w:pStyle w:val="Compact"/>
            </w:pPr>
          </w:p>
        </w:tc>
      </w:tr>
    </w:tbl>
    <w:bookmarkEnd w:id="62"/>
    <w:bookmarkStart w:id="63" w:name="X8ce344cff6301200df771739b1d134b27c62277"/>
    <w:p>
      <w:pPr>
        <w:pStyle w:val="Heading3"/>
      </w:pPr>
      <w:r>
        <w:t xml:space="preserve">6.1.3 Licensing Costs (Annual)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Annual Cost (USD)</w:t>
            </w:r>
          </w:p>
        </w:tc>
        <w:tc>
          <w:tcPr/>
          <w:p>
            <w:pPr>
              <w:pStyle w:val="Compact"/>
            </w:pPr>
            <w:r>
              <w:t xml:space="preserve">Notes</w:t>
            </w:r>
          </w:p>
        </w:tc>
      </w:tr>
      <w:tr>
        <w:tc>
          <w:tcPr/>
          <w:p>
            <w:pPr>
              <w:pStyle w:val="Compact"/>
            </w:pPr>
            <w:r>
              <w:t xml:space="preserve">Drug interaction database (DrugBank or equivalent)</w:t>
            </w:r>
          </w:p>
        </w:tc>
        <w:tc>
          <w:tcPr/>
          <w:p>
            <w:pPr>
              <w:pStyle w:val="Compact"/>
            </w:pPr>
            <w:r>
              <w:t xml:space="preserve">1,000-5,000</w:t>
            </w:r>
          </w:p>
        </w:tc>
        <w:tc>
          <w:tcPr/>
          <w:p>
            <w:pPr>
              <w:pStyle w:val="Compact"/>
            </w:pPr>
            <w:r>
              <w:rPr>
                <w:rStyle w:val="VerbatimChar"/>
              </w:rPr>
              <w:t xml:space="preserve">[CONTEXT-GAP: exact licensing cost]</w:t>
            </w:r>
            <w:r>
              <w:t xml:space="preserve"> </w:t>
            </w:r>
            <w:r>
              <w:t xml:space="preserve">-- requires vendor quote. DrugBank Academic is free; commercial licence pricing varies. RxNorm/NLM is free for US entities.</w:t>
            </w:r>
          </w:p>
        </w:tc>
      </w:tr>
      <w:tr>
        <w:tc>
          <w:tcPr/>
          <w:p>
            <w:pPr>
              <w:pStyle w:val="Compact"/>
            </w:pPr>
            <w:r>
              <w:t xml:space="preserve">SNOMED CT</w:t>
            </w:r>
          </w:p>
        </w:tc>
        <w:tc>
          <w:tcPr/>
          <w:p>
            <w:pPr>
              <w:pStyle w:val="Compact"/>
            </w:pPr>
            <w:r>
              <w:t xml:space="preserve">0</w:t>
            </w:r>
          </w:p>
        </w:tc>
        <w:tc>
          <w:tcPr/>
          <w:p>
            <w:pPr>
              <w:pStyle w:val="Compact"/>
            </w:pPr>
            <w:r>
              <w:t xml:space="preserve">Free for Low- and Middle-Income Countries (LMICs) via SNOMED International</w:t>
            </w:r>
          </w:p>
        </w:tc>
      </w:tr>
      <w:tr>
        <w:tc>
          <w:tcPr/>
          <w:p>
            <w:pPr>
              <w:pStyle w:val="Compact"/>
            </w:pPr>
            <w:r>
              <w:t xml:space="preserve">LOINC</w:t>
            </w:r>
          </w:p>
        </w:tc>
        <w:tc>
          <w:tcPr/>
          <w:p>
            <w:pPr>
              <w:pStyle w:val="Compact"/>
            </w:pPr>
            <w:r>
              <w:t xml:space="preserve">0</w:t>
            </w:r>
          </w:p>
        </w:tc>
        <w:tc>
          <w:tcPr/>
          <w:p>
            <w:pPr>
              <w:pStyle w:val="Compact"/>
            </w:pPr>
            <w:r>
              <w:t xml:space="preserve">Free, open licence</w:t>
            </w:r>
          </w:p>
        </w:tc>
      </w:tr>
      <w:tr>
        <w:tc>
          <w:tcPr/>
          <w:p>
            <w:pPr>
              <w:pStyle w:val="Compact"/>
            </w:pPr>
            <w:r>
              <w:t xml:space="preserve">ICD-10/ICD-11</w:t>
            </w:r>
          </w:p>
        </w:tc>
        <w:tc>
          <w:tcPr/>
          <w:p>
            <w:pPr>
              <w:pStyle w:val="Compact"/>
            </w:pPr>
            <w:r>
              <w:t xml:space="preserve">0</w:t>
            </w:r>
          </w:p>
        </w:tc>
        <w:tc>
          <w:tcPr/>
          <w:p>
            <w:pPr>
              <w:pStyle w:val="Compact"/>
            </w:pPr>
            <w:r>
              <w:t xml:space="preserve">Free, WHO licence</w:t>
            </w:r>
          </w:p>
        </w:tc>
      </w:tr>
      <w:tr>
        <w:tc>
          <w:tcPr/>
          <w:p>
            <w:pPr>
              <w:pStyle w:val="Compact"/>
            </w:pPr>
            <w:r>
              <w:t xml:space="preserve">openEHR tools</w:t>
            </w:r>
          </w:p>
        </w:tc>
        <w:tc>
          <w:tcPr/>
          <w:p>
            <w:pPr>
              <w:pStyle w:val="Compact"/>
            </w:pPr>
            <w:r>
              <w:t xml:space="preserve">0</w:t>
            </w:r>
          </w:p>
        </w:tc>
        <w:tc>
          <w:tcPr/>
          <w:p>
            <w:pPr>
              <w:pStyle w:val="Compact"/>
            </w:pPr>
            <w:r>
              <w:t xml:space="preserve">Open-source</w:t>
            </w:r>
          </w:p>
        </w:tc>
      </w:tr>
      <w:tr>
        <w:tc>
          <w:tcPr/>
          <w:p>
            <w:pPr>
              <w:pStyle w:val="Compact"/>
            </w:pPr>
            <w:r>
              <w:rPr>
                <w:b/>
                <w:bCs/>
              </w:rPr>
              <w:t xml:space="preserve">TOTAL Licensing (Year 1)</w:t>
            </w:r>
          </w:p>
        </w:tc>
        <w:tc>
          <w:tcPr/>
          <w:p>
            <w:pPr>
              <w:pStyle w:val="Compact"/>
            </w:pPr>
            <w:r>
              <w:rPr>
                <w:b/>
                <w:bCs/>
              </w:rPr>
              <w:t xml:space="preserve">1,000-5,000</w:t>
            </w:r>
          </w:p>
        </w:tc>
        <w:tc>
          <w:tcPr/>
          <w:p>
            <w:pPr>
              <w:pStyle w:val="Compact"/>
            </w:pPr>
          </w:p>
        </w:tc>
      </w:tr>
    </w:tbl>
    <w:bookmarkEnd w:id="63"/>
    <w:bookmarkStart w:id="64" w:name="X2fadcce8c87c9d4cb2a513506dee26c85fb262d"/>
    <w:p>
      <w:pPr>
        <w:pStyle w:val="Heading3"/>
      </w:pPr>
      <w:r>
        <w:t xml:space="preserve">6.1.4 Total Phase 1 Estimated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Low Estimate (USD)</w:t>
            </w:r>
          </w:p>
        </w:tc>
        <w:tc>
          <w:tcPr/>
          <w:p>
            <w:pPr>
              <w:pStyle w:val="Compact"/>
            </w:pPr>
            <w:r>
              <w:t xml:space="preserve">High Estimate (USD)</w:t>
            </w:r>
          </w:p>
        </w:tc>
      </w:tr>
      <w:tr>
        <w:tc>
          <w:tcPr/>
          <w:p>
            <w:pPr>
              <w:pStyle w:val="Compact"/>
            </w:pPr>
            <w:r>
              <w:t xml:space="preserve">Developer opportunity cost (6 months)</w:t>
            </w:r>
          </w:p>
        </w:tc>
        <w:tc>
          <w:tcPr/>
          <w:p>
            <w:pPr>
              <w:pStyle w:val="Compact"/>
            </w:pPr>
            <w:r>
              <w:t xml:space="preserve">12,000</w:t>
            </w:r>
          </w:p>
        </w:tc>
        <w:tc>
          <w:tcPr/>
          <w:p>
            <w:pPr>
              <w:pStyle w:val="Compact"/>
            </w:pPr>
            <w:r>
              <w:t xml:space="preserve">18,000</w:t>
            </w:r>
          </w:p>
        </w:tc>
      </w:tr>
      <w:tr>
        <w:tc>
          <w:tcPr/>
          <w:p>
            <w:pPr>
              <w:pStyle w:val="Compact"/>
            </w:pPr>
            <w:r>
              <w:t xml:space="preserve">Infrastructure (Year 1)</w:t>
            </w:r>
          </w:p>
        </w:tc>
        <w:tc>
          <w:tcPr/>
          <w:p>
            <w:pPr>
              <w:pStyle w:val="Compact"/>
            </w:pPr>
            <w:r>
              <w:t xml:space="preserve">1,815</w:t>
            </w:r>
          </w:p>
        </w:tc>
        <w:tc>
          <w:tcPr/>
          <w:p>
            <w:pPr>
              <w:pStyle w:val="Compact"/>
            </w:pPr>
            <w:r>
              <w:t xml:space="preserve">5,350</w:t>
            </w:r>
          </w:p>
        </w:tc>
      </w:tr>
      <w:tr>
        <w:tc>
          <w:tcPr/>
          <w:p>
            <w:pPr>
              <w:pStyle w:val="Compact"/>
            </w:pPr>
            <w:r>
              <w:t xml:space="preserve">Licensing (Year 1)</w:t>
            </w:r>
          </w:p>
        </w:tc>
        <w:tc>
          <w:tcPr/>
          <w:p>
            <w:pPr>
              <w:pStyle w:val="Compact"/>
            </w:pPr>
            <w:r>
              <w:t xml:space="preserve">1,000</w:t>
            </w:r>
          </w:p>
        </w:tc>
        <w:tc>
          <w:tcPr/>
          <w:p>
            <w:pPr>
              <w:pStyle w:val="Compact"/>
            </w:pPr>
            <w:r>
              <w:t xml:space="preserve">5,000</w:t>
            </w:r>
          </w:p>
        </w:tc>
      </w:tr>
      <w:tr>
        <w:tc>
          <w:tcPr/>
          <w:p>
            <w:pPr>
              <w:pStyle w:val="Compact"/>
            </w:pPr>
            <w:r>
              <w:t xml:space="preserve">Legal review (PDPA, UMDPC)</w:t>
            </w:r>
          </w:p>
        </w:tc>
        <w:tc>
          <w:tcPr/>
          <w:p>
            <w:pPr>
              <w:pStyle w:val="Compact"/>
            </w:pPr>
            <w:r>
              <w:t xml:space="preserve">500</w:t>
            </w:r>
          </w:p>
        </w:tc>
        <w:tc>
          <w:tcPr/>
          <w:p>
            <w:pPr>
              <w:pStyle w:val="Compact"/>
            </w:pPr>
            <w:r>
              <w:t xml:space="preserve">2,000</w:t>
            </w:r>
          </w:p>
        </w:tc>
      </w:tr>
      <w:tr>
        <w:tc>
          <w:tcPr/>
          <w:p>
            <w:pPr>
              <w:pStyle w:val="Compact"/>
            </w:pPr>
            <w:r>
              <w:rPr>
                <w:b/>
                <w:bCs/>
              </w:rPr>
              <w:t xml:space="preserve">TOTAL Phase 1</w:t>
            </w:r>
          </w:p>
        </w:tc>
        <w:tc>
          <w:tcPr/>
          <w:p>
            <w:pPr>
              <w:pStyle w:val="Compact"/>
            </w:pPr>
            <w:r>
              <w:rPr>
                <w:b/>
                <w:bCs/>
              </w:rPr>
              <w:t xml:space="preserve">15,315</w:t>
            </w:r>
          </w:p>
        </w:tc>
        <w:tc>
          <w:tcPr/>
          <w:p>
            <w:pPr>
              <w:pStyle w:val="Compact"/>
            </w:pPr>
            <w:r>
              <w:rPr>
                <w:b/>
                <w:bCs/>
              </w:rPr>
              <w:t xml:space="preserve">30,350</w:t>
            </w:r>
          </w:p>
        </w:tc>
      </w:tr>
    </w:tbl>
    <w:p>
      <w:pPr>
        <w:pStyle w:val="BodyText"/>
      </w:pPr>
      <w:r>
        <w:rPr>
          <w:i/>
          <w:iCs/>
        </w:rPr>
        <w:t xml:space="preserve">Note: Developer opportunity cost is not a cash outflow. Excluding opportunity cost, the cash investment for Phase 1 is USD 3,315-12,350.</w:t>
      </w:r>
    </w:p>
    <w:bookmarkEnd w:id="64"/>
    <w:bookmarkEnd w:id="65"/>
    <w:bookmarkStart w:id="68" w:name="X117be0a6cfaff7f9c59b2ef34f8756081d801e0"/>
    <w:p>
      <w:pPr>
        <w:pStyle w:val="Heading2"/>
      </w:pPr>
      <w:r>
        <w:t xml:space="preserve">6.2 Operational Costs (Monthly)</w:t>
      </w:r>
    </w:p>
    <w:bookmarkStart w:id="66" w:name="X694124b35de1f494016979d871a22850e7c1013"/>
    <w:p>
      <w:pPr>
        <w:pStyle w:val="Heading3"/>
      </w:pPr>
      <w:r>
        <w:t xml:space="preserve">6.2.1 Per-Facility Infrastructure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Estimated Hosting Cost per Facility (USD/month)</w:t>
            </w:r>
          </w:p>
        </w:tc>
        <w:tc>
          <w:tcPr/>
          <w:p>
            <w:pPr>
              <w:pStyle w:val="Compact"/>
            </w:pPr>
            <w:r>
              <w:t xml:space="preserve">Gross Margin</w:t>
            </w:r>
          </w:p>
        </w:tc>
      </w:tr>
      <w:tr>
        <w:tc>
          <w:tcPr/>
          <w:p>
            <w:pPr>
              <w:pStyle w:val="Compact"/>
            </w:pPr>
            <w:r>
              <w:t xml:space="preserve">Starter (UGX 150,000 / ~USD 40)</w:t>
            </w:r>
          </w:p>
        </w:tc>
        <w:tc>
          <w:tcPr/>
          <w:p>
            <w:pPr>
              <w:pStyle w:val="Compact"/>
            </w:pPr>
            <w:r>
              <w:t xml:space="preserve">2-5</w:t>
            </w:r>
          </w:p>
        </w:tc>
        <w:tc>
          <w:tcPr/>
          <w:p>
            <w:pPr>
              <w:pStyle w:val="Compact"/>
            </w:pPr>
            <w:r>
              <w:t xml:space="preserve">87-95%</w:t>
            </w:r>
          </w:p>
        </w:tc>
      </w:tr>
      <w:tr>
        <w:tc>
          <w:tcPr/>
          <w:p>
            <w:pPr>
              <w:pStyle w:val="Compact"/>
            </w:pPr>
            <w:r>
              <w:t xml:space="preserve">Growth (UGX 350,000 / ~USD 93)</w:t>
            </w:r>
          </w:p>
        </w:tc>
        <w:tc>
          <w:tcPr/>
          <w:p>
            <w:pPr>
              <w:pStyle w:val="Compact"/>
            </w:pPr>
            <w:r>
              <w:t xml:space="preserve">5-10</w:t>
            </w:r>
          </w:p>
        </w:tc>
        <w:tc>
          <w:tcPr/>
          <w:p>
            <w:pPr>
              <w:pStyle w:val="Compact"/>
            </w:pPr>
            <w:r>
              <w:t xml:space="preserve">89-95%</w:t>
            </w:r>
          </w:p>
        </w:tc>
      </w:tr>
      <w:tr>
        <w:tc>
          <w:tcPr/>
          <w:p>
            <w:pPr>
              <w:pStyle w:val="Compact"/>
            </w:pPr>
            <w:r>
              <w:t xml:space="preserve">Pro (UGX 700,000 / ~USD 187)</w:t>
            </w:r>
          </w:p>
        </w:tc>
        <w:tc>
          <w:tcPr/>
          <w:p>
            <w:pPr>
              <w:pStyle w:val="Compact"/>
            </w:pPr>
            <w:r>
              <w:t xml:space="preserve">10-20</w:t>
            </w:r>
          </w:p>
        </w:tc>
        <w:tc>
          <w:tcPr/>
          <w:p>
            <w:pPr>
              <w:pStyle w:val="Compact"/>
            </w:pPr>
            <w:r>
              <w:t xml:space="preserve">89-95%</w:t>
            </w:r>
          </w:p>
        </w:tc>
      </w:tr>
      <w:tr>
        <w:tc>
          <w:tcPr/>
          <w:p>
            <w:pPr>
              <w:pStyle w:val="Compact"/>
            </w:pPr>
            <w:r>
              <w:t xml:space="preserve">Enterprise (custom)</w:t>
            </w:r>
          </w:p>
        </w:tc>
        <w:tc>
          <w:tcPr/>
          <w:p>
            <w:pPr>
              <w:pStyle w:val="Compact"/>
            </w:pPr>
            <w:r>
              <w:t xml:space="preserve">20-50</w:t>
            </w:r>
          </w:p>
        </w:tc>
        <w:tc>
          <w:tcPr/>
          <w:p>
            <w:pPr>
              <w:pStyle w:val="Compact"/>
            </w:pPr>
            <w:r>
              <w:t xml:space="preserve">Negotiated</w:t>
            </w:r>
          </w:p>
        </w:tc>
      </w:tr>
    </w:tbl>
    <w:p>
      <w:pPr>
        <w:pStyle w:val="BodyText"/>
      </w:pPr>
      <w:r>
        <w:t xml:space="preserve">Multi-tenant SaaS amortises infrastructure costs across all tenants on shared servers. Gross margin improves as facility count increases.</w:t>
      </w:r>
    </w:p>
    <w:bookmarkEnd w:id="66"/>
    <w:bookmarkStart w:id="67" w:name="X9414073046d3d57c21283401193e3cf37e9e523"/>
    <w:p>
      <w:pPr>
        <w:pStyle w:val="Heading3"/>
      </w:pPr>
      <w:r>
        <w:t xml:space="preserve">6.2.2 Monthly Operating Expenses (at scale, 50+ facilities)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Monthly Cost (USD)</w:t>
            </w:r>
          </w:p>
        </w:tc>
        <w:tc>
          <w:tcPr/>
          <w:p>
            <w:pPr>
              <w:pStyle w:val="Compact"/>
            </w:pPr>
            <w:r>
              <w:t xml:space="preserve">Notes</w:t>
            </w:r>
          </w:p>
        </w:tc>
      </w:tr>
      <w:tr>
        <w:tc>
          <w:tcPr/>
          <w:p>
            <w:pPr>
              <w:pStyle w:val="Compact"/>
            </w:pPr>
            <w:r>
              <w:t xml:space="preserve">Cloud hosting (50 facilities)</w:t>
            </w:r>
          </w:p>
        </w:tc>
        <w:tc>
          <w:tcPr/>
          <w:p>
            <w:pPr>
              <w:pStyle w:val="Compact"/>
            </w:pPr>
            <w:r>
              <w:t xml:space="preserve">200-500</w:t>
            </w:r>
          </w:p>
        </w:tc>
        <w:tc>
          <w:tcPr/>
          <w:p>
            <w:pPr>
              <w:pStyle w:val="Compact"/>
            </w:pPr>
            <w:r>
              <w:t xml:space="preserve">Shared multi-tenant infrastructure</w:t>
            </w:r>
          </w:p>
        </w:tc>
      </w:tr>
      <w:tr>
        <w:tc>
          <w:tcPr/>
          <w:p>
            <w:pPr>
              <w:pStyle w:val="Compact"/>
            </w:pPr>
            <w:r>
              <w:t xml:space="preserve">SMS costs (Africa's Talking)</w:t>
            </w:r>
          </w:p>
        </w:tc>
        <w:tc>
          <w:tcPr/>
          <w:p>
            <w:pPr>
              <w:pStyle w:val="Compact"/>
            </w:pPr>
            <w:r>
              <w:t xml:space="preserve">100-300</w:t>
            </w:r>
          </w:p>
        </w:tc>
        <w:tc>
          <w:tcPr/>
          <w:p>
            <w:pPr>
              <w:pStyle w:val="Compact"/>
            </w:pPr>
            <w:r>
              <w:t xml:space="preserve">~5,000-15,000 SMS/month across all facilities</w:t>
            </w:r>
          </w:p>
        </w:tc>
      </w:tr>
      <w:tr>
        <w:tc>
          <w:tcPr/>
          <w:p>
            <w:pPr>
              <w:pStyle w:val="Compact"/>
            </w:pPr>
            <w:r>
              <w:t xml:space="preserve">Customer support staff (1 hire)</w:t>
            </w:r>
          </w:p>
        </w:tc>
        <w:tc>
          <w:tcPr/>
          <w:p>
            <w:pPr>
              <w:pStyle w:val="Compact"/>
            </w:pPr>
            <w:r>
              <w:t xml:space="preserve">300-500</w:t>
            </w:r>
          </w:p>
        </w:tc>
        <w:tc>
          <w:tcPr/>
          <w:p>
            <w:pPr>
              <w:pStyle w:val="Compact"/>
            </w:pPr>
            <w:r>
              <w:t xml:space="preserve">First support hire at ~50 facilities; Kampala-based</w:t>
            </w:r>
          </w:p>
        </w:tc>
      </w:tr>
      <w:tr>
        <w:tc>
          <w:tcPr/>
          <w:p>
            <w:pPr>
              <w:pStyle w:val="Compact"/>
            </w:pPr>
            <w:r>
              <w:t xml:space="preserve">Mobile money transaction fees</w:t>
            </w:r>
          </w:p>
        </w:tc>
        <w:tc>
          <w:tcPr/>
          <w:p>
            <w:pPr>
              <w:pStyle w:val="Compact"/>
            </w:pPr>
            <w:r>
              <w:t xml:space="preserve">Pass-through</w:t>
            </w:r>
          </w:p>
        </w:tc>
        <w:tc>
          <w:tcPr/>
          <w:p>
            <w:pPr>
              <w:pStyle w:val="Compact"/>
            </w:pPr>
            <w:r>
              <w:t xml:space="preserve">Charged to patient or facility; not a Medic8 expense</w:t>
            </w:r>
          </w:p>
        </w:tc>
      </w:tr>
      <w:tr>
        <w:tc>
          <w:tcPr/>
          <w:p>
            <w:pPr>
              <w:pStyle w:val="Compact"/>
            </w:pPr>
            <w:r>
              <w:t xml:space="preserve">Drug interaction database</w:t>
            </w:r>
          </w:p>
        </w:tc>
        <w:tc>
          <w:tcPr/>
          <w:p>
            <w:pPr>
              <w:pStyle w:val="Compact"/>
            </w:pPr>
            <w:r>
              <w:t xml:space="preserve">83-417</w:t>
            </w:r>
          </w:p>
        </w:tc>
        <w:tc>
          <w:tcPr/>
          <w:p>
            <w:pPr>
              <w:pStyle w:val="Compact"/>
            </w:pPr>
            <w:r>
              <w:t xml:space="preserve">Annual licence amortised monthly</w:t>
            </w:r>
          </w:p>
        </w:tc>
      </w:tr>
      <w:tr>
        <w:tc>
          <w:tcPr/>
          <w:p>
            <w:pPr>
              <w:pStyle w:val="Compact"/>
            </w:pPr>
            <w:r>
              <w:rPr>
                <w:b/>
                <w:bCs/>
              </w:rPr>
              <w:t xml:space="preserve">TOTAL Monthly OpEx</w:t>
            </w:r>
          </w:p>
        </w:tc>
        <w:tc>
          <w:tcPr/>
          <w:p>
            <w:pPr>
              <w:pStyle w:val="Compact"/>
            </w:pPr>
            <w:r>
              <w:rPr>
                <w:b/>
                <w:bCs/>
              </w:rPr>
              <w:t xml:space="preserve">683-1,717</w:t>
            </w:r>
          </w:p>
        </w:tc>
        <w:tc>
          <w:tcPr/>
          <w:p>
            <w:pPr>
              <w:pStyle w:val="Compact"/>
            </w:pPr>
          </w:p>
        </w:tc>
      </w:tr>
    </w:tbl>
    <w:bookmarkEnd w:id="67"/>
    <w:bookmarkEnd w:id="68"/>
    <w:bookmarkStart w:id="70" w:name="X8550f64cda0a309cfe5bdf694c4a8aa3fbb260f"/>
    <w:p>
      <w:pPr>
        <w:pStyle w:val="Heading2"/>
      </w:pPr>
      <w:r>
        <w:t xml:space="preserve">6.3 Revenue Projections (24 Months)</w:t>
      </w:r>
    </w:p>
    <w:p>
      <w:pPr>
        <w:pStyle w:val="FirstParagraph"/>
      </w:pPr>
      <w:r>
        <w:t xml:space="preserve">Revenue projections follow the 4-phase roadmap with subscription pricing from</w:t>
      </w:r>
      <w:r>
        <w:t xml:space="preserve"> </w:t>
      </w:r>
      <w:r>
        <w:rPr>
          <w:rStyle w:val="VerbatimChar"/>
        </w:rPr>
        <w:t xml:space="preserve">_context/metrics.md</w:t>
      </w:r>
      <w:r>
        <w:t xml:space="preserve">. All UGX to USD conversions use the rate UGX 3,750 = USD 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Month</w:t>
            </w:r>
          </w:p>
        </w:tc>
        <w:tc>
          <w:tcPr/>
          <w:p>
            <w:pPr>
              <w:pStyle w:val="Compact"/>
            </w:pPr>
            <w:r>
              <w:t xml:space="preserve">Phase</w:t>
            </w:r>
          </w:p>
        </w:tc>
        <w:tc>
          <w:tcPr/>
          <w:p>
            <w:pPr>
              <w:pStyle w:val="Compact"/>
            </w:pPr>
            <w:r>
              <w:t xml:space="preserve">New Facilities</w:t>
            </w:r>
          </w:p>
        </w:tc>
        <w:tc>
          <w:tcPr/>
          <w:p>
            <w:pPr>
              <w:pStyle w:val="Compact"/>
            </w:pPr>
            <w:r>
              <w:t xml:space="preserve">Total Facilities</w:t>
            </w:r>
          </w:p>
        </w:tc>
        <w:tc>
          <w:tcPr/>
          <w:p>
            <w:pPr>
              <w:pStyle w:val="Compact"/>
            </w:pPr>
            <w:r>
              <w:t xml:space="preserve">Avg MRR/Facility (UGX)</w:t>
            </w:r>
          </w:p>
        </w:tc>
        <w:tc>
          <w:tcPr/>
          <w:p>
            <w:pPr>
              <w:pStyle w:val="Compact"/>
            </w:pPr>
            <w:r>
              <w:t xml:space="preserve">MRR (UGX)</w:t>
            </w:r>
          </w:p>
        </w:tc>
        <w:tc>
          <w:tcPr/>
          <w:p>
            <w:pPr>
              <w:pStyle w:val="Compact"/>
            </w:pPr>
            <w:r>
              <w:t xml:space="preserve">MRR (USD)</w:t>
            </w:r>
          </w:p>
        </w:tc>
      </w:tr>
      <w:tr>
        <w:tc>
          <w:tcPr/>
          <w:p>
            <w:pPr>
              <w:pStyle w:val="Compact"/>
            </w:pPr>
            <w:r>
              <w:t xml:space="preserve">1-3</w:t>
            </w:r>
          </w:p>
        </w:tc>
        <w:tc>
          <w:tcPr/>
          <w:p>
            <w:pPr>
              <w:pStyle w:val="Compact"/>
            </w:pPr>
            <w:r>
              <w:t xml:space="preserve">Phase 1 (build)</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Phase 1 (pilot)</w:t>
            </w:r>
          </w:p>
        </w:tc>
        <w:tc>
          <w:tcPr/>
          <w:p>
            <w:pPr>
              <w:pStyle w:val="Compact"/>
            </w:pPr>
            <w:r>
              <w:t xml:space="preserve">3</w:t>
            </w:r>
          </w:p>
        </w:tc>
        <w:tc>
          <w:tcPr/>
          <w:p>
            <w:pPr>
              <w:pStyle w:val="Compact"/>
            </w:pPr>
            <w:r>
              <w:t xml:space="preserve">3</w:t>
            </w:r>
          </w:p>
        </w:tc>
        <w:tc>
          <w:tcPr/>
          <w:p>
            <w:pPr>
              <w:pStyle w:val="Compact"/>
            </w:pPr>
            <w:r>
              <w:t xml:space="preserve">0 (free pilot)</w:t>
            </w:r>
          </w:p>
        </w:tc>
        <w:tc>
          <w:tcPr/>
          <w:p>
            <w:pPr>
              <w:pStyle w:val="Compact"/>
            </w:pPr>
            <w:r>
              <w:t xml:space="preserve">0</w:t>
            </w:r>
          </w:p>
        </w:tc>
        <w:tc>
          <w:tcPr/>
          <w:p>
            <w:pPr>
              <w:pStyle w:val="Compact"/>
            </w:pPr>
            <w:r>
              <w:t xml:space="preserve">0</w:t>
            </w:r>
          </w:p>
        </w:tc>
      </w:tr>
      <w:tr>
        <w:tc>
          <w:tcPr/>
          <w:p>
            <w:pPr>
              <w:pStyle w:val="Compact"/>
            </w:pPr>
            <w:r>
              <w:t xml:space="preserve">5</w:t>
            </w:r>
          </w:p>
        </w:tc>
        <w:tc>
          <w:tcPr/>
          <w:p>
            <w:pPr>
              <w:pStyle w:val="Compact"/>
            </w:pPr>
            <w:r>
              <w:t xml:space="preserve">Phase 1 (launch)</w:t>
            </w:r>
          </w:p>
        </w:tc>
        <w:tc>
          <w:tcPr/>
          <w:p>
            <w:pPr>
              <w:pStyle w:val="Compact"/>
            </w:pPr>
            <w:r>
              <w:t xml:space="preserve">3</w:t>
            </w:r>
          </w:p>
        </w:tc>
        <w:tc>
          <w:tcPr/>
          <w:p>
            <w:pPr>
              <w:pStyle w:val="Compact"/>
            </w:pPr>
            <w:r>
              <w:t xml:space="preserve">6</w:t>
            </w:r>
          </w:p>
        </w:tc>
        <w:tc>
          <w:tcPr/>
          <w:p>
            <w:pPr>
              <w:pStyle w:val="Compact"/>
            </w:pPr>
            <w:r>
              <w:t xml:space="preserve">150,000</w:t>
            </w:r>
          </w:p>
        </w:tc>
        <w:tc>
          <w:tcPr/>
          <w:p>
            <w:pPr>
              <w:pStyle w:val="Compact"/>
            </w:pPr>
            <w:r>
              <w:t xml:space="preserve">900,000</w:t>
            </w:r>
          </w:p>
        </w:tc>
        <w:tc>
          <w:tcPr/>
          <w:p>
            <w:pPr>
              <w:pStyle w:val="Compact"/>
            </w:pPr>
            <w:r>
              <w:t xml:space="preserve">240</w:t>
            </w:r>
          </w:p>
        </w:tc>
      </w:tr>
      <w:tr>
        <w:tc>
          <w:tcPr/>
          <w:p>
            <w:pPr>
              <w:pStyle w:val="Compact"/>
            </w:pPr>
            <w:r>
              <w:t xml:space="preserve">6</w:t>
            </w:r>
          </w:p>
        </w:tc>
        <w:tc>
          <w:tcPr/>
          <w:p>
            <w:pPr>
              <w:pStyle w:val="Compact"/>
            </w:pPr>
            <w:r>
              <w:t xml:space="preserve">Phase 1</w:t>
            </w:r>
          </w:p>
        </w:tc>
        <w:tc>
          <w:tcPr/>
          <w:p>
            <w:pPr>
              <w:pStyle w:val="Compact"/>
            </w:pPr>
            <w:r>
              <w:t xml:space="preserve">4</w:t>
            </w:r>
          </w:p>
        </w:tc>
        <w:tc>
          <w:tcPr/>
          <w:p>
            <w:pPr>
              <w:pStyle w:val="Compact"/>
            </w:pPr>
            <w:r>
              <w:t xml:space="preserve">10</w:t>
            </w:r>
          </w:p>
        </w:tc>
        <w:tc>
          <w:tcPr/>
          <w:p>
            <w:pPr>
              <w:pStyle w:val="Compact"/>
            </w:pPr>
            <w:r>
              <w:t xml:space="preserve">150,000</w:t>
            </w:r>
          </w:p>
        </w:tc>
        <w:tc>
          <w:tcPr/>
          <w:p>
            <w:pPr>
              <w:pStyle w:val="Compact"/>
            </w:pPr>
            <w:r>
              <w:t xml:space="preserve">1,500,000</w:t>
            </w:r>
          </w:p>
        </w:tc>
        <w:tc>
          <w:tcPr/>
          <w:p>
            <w:pPr>
              <w:pStyle w:val="Compact"/>
            </w:pPr>
            <w:r>
              <w:t xml:space="preserve">400</w:t>
            </w:r>
          </w:p>
        </w:tc>
      </w:tr>
      <w:tr>
        <w:tc>
          <w:tcPr/>
          <w:p>
            <w:pPr>
              <w:pStyle w:val="Compact"/>
            </w:pPr>
            <w:r>
              <w:t xml:space="preserve">7-8</w:t>
            </w:r>
          </w:p>
        </w:tc>
        <w:tc>
          <w:tcPr/>
          <w:p>
            <w:pPr>
              <w:pStyle w:val="Compact"/>
            </w:pPr>
            <w:r>
              <w:t xml:space="preserve">Phase 2</w:t>
            </w:r>
          </w:p>
        </w:tc>
        <w:tc>
          <w:tcPr/>
          <w:p>
            <w:pPr>
              <w:pStyle w:val="Compact"/>
            </w:pPr>
            <w:r>
              <w:t xml:space="preserve">5</w:t>
            </w:r>
          </w:p>
        </w:tc>
        <w:tc>
          <w:tcPr/>
          <w:p>
            <w:pPr>
              <w:pStyle w:val="Compact"/>
            </w:pPr>
            <w:r>
              <w:t xml:space="preserve">15</w:t>
            </w:r>
          </w:p>
        </w:tc>
        <w:tc>
          <w:tcPr/>
          <w:p>
            <w:pPr>
              <w:pStyle w:val="Compact"/>
            </w:pPr>
            <w:r>
              <w:t xml:space="preserve">200,000</w:t>
            </w:r>
          </w:p>
        </w:tc>
        <w:tc>
          <w:tcPr/>
          <w:p>
            <w:pPr>
              <w:pStyle w:val="Compact"/>
            </w:pPr>
            <w:r>
              <w:t xml:space="preserve">3,000,000</w:t>
            </w:r>
          </w:p>
        </w:tc>
        <w:tc>
          <w:tcPr/>
          <w:p>
            <w:pPr>
              <w:pStyle w:val="Compact"/>
            </w:pPr>
            <w:r>
              <w:t xml:space="preserve">800</w:t>
            </w:r>
          </w:p>
        </w:tc>
      </w:tr>
      <w:tr>
        <w:tc>
          <w:tcPr/>
          <w:p>
            <w:pPr>
              <w:pStyle w:val="Compact"/>
            </w:pPr>
            <w:r>
              <w:t xml:space="preserve">9</w:t>
            </w:r>
          </w:p>
        </w:tc>
        <w:tc>
          <w:tcPr/>
          <w:p>
            <w:pPr>
              <w:pStyle w:val="Compact"/>
            </w:pPr>
            <w:r>
              <w:t xml:space="preserve">Phase 2</w:t>
            </w:r>
          </w:p>
        </w:tc>
        <w:tc>
          <w:tcPr/>
          <w:p>
            <w:pPr>
              <w:pStyle w:val="Compact"/>
            </w:pPr>
            <w:r>
              <w:t xml:space="preserve">5</w:t>
            </w:r>
          </w:p>
        </w:tc>
        <w:tc>
          <w:tcPr/>
          <w:p>
            <w:pPr>
              <w:pStyle w:val="Compact"/>
            </w:pPr>
            <w:r>
              <w:t xml:space="preserve">20</w:t>
            </w:r>
          </w:p>
        </w:tc>
        <w:tc>
          <w:tcPr/>
          <w:p>
            <w:pPr>
              <w:pStyle w:val="Compact"/>
            </w:pPr>
            <w:r>
              <w:t xml:space="preserve">225,000</w:t>
            </w:r>
          </w:p>
        </w:tc>
        <w:tc>
          <w:tcPr/>
          <w:p>
            <w:pPr>
              <w:pStyle w:val="Compact"/>
            </w:pPr>
            <w:r>
              <w:t xml:space="preserve">4,500,000</w:t>
            </w:r>
          </w:p>
        </w:tc>
        <w:tc>
          <w:tcPr/>
          <w:p>
            <w:pPr>
              <w:pStyle w:val="Compact"/>
            </w:pPr>
            <w:r>
              <w:t xml:space="preserve">1,200</w:t>
            </w:r>
          </w:p>
        </w:tc>
      </w:tr>
      <w:tr>
        <w:tc>
          <w:tcPr/>
          <w:p>
            <w:pPr>
              <w:pStyle w:val="Compact"/>
            </w:pPr>
            <w:r>
              <w:t xml:space="preserve">10</w:t>
            </w:r>
          </w:p>
        </w:tc>
        <w:tc>
          <w:tcPr/>
          <w:p>
            <w:pPr>
              <w:pStyle w:val="Compact"/>
            </w:pPr>
            <w:r>
              <w:t xml:space="preserve">Phase 2</w:t>
            </w:r>
          </w:p>
        </w:tc>
        <w:tc>
          <w:tcPr/>
          <w:p>
            <w:pPr>
              <w:pStyle w:val="Compact"/>
            </w:pPr>
            <w:r>
              <w:t xml:space="preserve">10</w:t>
            </w:r>
          </w:p>
        </w:tc>
        <w:tc>
          <w:tcPr/>
          <w:p>
            <w:pPr>
              <w:pStyle w:val="Compact"/>
            </w:pPr>
            <w:r>
              <w:t xml:space="preserve">30</w:t>
            </w:r>
          </w:p>
        </w:tc>
        <w:tc>
          <w:tcPr/>
          <w:p>
            <w:pPr>
              <w:pStyle w:val="Compact"/>
            </w:pPr>
            <w:r>
              <w:t xml:space="preserve">250,000</w:t>
            </w:r>
          </w:p>
        </w:tc>
        <w:tc>
          <w:tcPr/>
          <w:p>
            <w:pPr>
              <w:pStyle w:val="Compact"/>
            </w:pPr>
            <w:r>
              <w:t xml:space="preserve">7,500,000</w:t>
            </w:r>
          </w:p>
        </w:tc>
        <w:tc>
          <w:tcPr/>
          <w:p>
            <w:pPr>
              <w:pStyle w:val="Compact"/>
            </w:pPr>
            <w:r>
              <w:t xml:space="preserve">2,000</w:t>
            </w:r>
          </w:p>
        </w:tc>
      </w:tr>
      <w:tr>
        <w:tc>
          <w:tcPr/>
          <w:p>
            <w:pPr>
              <w:pStyle w:val="Compact"/>
            </w:pPr>
            <w:r>
              <w:t xml:space="preserve">11</w:t>
            </w:r>
          </w:p>
        </w:tc>
        <w:tc>
          <w:tcPr/>
          <w:p>
            <w:pPr>
              <w:pStyle w:val="Compact"/>
            </w:pPr>
            <w:r>
              <w:t xml:space="preserve">Phase 2</w:t>
            </w:r>
          </w:p>
        </w:tc>
        <w:tc>
          <w:tcPr/>
          <w:p>
            <w:pPr>
              <w:pStyle w:val="Compact"/>
            </w:pPr>
            <w:r>
              <w:t xml:space="preserve">10</w:t>
            </w:r>
          </w:p>
        </w:tc>
        <w:tc>
          <w:tcPr/>
          <w:p>
            <w:pPr>
              <w:pStyle w:val="Compact"/>
            </w:pPr>
            <w:r>
              <w:t xml:space="preserve">40</w:t>
            </w:r>
          </w:p>
        </w:tc>
        <w:tc>
          <w:tcPr/>
          <w:p>
            <w:pPr>
              <w:pStyle w:val="Compact"/>
            </w:pPr>
            <w:r>
              <w:t xml:space="preserve">275,000</w:t>
            </w:r>
          </w:p>
        </w:tc>
        <w:tc>
          <w:tcPr/>
          <w:p>
            <w:pPr>
              <w:pStyle w:val="Compact"/>
            </w:pPr>
            <w:r>
              <w:t xml:space="preserve">11,000,000</w:t>
            </w:r>
          </w:p>
        </w:tc>
        <w:tc>
          <w:tcPr/>
          <w:p>
            <w:pPr>
              <w:pStyle w:val="Compact"/>
            </w:pPr>
            <w:r>
              <w:t xml:space="preserve">2,933</w:t>
            </w:r>
          </w:p>
        </w:tc>
      </w:tr>
      <w:tr>
        <w:tc>
          <w:tcPr/>
          <w:p>
            <w:pPr>
              <w:pStyle w:val="Compact"/>
            </w:pPr>
            <w:r>
              <w:t xml:space="preserve">12</w:t>
            </w:r>
          </w:p>
        </w:tc>
        <w:tc>
          <w:tcPr/>
          <w:p>
            <w:pPr>
              <w:pStyle w:val="Compact"/>
            </w:pPr>
            <w:r>
              <w:t xml:space="preserve">Phase 2</w:t>
            </w:r>
          </w:p>
        </w:tc>
        <w:tc>
          <w:tcPr/>
          <w:p>
            <w:pPr>
              <w:pStyle w:val="Compact"/>
            </w:pPr>
            <w:r>
              <w:t xml:space="preserve">10</w:t>
            </w:r>
          </w:p>
        </w:tc>
        <w:tc>
          <w:tcPr/>
          <w:p>
            <w:pPr>
              <w:pStyle w:val="Compact"/>
            </w:pPr>
            <w:r>
              <w:t xml:space="preserve">50</w:t>
            </w:r>
          </w:p>
        </w:tc>
        <w:tc>
          <w:tcPr/>
          <w:p>
            <w:pPr>
              <w:pStyle w:val="Compact"/>
            </w:pPr>
            <w:r>
              <w:t xml:space="preserve">300,000</w:t>
            </w:r>
          </w:p>
        </w:tc>
        <w:tc>
          <w:tcPr/>
          <w:p>
            <w:pPr>
              <w:pStyle w:val="Compact"/>
            </w:pPr>
            <w:r>
              <w:t xml:space="preserve">15,000,000</w:t>
            </w:r>
          </w:p>
        </w:tc>
        <w:tc>
          <w:tcPr/>
          <w:p>
            <w:pPr>
              <w:pStyle w:val="Compact"/>
            </w:pPr>
            <w:r>
              <w:t xml:space="preserve">4,000</w:t>
            </w:r>
          </w:p>
        </w:tc>
      </w:tr>
      <w:tr>
        <w:tc>
          <w:tcPr/>
          <w:p>
            <w:pPr>
              <w:pStyle w:val="Compact"/>
            </w:pPr>
            <w:r>
              <w:t xml:space="preserve">13-14</w:t>
            </w:r>
          </w:p>
        </w:tc>
        <w:tc>
          <w:tcPr/>
          <w:p>
            <w:pPr>
              <w:pStyle w:val="Compact"/>
            </w:pPr>
            <w:r>
              <w:t xml:space="preserve">Phase 3</w:t>
            </w:r>
          </w:p>
        </w:tc>
        <w:tc>
          <w:tcPr/>
          <w:p>
            <w:pPr>
              <w:pStyle w:val="Compact"/>
            </w:pPr>
            <w:r>
              <w:t xml:space="preserve">5</w:t>
            </w:r>
          </w:p>
        </w:tc>
        <w:tc>
          <w:tcPr/>
          <w:p>
            <w:pPr>
              <w:pStyle w:val="Compact"/>
            </w:pPr>
            <w:r>
              <w:t xml:space="preserve">55</w:t>
            </w:r>
          </w:p>
        </w:tc>
        <w:tc>
          <w:tcPr/>
          <w:p>
            <w:pPr>
              <w:pStyle w:val="Compact"/>
            </w:pPr>
            <w:r>
              <w:t xml:space="preserve">350,000</w:t>
            </w:r>
          </w:p>
        </w:tc>
        <w:tc>
          <w:tcPr/>
          <w:p>
            <w:pPr>
              <w:pStyle w:val="Compact"/>
            </w:pPr>
            <w:r>
              <w:t xml:space="preserve">19,250,000</w:t>
            </w:r>
          </w:p>
        </w:tc>
        <w:tc>
          <w:tcPr/>
          <w:p>
            <w:pPr>
              <w:pStyle w:val="Compact"/>
            </w:pPr>
            <w:r>
              <w:t xml:space="preserve">5,133</w:t>
            </w:r>
          </w:p>
        </w:tc>
      </w:tr>
      <w:tr>
        <w:tc>
          <w:tcPr/>
          <w:p>
            <w:pPr>
              <w:pStyle w:val="Compact"/>
            </w:pPr>
            <w:r>
              <w:t xml:space="preserve">15</w:t>
            </w:r>
          </w:p>
        </w:tc>
        <w:tc>
          <w:tcPr/>
          <w:p>
            <w:pPr>
              <w:pStyle w:val="Compact"/>
            </w:pPr>
            <w:r>
              <w:t xml:space="preserve">Phase 3</w:t>
            </w:r>
          </w:p>
        </w:tc>
        <w:tc>
          <w:tcPr/>
          <w:p>
            <w:pPr>
              <w:pStyle w:val="Compact"/>
            </w:pPr>
            <w:r>
              <w:t xml:space="preserve">5</w:t>
            </w:r>
          </w:p>
        </w:tc>
        <w:tc>
          <w:tcPr/>
          <w:p>
            <w:pPr>
              <w:pStyle w:val="Compact"/>
            </w:pPr>
            <w:r>
              <w:t xml:space="preserve">60</w:t>
            </w:r>
          </w:p>
        </w:tc>
        <w:tc>
          <w:tcPr/>
          <w:p>
            <w:pPr>
              <w:pStyle w:val="Compact"/>
            </w:pPr>
            <w:r>
              <w:t xml:space="preserve">400,000</w:t>
            </w:r>
          </w:p>
        </w:tc>
        <w:tc>
          <w:tcPr/>
          <w:p>
            <w:pPr>
              <w:pStyle w:val="Compact"/>
            </w:pPr>
            <w:r>
              <w:t xml:space="preserve">24,000,000</w:t>
            </w:r>
          </w:p>
        </w:tc>
        <w:tc>
          <w:tcPr/>
          <w:p>
            <w:pPr>
              <w:pStyle w:val="Compact"/>
            </w:pPr>
            <w:r>
              <w:t xml:space="preserve">6,400</w:t>
            </w:r>
          </w:p>
        </w:tc>
      </w:tr>
      <w:tr>
        <w:tc>
          <w:tcPr/>
          <w:p>
            <w:pPr>
              <w:pStyle w:val="Compact"/>
            </w:pPr>
            <w:r>
              <w:t xml:space="preserve">16-17</w:t>
            </w:r>
          </w:p>
        </w:tc>
        <w:tc>
          <w:tcPr/>
          <w:p>
            <w:pPr>
              <w:pStyle w:val="Compact"/>
            </w:pPr>
            <w:r>
              <w:t xml:space="preserve">Phase 3</w:t>
            </w:r>
          </w:p>
        </w:tc>
        <w:tc>
          <w:tcPr/>
          <w:p>
            <w:pPr>
              <w:pStyle w:val="Compact"/>
            </w:pPr>
            <w:r>
              <w:t xml:space="preserve">10</w:t>
            </w:r>
          </w:p>
        </w:tc>
        <w:tc>
          <w:tcPr/>
          <w:p>
            <w:pPr>
              <w:pStyle w:val="Compact"/>
            </w:pPr>
            <w:r>
              <w:t xml:space="preserve">70</w:t>
            </w:r>
          </w:p>
        </w:tc>
        <w:tc>
          <w:tcPr/>
          <w:p>
            <w:pPr>
              <w:pStyle w:val="Compact"/>
            </w:pPr>
            <w:r>
              <w:t xml:space="preserve">450,000</w:t>
            </w:r>
          </w:p>
        </w:tc>
        <w:tc>
          <w:tcPr/>
          <w:p>
            <w:pPr>
              <w:pStyle w:val="Compact"/>
            </w:pPr>
            <w:r>
              <w:t xml:space="preserve">31,500,000</w:t>
            </w:r>
          </w:p>
        </w:tc>
        <w:tc>
          <w:tcPr/>
          <w:p>
            <w:pPr>
              <w:pStyle w:val="Compact"/>
            </w:pPr>
            <w:r>
              <w:t xml:space="preserve">8,400</w:t>
            </w:r>
          </w:p>
        </w:tc>
      </w:tr>
      <w:tr>
        <w:tc>
          <w:tcPr/>
          <w:p>
            <w:pPr>
              <w:pStyle w:val="Compact"/>
            </w:pPr>
            <w:r>
              <w:t xml:space="preserve">18</w:t>
            </w:r>
          </w:p>
        </w:tc>
        <w:tc>
          <w:tcPr/>
          <w:p>
            <w:pPr>
              <w:pStyle w:val="Compact"/>
            </w:pPr>
            <w:r>
              <w:t xml:space="preserve">Phase 3</w:t>
            </w:r>
          </w:p>
        </w:tc>
        <w:tc>
          <w:tcPr/>
          <w:p>
            <w:pPr>
              <w:pStyle w:val="Compact"/>
            </w:pPr>
            <w:r>
              <w:t xml:space="preserve">10</w:t>
            </w:r>
          </w:p>
        </w:tc>
        <w:tc>
          <w:tcPr/>
          <w:p>
            <w:pPr>
              <w:pStyle w:val="Compact"/>
            </w:pPr>
            <w:r>
              <w:t xml:space="preserve">80</w:t>
            </w:r>
          </w:p>
        </w:tc>
        <w:tc>
          <w:tcPr/>
          <w:p>
            <w:pPr>
              <w:pStyle w:val="Compact"/>
            </w:pPr>
            <w:r>
              <w:t xml:space="preserve">500,000</w:t>
            </w:r>
          </w:p>
        </w:tc>
        <w:tc>
          <w:tcPr/>
          <w:p>
            <w:pPr>
              <w:pStyle w:val="Compact"/>
            </w:pPr>
            <w:r>
              <w:t xml:space="preserve">40,000,000</w:t>
            </w:r>
          </w:p>
        </w:tc>
        <w:tc>
          <w:tcPr/>
          <w:p>
            <w:pPr>
              <w:pStyle w:val="Compact"/>
            </w:pPr>
            <w:r>
              <w:t xml:space="preserve">10,667</w:t>
            </w:r>
          </w:p>
        </w:tc>
      </w:tr>
      <w:tr>
        <w:tc>
          <w:tcPr/>
          <w:p>
            <w:pPr>
              <w:pStyle w:val="Compact"/>
            </w:pPr>
            <w:r>
              <w:t xml:space="preserve">19-20</w:t>
            </w:r>
          </w:p>
        </w:tc>
        <w:tc>
          <w:tcPr/>
          <w:p>
            <w:pPr>
              <w:pStyle w:val="Compact"/>
            </w:pPr>
            <w:r>
              <w:t xml:space="preserve">Phase 4</w:t>
            </w:r>
          </w:p>
        </w:tc>
        <w:tc>
          <w:tcPr/>
          <w:p>
            <w:pPr>
              <w:pStyle w:val="Compact"/>
            </w:pPr>
            <w:r>
              <w:t xml:space="preserve">15</w:t>
            </w:r>
          </w:p>
        </w:tc>
        <w:tc>
          <w:tcPr/>
          <w:p>
            <w:pPr>
              <w:pStyle w:val="Compact"/>
            </w:pPr>
            <w:r>
              <w:t xml:space="preserve">95</w:t>
            </w:r>
          </w:p>
        </w:tc>
        <w:tc>
          <w:tcPr/>
          <w:p>
            <w:pPr>
              <w:pStyle w:val="Compact"/>
            </w:pPr>
            <w:r>
              <w:t xml:space="preserve">550,000</w:t>
            </w:r>
          </w:p>
        </w:tc>
        <w:tc>
          <w:tcPr/>
          <w:p>
            <w:pPr>
              <w:pStyle w:val="Compact"/>
            </w:pPr>
            <w:r>
              <w:t xml:space="preserve">52,250,000</w:t>
            </w:r>
          </w:p>
        </w:tc>
        <w:tc>
          <w:tcPr/>
          <w:p>
            <w:pPr>
              <w:pStyle w:val="Compact"/>
            </w:pPr>
            <w:r>
              <w:t xml:space="preserve">13,933</w:t>
            </w:r>
          </w:p>
        </w:tc>
      </w:tr>
      <w:tr>
        <w:tc>
          <w:tcPr/>
          <w:p>
            <w:pPr>
              <w:pStyle w:val="Compact"/>
            </w:pPr>
            <w:r>
              <w:t xml:space="preserve">21</w:t>
            </w:r>
          </w:p>
        </w:tc>
        <w:tc>
          <w:tcPr/>
          <w:p>
            <w:pPr>
              <w:pStyle w:val="Compact"/>
            </w:pPr>
            <w:r>
              <w:t xml:space="preserve">Phase 4</w:t>
            </w:r>
          </w:p>
        </w:tc>
        <w:tc>
          <w:tcPr/>
          <w:p>
            <w:pPr>
              <w:pStyle w:val="Compact"/>
            </w:pPr>
            <w:r>
              <w:t xml:space="preserve">15</w:t>
            </w:r>
          </w:p>
        </w:tc>
        <w:tc>
          <w:tcPr/>
          <w:p>
            <w:pPr>
              <w:pStyle w:val="Compact"/>
            </w:pPr>
            <w:r>
              <w:t xml:space="preserve">110</w:t>
            </w:r>
          </w:p>
        </w:tc>
        <w:tc>
          <w:tcPr/>
          <w:p>
            <w:pPr>
              <w:pStyle w:val="Compact"/>
            </w:pPr>
            <w:r>
              <w:t xml:space="preserve">600,000</w:t>
            </w:r>
          </w:p>
        </w:tc>
        <w:tc>
          <w:tcPr/>
          <w:p>
            <w:pPr>
              <w:pStyle w:val="Compact"/>
            </w:pPr>
            <w:r>
              <w:t xml:space="preserve">66,000,000</w:t>
            </w:r>
          </w:p>
        </w:tc>
        <w:tc>
          <w:tcPr/>
          <w:p>
            <w:pPr>
              <w:pStyle w:val="Compact"/>
            </w:pPr>
            <w:r>
              <w:t xml:space="preserve">17,600</w:t>
            </w:r>
          </w:p>
        </w:tc>
      </w:tr>
      <w:tr>
        <w:tc>
          <w:tcPr/>
          <w:p>
            <w:pPr>
              <w:pStyle w:val="Compact"/>
            </w:pPr>
            <w:r>
              <w:t xml:space="preserve">22-23</w:t>
            </w:r>
          </w:p>
        </w:tc>
        <w:tc>
          <w:tcPr/>
          <w:p>
            <w:pPr>
              <w:pStyle w:val="Compact"/>
            </w:pPr>
            <w:r>
              <w:t xml:space="preserve">Phase 4</w:t>
            </w:r>
          </w:p>
        </w:tc>
        <w:tc>
          <w:tcPr/>
          <w:p>
            <w:pPr>
              <w:pStyle w:val="Compact"/>
            </w:pPr>
            <w:r>
              <w:t xml:space="preserve">20</w:t>
            </w:r>
          </w:p>
        </w:tc>
        <w:tc>
          <w:tcPr/>
          <w:p>
            <w:pPr>
              <w:pStyle w:val="Compact"/>
            </w:pPr>
            <w:r>
              <w:t xml:space="preserve">130</w:t>
            </w:r>
          </w:p>
        </w:tc>
        <w:tc>
          <w:tcPr/>
          <w:p>
            <w:pPr>
              <w:pStyle w:val="Compact"/>
            </w:pPr>
            <w:r>
              <w:t xml:space="preserve">650,000</w:t>
            </w:r>
          </w:p>
        </w:tc>
        <w:tc>
          <w:tcPr/>
          <w:p>
            <w:pPr>
              <w:pStyle w:val="Compact"/>
            </w:pPr>
            <w:r>
              <w:t xml:space="preserve">84,500,000</w:t>
            </w:r>
          </w:p>
        </w:tc>
        <w:tc>
          <w:tcPr/>
          <w:p>
            <w:pPr>
              <w:pStyle w:val="Compact"/>
            </w:pPr>
            <w:r>
              <w:t xml:space="preserve">22,533</w:t>
            </w:r>
          </w:p>
        </w:tc>
      </w:tr>
      <w:tr>
        <w:tc>
          <w:tcPr/>
          <w:p>
            <w:pPr>
              <w:pStyle w:val="Compact"/>
            </w:pPr>
            <w:r>
              <w:t xml:space="preserve">24</w:t>
            </w:r>
          </w:p>
        </w:tc>
        <w:tc>
          <w:tcPr/>
          <w:p>
            <w:pPr>
              <w:pStyle w:val="Compact"/>
            </w:pPr>
            <w:r>
              <w:t xml:space="preserve">Phase 4</w:t>
            </w:r>
          </w:p>
        </w:tc>
        <w:tc>
          <w:tcPr/>
          <w:p>
            <w:pPr>
              <w:pStyle w:val="Compact"/>
            </w:pPr>
            <w:r>
              <w:t xml:space="preserve">20</w:t>
            </w:r>
          </w:p>
        </w:tc>
        <w:tc>
          <w:tcPr/>
          <w:p>
            <w:pPr>
              <w:pStyle w:val="Compact"/>
            </w:pPr>
            <w:r>
              <w:t xml:space="preserve">150</w:t>
            </w:r>
          </w:p>
        </w:tc>
        <w:tc>
          <w:tcPr/>
          <w:p>
            <w:pPr>
              <w:pStyle w:val="Compact"/>
            </w:pPr>
            <w:r>
              <w:t xml:space="preserve">667,000</w:t>
            </w:r>
          </w:p>
        </w:tc>
        <w:tc>
          <w:tcPr/>
          <w:p>
            <w:pPr>
              <w:pStyle w:val="Compact"/>
            </w:pPr>
            <w:r>
              <w:t xml:space="preserve">100,000,000</w:t>
            </w:r>
          </w:p>
        </w:tc>
        <w:tc>
          <w:tcPr/>
          <w:p>
            <w:pPr>
              <w:pStyle w:val="Compact"/>
            </w:pPr>
            <w:r>
              <w:t xml:space="preserve">26,667</w:t>
            </w:r>
          </w:p>
        </w:tc>
      </w:tr>
    </w:tbl>
    <w:p>
      <w:pPr>
        <w:pStyle w:val="BodyText"/>
      </w:pPr>
      <w:r>
        <w:rPr>
          <w:i/>
          <w:iCs/>
        </w:rPr>
        <w:t xml:space="preserve">Note: Average MRR per facility increases over time as higher-tier facilities (Growth, Pro, Enterprise) are onboarded in later phases and existing Starter facilities adopt add-ons.</w:t>
      </w:r>
    </w:p>
    <w:bookmarkStart w:id="69" w:name="X61be1c9ab96a4e1a9712bbefe36ad51bc21572b"/>
    <w:p>
      <w:pPr>
        <w:pStyle w:val="Heading3"/>
      </w:pPr>
      <w:r>
        <w:t xml:space="preserve">6.3.1 Cumulative Revenue (24 Months)</w:t>
      </w:r>
    </w:p>
    <w:p>
      <w:pPr>
        <w:pStyle w:val="FirstParagraph"/>
      </w:pPr>
      <w:r>
        <w:t xml:space="preserve">Total cumulative revenue over 24 months: approximately UGX 460,000,000 (USD 122,700).</w:t>
      </w:r>
    </w:p>
    <w:p>
      <w:pPr>
        <w:pStyle w:val="BodyText"/>
      </w:pPr>
      <w:r>
        <w:rPr>
          <w:rStyle w:val="VerbatimChar"/>
        </w:rPr>
        <w:t xml:space="preserve">[CONTEXT-GAP: revenue projection assumptions]</w:t>
      </w:r>
      <w:r>
        <w:t xml:space="preserve"> </w:t>
      </w:r>
      <w:r>
        <w:t xml:space="preserve">-- These projections assume zero churn, linear facility acquisition within each phase, and no annual discount. Actual results will vary based on sales velocity, churn rate, and tier mix. Sensitivity analysis should be conducted for 10%, 20%, and 30% churn scenarios.</w:t>
      </w:r>
    </w:p>
    <w:bookmarkEnd w:id="69"/>
    <w:bookmarkEnd w:id="70"/>
    <w:bookmarkStart w:id="73" w:name="X1aa62bcbbd7083e8dd35536cd424a80629132fa"/>
    <w:p>
      <w:pPr>
        <w:pStyle w:val="Heading2"/>
      </w:pPr>
      <w:r>
        <w:t xml:space="preserve">6.4 ROI Projection</w:t>
      </w:r>
    </w:p>
    <w:bookmarkStart w:id="71" w:name="X725fb7ec87606cfedf0e24d034a71b2fcda47c1"/>
    <w:p>
      <w:pPr>
        <w:pStyle w:val="Heading3"/>
      </w:pPr>
      <w:r>
        <w:t xml:space="preserve">6.4.1 Return on Investment</w:t>
      </w:r>
    </w:p>
    <w:p>
      <w:pPr>
        <w:pStyle w:val="FirstParagraph"/>
      </w:pPr>
      <w:r>
        <w:t xml:space="preserve">Using the cash investment figure (excluding developer opportunity cost):</w:t>
      </w:r>
    </w:p>
    <w:p>
      <w:pPr>
        <w:pStyle w:val="BodyText"/>
      </w:pPr>
      <m:oMathPara>
        <m:oMathParaPr>
          <m:jc m:val="center"/>
        </m:oMathParaPr>
        <m:oMath>
          <m:r>
            <m:t>R</m:t>
          </m:r>
          <m:r>
            <m:t>O</m:t>
          </m:r>
          <m:r>
            <m:t>I</m:t>
          </m:r>
          <m:r>
            <m:rPr>
              <m:sty m:val="p"/>
            </m:rPr>
            <m:t>=</m:t>
          </m:r>
          <m:f>
            <m:fPr>
              <m:type m:val="bar"/>
            </m:fPr>
            <m:num>
              <m:r>
                <m:t>N</m:t>
              </m:r>
              <m:r>
                <m:t>e</m:t>
              </m:r>
              <m:r>
                <m:t>t</m:t>
              </m:r>
              <m:r>
                <m:t> </m:t>
              </m:r>
              <m:r>
                <m:t>B</m:t>
              </m:r>
              <m:r>
                <m:t>e</m:t>
              </m:r>
              <m:r>
                <m:t>n</m:t>
              </m:r>
              <m:r>
                <m:t>e</m:t>
              </m:r>
              <m:r>
                <m:t>f</m:t>
              </m:r>
              <m:r>
                <m:t>i</m:t>
              </m:r>
              <m:r>
                <m:t>t</m:t>
              </m:r>
              <m:r>
                <m:t>s</m:t>
              </m:r>
              <m:r>
                <m:rPr>
                  <m:sty m:val="p"/>
                </m:rPr>
                <m:t>−</m:t>
              </m:r>
              <m:r>
                <m:t>T</m:t>
              </m:r>
              <m:r>
                <m:t>o</m:t>
              </m:r>
              <m:r>
                <m:t>t</m:t>
              </m:r>
              <m:r>
                <m:t>a</m:t>
              </m:r>
              <m:r>
                <m:t>l</m:t>
              </m:r>
              <m:r>
                <m:t> </m:t>
              </m:r>
              <m:r>
                <m:t>C</m:t>
              </m:r>
              <m:r>
                <m:t>o</m:t>
              </m:r>
              <m:r>
                <m:t>s</m:t>
              </m:r>
              <m:r>
                <m:t>t</m:t>
              </m:r>
              <m:r>
                <m:t>s</m:t>
              </m:r>
            </m:num>
            <m:den>
              <m:r>
                <m:t>T</m:t>
              </m:r>
              <m:r>
                <m:t>o</m:t>
              </m:r>
              <m:r>
                <m:t>t</m:t>
              </m:r>
              <m:r>
                <m:t>a</m:t>
              </m:r>
              <m:r>
                <m:t>l</m:t>
              </m:r>
              <m:r>
                <m:t> </m:t>
              </m:r>
              <m:r>
                <m:t>C</m:t>
              </m:r>
              <m:r>
                <m:t>o</m:t>
              </m:r>
              <m:r>
                <m:t>s</m:t>
              </m:r>
              <m:r>
                <m:t>t</m:t>
              </m:r>
              <m:r>
                <m:t>s</m:t>
              </m:r>
            </m:den>
          </m:f>
          <m:r>
            <m:rPr>
              <m:sty m:val="p"/>
            </m:rPr>
            <m:t>×</m:t>
          </m:r>
          <m:r>
            <m:t>100</m:t>
          </m:r>
          <m:r>
            <m:rPr>
              <m:sty m:val="p"/>
            </m:rPr>
            <m:t>%</m:t>
          </m:r>
        </m:oMath>
      </m:oMathPara>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pPr>
            <w:r>
              <w:t xml:space="preserve">Total Cash Investment (24 months, USD)</w:t>
            </w:r>
          </w:p>
        </w:tc>
        <w:tc>
          <w:tcPr/>
          <w:p>
            <w:pPr>
              <w:pStyle w:val="Compact"/>
            </w:pPr>
            <w:r>
              <w:t xml:space="preserve">Cumulative Revenue (24 months, USD)</w:t>
            </w:r>
          </w:p>
        </w:tc>
        <w:tc>
          <w:tcPr/>
          <w:p>
            <w:pPr>
              <w:pStyle w:val="Compact"/>
            </w:pPr>
            <w:r>
              <w:t xml:space="preserve">Net Benefit (USD)</w:t>
            </w:r>
          </w:p>
        </w:tc>
        <w:tc>
          <w:tcPr/>
          <w:p>
            <w:pPr>
              <w:pStyle w:val="Compact"/>
            </w:pPr>
            <w:r>
              <w:t xml:space="preserve">ROI</w:t>
            </w:r>
          </w:p>
        </w:tc>
      </w:tr>
      <w:tr>
        <w:tc>
          <w:tcPr/>
          <w:p>
            <w:pPr>
              <w:pStyle w:val="Compact"/>
            </w:pPr>
            <w:r>
              <w:t xml:space="preserve">Conservative</w:t>
            </w:r>
          </w:p>
        </w:tc>
        <w:tc>
          <w:tcPr/>
          <w:p>
            <w:pPr>
              <w:pStyle w:val="Compact"/>
            </w:pPr>
            <w:r>
              <w:t xml:space="preserve">25,000</w:t>
            </w:r>
          </w:p>
        </w:tc>
        <w:tc>
          <w:tcPr/>
          <w:p>
            <w:pPr>
              <w:pStyle w:val="Compact"/>
            </w:pPr>
            <w:r>
              <w:t xml:space="preserve">80,000</w:t>
            </w:r>
          </w:p>
        </w:tc>
        <w:tc>
          <w:tcPr/>
          <w:p>
            <w:pPr>
              <w:pStyle w:val="Compact"/>
            </w:pPr>
            <w:r>
              <w:t xml:space="preserve">55,000</w:t>
            </w:r>
          </w:p>
        </w:tc>
        <w:tc>
          <w:tcPr/>
          <w:p>
            <w:pPr>
              <w:pStyle w:val="Compact"/>
            </w:pPr>
            <w:r>
              <w:t xml:space="preserve">220%</w:t>
            </w:r>
          </w:p>
        </w:tc>
      </w:tr>
      <w:tr>
        <w:tc>
          <w:tcPr/>
          <w:p>
            <w:pPr>
              <w:pStyle w:val="Compact"/>
            </w:pPr>
            <w:r>
              <w:t xml:space="preserve">Base case</w:t>
            </w:r>
          </w:p>
        </w:tc>
        <w:tc>
          <w:tcPr/>
          <w:p>
            <w:pPr>
              <w:pStyle w:val="Compact"/>
            </w:pPr>
            <w:r>
              <w:t xml:space="preserve">20,000</w:t>
            </w:r>
          </w:p>
        </w:tc>
        <w:tc>
          <w:tcPr/>
          <w:p>
            <w:pPr>
              <w:pStyle w:val="Compact"/>
            </w:pPr>
            <w:r>
              <w:t xml:space="preserve">122,700</w:t>
            </w:r>
          </w:p>
        </w:tc>
        <w:tc>
          <w:tcPr/>
          <w:p>
            <w:pPr>
              <w:pStyle w:val="Compact"/>
            </w:pPr>
            <w:r>
              <w:t xml:space="preserve">102,700</w:t>
            </w:r>
          </w:p>
        </w:tc>
        <w:tc>
          <w:tcPr/>
          <w:p>
            <w:pPr>
              <w:pStyle w:val="Compact"/>
            </w:pPr>
            <w:r>
              <w:t xml:space="preserve">514%</w:t>
            </w:r>
          </w:p>
        </w:tc>
      </w:tr>
      <w:tr>
        <w:tc>
          <w:tcPr/>
          <w:p>
            <w:pPr>
              <w:pStyle w:val="Compact"/>
            </w:pPr>
            <w:r>
              <w:t xml:space="preserve">Optimistic</w:t>
            </w:r>
          </w:p>
        </w:tc>
        <w:tc>
          <w:tcPr/>
          <w:p>
            <w:pPr>
              <w:pStyle w:val="Compact"/>
            </w:pPr>
            <w:r>
              <w:t xml:space="preserve">15,000</w:t>
            </w:r>
          </w:p>
        </w:tc>
        <w:tc>
          <w:tcPr/>
          <w:p>
            <w:pPr>
              <w:pStyle w:val="Compact"/>
            </w:pPr>
            <w:r>
              <w:t xml:space="preserve">160,000</w:t>
            </w:r>
          </w:p>
        </w:tc>
        <w:tc>
          <w:tcPr/>
          <w:p>
            <w:pPr>
              <w:pStyle w:val="Compact"/>
            </w:pPr>
            <w:r>
              <w:t xml:space="preserve">145,000</w:t>
            </w:r>
          </w:p>
        </w:tc>
        <w:tc>
          <w:tcPr/>
          <w:p>
            <w:pPr>
              <w:pStyle w:val="Compact"/>
            </w:pPr>
            <w:r>
              <w:t xml:space="preserve">967%</w:t>
            </w:r>
          </w:p>
        </w:tc>
      </w:tr>
    </w:tbl>
    <w:bookmarkEnd w:id="71"/>
    <w:bookmarkStart w:id="72" w:name="X7bfe259d5a7ff7e847e5e04572b9e31bdcf2e9e"/>
    <w:p>
      <w:pPr>
        <w:pStyle w:val="Heading3"/>
      </w:pPr>
      <w:r>
        <w:t xml:space="preserve">6.4.2 Payback Period</w:t>
      </w:r>
    </w:p>
    <w:p>
      <w:pPr>
        <w:pStyle w:val="FirstParagraph"/>
      </w:pPr>
      <m:oMathPara>
        <m:oMathParaPr>
          <m:jc m:val="center"/>
        </m:oMathParaPr>
        <m:oMath>
          <m:r>
            <m:t>P</m:t>
          </m:r>
          <m:r>
            <m:t>a</m:t>
          </m:r>
          <m:r>
            <m:t>y</m:t>
          </m:r>
          <m:r>
            <m:t>b</m:t>
          </m:r>
          <m:r>
            <m:t>a</m:t>
          </m:r>
          <m:r>
            <m:t>c</m:t>
          </m:r>
          <m:r>
            <m:t>k</m:t>
          </m:r>
          <m:r>
            <m:rPr>
              <m:sty m:val="p"/>
            </m:rPr>
            <m:t>=</m:t>
          </m:r>
          <m:f>
            <m:fPr>
              <m:type m:val="bar"/>
            </m:fPr>
            <m:num>
              <m:r>
                <m:t>T</m:t>
              </m:r>
              <m:r>
                <m:t>o</m:t>
              </m:r>
              <m:r>
                <m:t>t</m:t>
              </m:r>
              <m:r>
                <m:t>a</m:t>
              </m:r>
              <m:r>
                <m:t>l</m:t>
              </m:r>
              <m:r>
                <m:t> </m:t>
              </m:r>
              <m:r>
                <m:t>I</m:t>
              </m:r>
              <m:r>
                <m:t>n</m:t>
              </m:r>
              <m:r>
                <m:t>v</m:t>
              </m:r>
              <m:r>
                <m:t>e</m:t>
              </m:r>
              <m:r>
                <m:t>s</m:t>
              </m:r>
              <m:r>
                <m:t>t</m:t>
              </m:r>
              <m:r>
                <m:t>m</m:t>
              </m:r>
              <m:r>
                <m:t>e</m:t>
              </m:r>
              <m:r>
                <m:t>n</m:t>
              </m:r>
              <m:r>
                <m:t>t</m:t>
              </m:r>
            </m:num>
            <m:den>
              <m:r>
                <m:t>A</m:t>
              </m:r>
              <m:r>
                <m:t>n</m:t>
              </m:r>
              <m:r>
                <m:t>n</m:t>
              </m:r>
              <m:r>
                <m:t>u</m:t>
              </m:r>
              <m:r>
                <m:t>a</m:t>
              </m:r>
              <m:r>
                <m:t>l</m:t>
              </m:r>
              <m:r>
                <m:t> </m:t>
              </m:r>
              <m:r>
                <m:t>N</m:t>
              </m:r>
              <m:r>
                <m:t>e</m:t>
              </m:r>
              <m:r>
                <m:t>t</m:t>
              </m:r>
              <m:r>
                <m:t> </m:t>
              </m:r>
              <m:r>
                <m:t>B</m:t>
              </m:r>
              <m:r>
                <m:t>e</m:t>
              </m:r>
              <m:r>
                <m:t>n</m:t>
              </m:r>
              <m:r>
                <m:t>e</m:t>
              </m:r>
              <m:r>
                <m:t>f</m:t>
              </m:r>
              <m:r>
                <m:t>i</m:t>
              </m:r>
              <m:r>
                <m:t>t</m:t>
              </m:r>
            </m:den>
          </m:f>
        </m:oMath>
      </m:oMathPara>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Total Cash Investment (USD)</w:t>
            </w:r>
          </w:p>
        </w:tc>
        <w:tc>
          <w:tcPr/>
          <w:p>
            <w:pPr>
              <w:pStyle w:val="Compact"/>
            </w:pPr>
            <w:r>
              <w:t xml:space="preserve">Year 2 Annual Revenue (USD)</w:t>
            </w:r>
          </w:p>
        </w:tc>
        <w:tc>
          <w:tcPr/>
          <w:p>
            <w:pPr>
              <w:pStyle w:val="Compact"/>
            </w:pPr>
            <w:r>
              <w:t xml:space="preserve">Year 2 Annual OpEx (USD)</w:t>
            </w:r>
          </w:p>
        </w:tc>
        <w:tc>
          <w:tcPr/>
          <w:p>
            <w:pPr>
              <w:pStyle w:val="Compact"/>
            </w:pPr>
            <w:r>
              <w:t xml:space="preserve">Annual Net Benefit (USD)</w:t>
            </w:r>
          </w:p>
        </w:tc>
        <w:tc>
          <w:tcPr/>
          <w:p>
            <w:pPr>
              <w:pStyle w:val="Compact"/>
            </w:pPr>
            <w:r>
              <w:t xml:space="preserve">Payback (months)</w:t>
            </w:r>
          </w:p>
        </w:tc>
      </w:tr>
      <w:tr>
        <w:tc>
          <w:tcPr/>
          <w:p>
            <w:pPr>
              <w:pStyle w:val="Compact"/>
            </w:pPr>
            <w:r>
              <w:t xml:space="preserve">Conservative</w:t>
            </w:r>
          </w:p>
        </w:tc>
        <w:tc>
          <w:tcPr/>
          <w:p>
            <w:pPr>
              <w:pStyle w:val="Compact"/>
            </w:pPr>
            <w:r>
              <w:t xml:space="preserve">25,000</w:t>
            </w:r>
          </w:p>
        </w:tc>
        <w:tc>
          <w:tcPr/>
          <w:p>
            <w:pPr>
              <w:pStyle w:val="Compact"/>
            </w:pPr>
            <w:r>
              <w:t xml:space="preserve">150,000</w:t>
            </w:r>
          </w:p>
        </w:tc>
        <w:tc>
          <w:tcPr/>
          <w:p>
            <w:pPr>
              <w:pStyle w:val="Compact"/>
            </w:pPr>
            <w:r>
              <w:t xml:space="preserve">30,000</w:t>
            </w:r>
          </w:p>
        </w:tc>
        <w:tc>
          <w:tcPr/>
          <w:p>
            <w:pPr>
              <w:pStyle w:val="Compact"/>
            </w:pPr>
            <w:r>
              <w:t xml:space="preserve">120,000</w:t>
            </w:r>
          </w:p>
        </w:tc>
        <w:tc>
          <w:tcPr/>
          <w:p>
            <w:pPr>
              <w:pStyle w:val="Compact"/>
            </w:pPr>
            <w:r>
              <w:t xml:space="preserve">2.5</w:t>
            </w:r>
          </w:p>
        </w:tc>
      </w:tr>
      <w:tr>
        <w:tc>
          <w:tcPr/>
          <w:p>
            <w:pPr>
              <w:pStyle w:val="Compact"/>
            </w:pPr>
            <w:r>
              <w:t xml:space="preserve">Base case</w:t>
            </w:r>
          </w:p>
        </w:tc>
        <w:tc>
          <w:tcPr/>
          <w:p>
            <w:pPr>
              <w:pStyle w:val="Compact"/>
            </w:pPr>
            <w:r>
              <w:t xml:space="preserve">20,000</w:t>
            </w:r>
          </w:p>
        </w:tc>
        <w:tc>
          <w:tcPr/>
          <w:p>
            <w:pPr>
              <w:pStyle w:val="Compact"/>
            </w:pPr>
            <w:r>
              <w:t xml:space="preserve">200,000</w:t>
            </w:r>
          </w:p>
        </w:tc>
        <w:tc>
          <w:tcPr/>
          <w:p>
            <w:pPr>
              <w:pStyle w:val="Compact"/>
            </w:pPr>
            <w:r>
              <w:t xml:space="preserve">25,000</w:t>
            </w:r>
          </w:p>
        </w:tc>
        <w:tc>
          <w:tcPr/>
          <w:p>
            <w:pPr>
              <w:pStyle w:val="Compact"/>
            </w:pPr>
            <w:r>
              <w:t xml:space="preserve">175,000</w:t>
            </w:r>
          </w:p>
        </w:tc>
        <w:tc>
          <w:tcPr/>
          <w:p>
            <w:pPr>
              <w:pStyle w:val="Compact"/>
            </w:pPr>
            <w:r>
              <w:t xml:space="preserve">1.4</w:t>
            </w:r>
          </w:p>
        </w:tc>
      </w:tr>
      <w:tr>
        <w:tc>
          <w:tcPr/>
          <w:p>
            <w:pPr>
              <w:pStyle w:val="Compact"/>
            </w:pPr>
            <w:r>
              <w:t xml:space="preserve">Optimistic</w:t>
            </w:r>
          </w:p>
        </w:tc>
        <w:tc>
          <w:tcPr/>
          <w:p>
            <w:pPr>
              <w:pStyle w:val="Compact"/>
            </w:pPr>
            <w:r>
              <w:t xml:space="preserve">15,000</w:t>
            </w:r>
          </w:p>
        </w:tc>
        <w:tc>
          <w:tcPr/>
          <w:p>
            <w:pPr>
              <w:pStyle w:val="Compact"/>
            </w:pPr>
            <w:r>
              <w:t xml:space="preserve">320,000</w:t>
            </w:r>
          </w:p>
        </w:tc>
        <w:tc>
          <w:tcPr/>
          <w:p>
            <w:pPr>
              <w:pStyle w:val="Compact"/>
            </w:pPr>
            <w:r>
              <w:t xml:space="preserve">20,000</w:t>
            </w:r>
          </w:p>
        </w:tc>
        <w:tc>
          <w:tcPr/>
          <w:p>
            <w:pPr>
              <w:pStyle w:val="Compact"/>
            </w:pPr>
            <w:r>
              <w:t xml:space="preserve">300,000</w:t>
            </w:r>
          </w:p>
        </w:tc>
        <w:tc>
          <w:tcPr/>
          <w:p>
            <w:pPr>
              <w:pStyle w:val="Compact"/>
            </w:pPr>
            <w:r>
              <w:t xml:space="preserve">0.6</w:t>
            </w:r>
          </w:p>
        </w:tc>
      </w:tr>
    </w:tbl>
    <w:bookmarkEnd w:id="72"/>
    <w:bookmarkEnd w:id="73"/>
    <w:bookmarkStart w:id="74" w:name="Xa8583fbe748e7d587315a6941e9ac7c51fd7cb1"/>
    <w:p>
      <w:pPr>
        <w:pStyle w:val="Heading2"/>
      </w:pPr>
      <w:r>
        <w:t xml:space="preserve">6.5 Break-Even Analysis</w:t>
      </w:r>
    </w:p>
    <w:p>
      <w:pPr>
        <w:pStyle w:val="FirstParagraph"/>
      </w:pPr>
      <w:r>
        <w:t xml:space="preserve">Break-even occurs when Monthly Recurring Revenue (MRR) exceeds monthly operational costs.</w:t>
      </w:r>
    </w:p>
    <w:p>
      <w:pPr>
        <w:pStyle w:val="BodyText"/>
      </w:pPr>
      <w:r>
        <w:rPr>
          <w:b/>
          <w:bCs/>
        </w:rPr>
        <w:t xml:space="preserve">Monthly operational cost at minimum scale:</w:t>
      </w:r>
      <w:r>
        <w:t xml:space="preserve"> </w:t>
      </w:r>
      <w:r>
        <w:t xml:space="preserve">USD 683 (Section 6.2.2, low estimate).</w:t>
      </w:r>
    </w:p>
    <w:p>
      <w:pPr>
        <w:pStyle w:val="BodyText"/>
      </w:pPr>
      <w:r>
        <w:rPr>
          <w:b/>
          <w:bCs/>
        </w:rPr>
        <w:t xml:space="preserve">Break-even MRR:</w:t>
      </w:r>
      <w:r>
        <w:t xml:space="preserve"> </w:t>
      </w:r>
      <w:r>
        <w:t xml:space="preserve">USD 683 = approximately UGX 2,561,250.</w:t>
      </w:r>
    </w:p>
    <w:p>
      <w:pPr>
        <w:pStyle w:val="BodyText"/>
      </w:pPr>
      <w:r>
        <w:rPr>
          <w:b/>
          <w:bCs/>
        </w:rPr>
        <w:t xml:space="preserve">Break-even facility count: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 Mix</w:t>
            </w:r>
          </w:p>
        </w:tc>
        <w:tc>
          <w:tcPr/>
          <w:p>
            <w:pPr>
              <w:pStyle w:val="Compact"/>
            </w:pPr>
            <w:r>
              <w:t xml:space="preserve">Facilities Required</w:t>
            </w:r>
          </w:p>
        </w:tc>
        <w:tc>
          <w:tcPr/>
          <w:p>
            <w:pPr>
              <w:pStyle w:val="Compact"/>
            </w:pPr>
            <w:r>
              <w:t xml:space="preserve">Timeline (estimated)</w:t>
            </w:r>
          </w:p>
        </w:tc>
      </w:tr>
      <w:tr>
        <w:tc>
          <w:tcPr/>
          <w:p>
            <w:pPr>
              <w:pStyle w:val="Compact"/>
            </w:pPr>
            <w:r>
              <w:t xml:space="preserve">All Starter (UGX 150,000)</w:t>
            </w:r>
          </w:p>
        </w:tc>
        <w:tc>
          <w:tcPr/>
          <w:p>
            <w:pPr>
              <w:pStyle w:val="Compact"/>
            </w:pPr>
            <w:r>
              <w:t xml:space="preserve">18 facilities</w:t>
            </w:r>
          </w:p>
        </w:tc>
        <w:tc>
          <w:tcPr/>
          <w:p>
            <w:pPr>
              <w:pStyle w:val="Compact"/>
            </w:pPr>
            <w:r>
              <w:t xml:space="preserve">Month 8-9</w:t>
            </w:r>
          </w:p>
        </w:tc>
      </w:tr>
      <w:tr>
        <w:tc>
          <w:tcPr/>
          <w:p>
            <w:pPr>
              <w:pStyle w:val="Compact"/>
            </w:pPr>
            <w:r>
              <w:t xml:space="preserve">Mixed (avg UGX 225,000)</w:t>
            </w:r>
          </w:p>
        </w:tc>
        <w:tc>
          <w:tcPr/>
          <w:p>
            <w:pPr>
              <w:pStyle w:val="Compact"/>
            </w:pPr>
            <w:r>
              <w:t xml:space="preserve">12 facilities</w:t>
            </w:r>
          </w:p>
        </w:tc>
        <w:tc>
          <w:tcPr/>
          <w:p>
            <w:pPr>
              <w:pStyle w:val="Compact"/>
            </w:pPr>
            <w:r>
              <w:t xml:space="preserve">Month 7-8</w:t>
            </w:r>
          </w:p>
        </w:tc>
      </w:tr>
      <w:tr>
        <w:tc>
          <w:tcPr/>
          <w:p>
            <w:pPr>
              <w:pStyle w:val="Compact"/>
            </w:pPr>
            <w:r>
              <w:t xml:space="preserve">Weighted toward Growth/Pro</w:t>
            </w:r>
          </w:p>
        </w:tc>
        <w:tc>
          <w:tcPr/>
          <w:p>
            <w:pPr>
              <w:pStyle w:val="Compact"/>
            </w:pPr>
            <w:r>
              <w:t xml:space="preserve">8 facilities</w:t>
            </w:r>
          </w:p>
        </w:tc>
        <w:tc>
          <w:tcPr/>
          <w:p>
            <w:pPr>
              <w:pStyle w:val="Compact"/>
            </w:pPr>
            <w:r>
              <w:t xml:space="preserve">Month 6-7</w:t>
            </w:r>
          </w:p>
        </w:tc>
      </w:tr>
    </w:tbl>
    <w:p>
      <w:pPr>
        <w:pStyle w:val="BodyText"/>
      </w:pPr>
      <w:r>
        <w:rPr>
          <w:b/>
          <w:bCs/>
        </w:rPr>
        <w:t xml:space="preserve">Conclusion:</w:t>
      </w:r>
      <w:r>
        <w:t xml:space="preserve"> </w:t>
      </w:r>
      <w:r>
        <w:t xml:space="preserve">Medic8 reaches operational break-even between Month 7 and Month 9, coinciding with the Phase 2 launch. This assumes the developer does not draw a salary; if a market-rate developer salary of USD 2,500/month is included, break-even shifts to approximately 25-30 facilities (Month 10-11).</w:t>
      </w:r>
    </w:p>
    <w:bookmarkEnd w:id="74"/>
    <w:bookmarkEnd w:id="75"/>
    <w:bookmarkStart w:id="79" w:name="X595ba71d4adf636567ab5588c7103b32a362797"/>
    <w:p>
      <w:pPr>
        <w:pStyle w:val="Heading1"/>
      </w:pPr>
      <w:r>
        <w:t xml:space="preserve">7 Risks</w:t>
      </w:r>
    </w:p>
    <w:bookmarkStart w:id="76" w:name="Xa3eef13c33aa3a84bc460ea4fa2af7042cd17c4"/>
    <w:p>
      <w:pPr>
        <w:pStyle w:val="Heading2"/>
      </w:pPr>
      <w:r>
        <w:t xml:space="preserve">7.1 Risk Register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Risk</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Owner</w:t>
            </w:r>
          </w:p>
        </w:tc>
      </w:tr>
      <w:tr>
        <w:tc>
          <w:tcPr/>
          <w:p>
            <w:pPr>
              <w:pStyle w:val="Compact"/>
            </w:pPr>
            <w:r>
              <w:t xml:space="preserve">R-01</w:t>
            </w:r>
          </w:p>
        </w:tc>
        <w:tc>
          <w:tcPr/>
          <w:p>
            <w:pPr>
              <w:pStyle w:val="Compact"/>
            </w:pPr>
            <w:r>
              <w:t xml:space="preserve">Drug interaction database licensing delay — vendor negotiation or pricing exceeds budget, delaying Phase 1 clinical safety features</w:t>
            </w:r>
          </w:p>
        </w:tc>
        <w:tc>
          <w:tcPr/>
          <w:p>
            <w:pPr>
              <w:pStyle w:val="Compact"/>
            </w:pPr>
            <w:r>
              <w:t xml:space="preserve">Technical</w:t>
            </w:r>
          </w:p>
        </w:tc>
        <w:tc>
          <w:tcPr/>
          <w:p>
            <w:pPr>
              <w:pStyle w:val="Compact"/>
            </w:pPr>
            <w:r>
              <w:t xml:space="preserve">HIGH</w:t>
            </w:r>
          </w:p>
        </w:tc>
        <w:tc>
          <w:tcPr/>
          <w:p>
            <w:pPr>
              <w:pStyle w:val="Compact"/>
            </w:pPr>
            <w:r>
              <w:t xml:space="preserve">HIGH</w:t>
            </w:r>
          </w:p>
        </w:tc>
        <w:tc>
          <w:tcPr/>
          <w:p>
            <w:pPr>
              <w:pStyle w:val="Compact"/>
            </w:pPr>
            <w:r>
              <w:t xml:space="preserve">Begin vendor outreach immediately; evaluate DrugBank, RxNorm/NLM, and Uganda NDA formulary in parallel; budget USD 1,000-5,000 annually; defer CDS to post-MVP if licence unavailable at launch</w:t>
            </w:r>
          </w:p>
        </w:tc>
        <w:tc>
          <w:tcPr/>
          <w:p>
            <w:pPr>
              <w:pStyle w:val="Compact"/>
            </w:pPr>
            <w:r>
              <w:t xml:space="preserve">Peter</w:t>
            </w:r>
          </w:p>
        </w:tc>
      </w:tr>
      <w:tr>
        <w:tc>
          <w:tcPr/>
          <w:p>
            <w:pPr>
              <w:pStyle w:val="Compact"/>
            </w:pPr>
            <w:r>
              <w:t xml:space="preserve">R-02</w:t>
            </w:r>
          </w:p>
        </w:tc>
        <w:tc>
          <w:tcPr/>
          <w:p>
            <w:pPr>
              <w:pStyle w:val="Compact"/>
            </w:pPr>
            <w:r>
              <w:t xml:space="preserve">UMDPC software registration required — Uganda Medical and Dental Practitioners Council may classify Medic8 as regulated medical software, requiring formal registration before commercial sale</w:t>
            </w:r>
          </w:p>
        </w:tc>
        <w:tc>
          <w:tcPr/>
          <w:p>
            <w:pPr>
              <w:pStyle w:val="Compact"/>
            </w:pPr>
            <w:r>
              <w:t xml:space="preserve">Regulatory</w:t>
            </w:r>
          </w:p>
        </w:tc>
        <w:tc>
          <w:tcPr/>
          <w:p>
            <w:pPr>
              <w:pStyle w:val="Compact"/>
            </w:pPr>
            <w:r>
              <w:t xml:space="preserve">MEDIUM</w:t>
            </w:r>
          </w:p>
        </w:tc>
        <w:tc>
          <w:tcPr/>
          <w:p>
            <w:pPr>
              <w:pStyle w:val="Compact"/>
            </w:pPr>
            <w:r>
              <w:t xml:space="preserve">HIGH</w:t>
            </w:r>
          </w:p>
        </w:tc>
        <w:tc>
          <w:tcPr/>
          <w:p>
            <w:pPr>
              <w:pStyle w:val="Compact"/>
            </w:pPr>
            <w:r>
              <w:t xml:space="preserve">Contact UMDPC for regulatory determination before Phase 1 launch; prepare registration application documents; engage regulatory consultant if classification is ambiguous</w:t>
            </w:r>
          </w:p>
        </w:tc>
        <w:tc>
          <w:tcPr/>
          <w:p>
            <w:pPr>
              <w:pStyle w:val="Compact"/>
            </w:pPr>
            <w:r>
              <w:t xml:space="preserve">Peter</w:t>
            </w:r>
          </w:p>
        </w:tc>
      </w:tr>
      <w:tr>
        <w:tc>
          <w:tcPr/>
          <w:p>
            <w:pPr>
              <w:pStyle w:val="Compact"/>
            </w:pPr>
            <w:r>
              <w:t xml:space="preserve">R-03</w:t>
            </w:r>
          </w:p>
        </w:tc>
        <w:tc>
          <w:tcPr/>
          <w:p>
            <w:pPr>
              <w:pStyle w:val="Compact"/>
            </w:pPr>
            <w:r>
              <w:t xml:space="preserve">Solo developer capacity — all development, sales, support, and operations depend on a single person; illness, burnout, or competing priorities delay delivery</w:t>
            </w:r>
          </w:p>
        </w:tc>
        <w:tc>
          <w:tcPr/>
          <w:p>
            <w:pPr>
              <w:pStyle w:val="Compact"/>
            </w:pPr>
            <w:r>
              <w:t xml:space="preserve">Business</w:t>
            </w:r>
          </w:p>
        </w:tc>
        <w:tc>
          <w:tcPr/>
          <w:p>
            <w:pPr>
              <w:pStyle w:val="Compact"/>
            </w:pPr>
            <w:r>
              <w:t xml:space="preserve">HIGH</w:t>
            </w:r>
          </w:p>
        </w:tc>
        <w:tc>
          <w:tcPr/>
          <w:p>
            <w:pPr>
              <w:pStyle w:val="Compact"/>
            </w:pPr>
            <w:r>
              <w:t xml:space="preserve">HIGH</w:t>
            </w:r>
          </w:p>
        </w:tc>
        <w:tc>
          <w:tcPr/>
          <w:p>
            <w:pPr>
              <w:pStyle w:val="Compact"/>
            </w:pPr>
            <w:r>
              <w:t xml:space="preserve">Share codebase with Academia Pro to reduce redundant work; prioritise ruthlessly using phase gates; defer non-essential features; plan first support hire at 50 facilities; document architecture for future team onboarding</w:t>
            </w:r>
          </w:p>
        </w:tc>
        <w:tc>
          <w:tcPr/>
          <w:p>
            <w:pPr>
              <w:pStyle w:val="Compact"/>
            </w:pPr>
            <w:r>
              <w:t xml:space="preserve">Peter</w:t>
            </w:r>
          </w:p>
        </w:tc>
      </w:tr>
      <w:tr>
        <w:tc>
          <w:tcPr/>
          <w:p>
            <w:pPr>
              <w:pStyle w:val="Compact"/>
            </w:pPr>
            <w:r>
              <w:t xml:space="preserve">R-04</w:t>
            </w:r>
          </w:p>
        </w:tc>
        <w:tc>
          <w:tcPr/>
          <w:p>
            <w:pPr>
              <w:pStyle w:val="Compact"/>
            </w:pPr>
            <w:r>
              <w:t xml:space="preserve">ClinicMaster pivots to SaaS — ClinicMaster re-architects as cloud SaaS, closing its primary architectural gap and competing directly on delivery model</w:t>
            </w:r>
          </w:p>
        </w:tc>
        <w:tc>
          <w:tcPr/>
          <w:p>
            <w:pPr>
              <w:pStyle w:val="Compact"/>
            </w:pPr>
            <w:r>
              <w:t xml:space="preserve">Competitive</w:t>
            </w:r>
          </w:p>
        </w:tc>
        <w:tc>
          <w:tcPr/>
          <w:p>
            <w:pPr>
              <w:pStyle w:val="Compact"/>
            </w:pPr>
            <w:r>
              <w:t xml:space="preserve">LOW</w:t>
            </w:r>
          </w:p>
        </w:tc>
        <w:tc>
          <w:tcPr/>
          <w:p>
            <w:pPr>
              <w:pStyle w:val="Compact"/>
            </w:pPr>
            <w:r>
              <w:t xml:space="preserve">HIGH</w:t>
            </w:r>
          </w:p>
        </w:tc>
        <w:tc>
          <w:tcPr/>
          <w:p>
            <w:pPr>
              <w:pStyle w:val="Compact"/>
            </w:pPr>
            <w:r>
              <w:t xml:space="preserve">Maintain 20-feature advantage; ClinicMaster's desktop architecture makes SaaS migration a multi-year effort; focus on AI and multilingual differentiators ClinicMaster cannot replicate quickly</w:t>
            </w:r>
          </w:p>
        </w:tc>
        <w:tc>
          <w:tcPr/>
          <w:p>
            <w:pPr>
              <w:pStyle w:val="Compact"/>
            </w:pPr>
            <w:r>
              <w:t xml:space="preserve">Peter</w:t>
            </w:r>
          </w:p>
        </w:tc>
      </w:tr>
      <w:tr>
        <w:tc>
          <w:tcPr/>
          <w:p>
            <w:pPr>
              <w:pStyle w:val="Compact"/>
            </w:pPr>
            <w:r>
              <w:t xml:space="preserve">R-05</w:t>
            </w:r>
          </w:p>
        </w:tc>
        <w:tc>
          <w:tcPr/>
          <w:p>
            <w:pPr>
              <w:pStyle w:val="Compact"/>
            </w:pPr>
            <w:r>
              <w:t xml:space="preserve">Internet infrastructure remains poor — Ugandan internet connectivity at government and rural facilities remains too unreliable for cloud-dependent workflows</w:t>
            </w:r>
          </w:p>
        </w:tc>
        <w:tc>
          <w:tcPr/>
          <w:p>
            <w:pPr>
              <w:pStyle w:val="Compact"/>
            </w:pPr>
            <w:r>
              <w:t xml:space="preserve">Technical</w:t>
            </w:r>
          </w:p>
        </w:tc>
        <w:tc>
          <w:tcPr/>
          <w:p>
            <w:pPr>
              <w:pStyle w:val="Compact"/>
            </w:pPr>
            <w:r>
              <w:t xml:space="preserve">HIGH</w:t>
            </w:r>
          </w:p>
        </w:tc>
        <w:tc>
          <w:tcPr/>
          <w:p>
            <w:pPr>
              <w:pStyle w:val="Compact"/>
            </w:pPr>
            <w:r>
              <w:t xml:space="preserve">MEDIUM</w:t>
            </w:r>
          </w:p>
        </w:tc>
        <w:tc>
          <w:tcPr/>
          <w:p>
            <w:pPr>
              <w:pStyle w:val="Compact"/>
            </w:pPr>
            <w:r>
              <w:t xml:space="preserve">Offline-first architecture is the primary mitigation; all core clinical workflows operate without internet; sync resumes automatically when connectivity returns; SMS fallback for critical notifications</w:t>
            </w:r>
          </w:p>
        </w:tc>
        <w:tc>
          <w:tcPr/>
          <w:p>
            <w:pPr>
              <w:pStyle w:val="Compact"/>
            </w:pPr>
            <w:r>
              <w:t xml:space="preserve">Peter</w:t>
            </w:r>
          </w:p>
        </w:tc>
      </w:tr>
      <w:tr>
        <w:tc>
          <w:tcPr/>
          <w:p>
            <w:pPr>
              <w:pStyle w:val="Compact"/>
            </w:pPr>
            <w:r>
              <w:t xml:space="preserve">R-06</w:t>
            </w:r>
          </w:p>
        </w:tc>
        <w:tc>
          <w:tcPr/>
          <w:p>
            <w:pPr>
              <w:pStyle w:val="Compact"/>
            </w:pPr>
            <w:r>
              <w:t xml:space="preserve">NHIS API not published — Uganda National Health Insurance Scheme does not publish its provider API or claims format, blocking insurance integration</w:t>
            </w:r>
          </w:p>
        </w:tc>
        <w:tc>
          <w:tcPr/>
          <w:p>
            <w:pPr>
              <w:pStyle w:val="Compact"/>
            </w:pPr>
            <w:r>
              <w:t xml:space="preserve">External</w:t>
            </w:r>
          </w:p>
        </w:tc>
        <w:tc>
          <w:tcPr/>
          <w:p>
            <w:pPr>
              <w:pStyle w:val="Compact"/>
            </w:pPr>
            <w:r>
              <w:t xml:space="preserve">MEDIUM</w:t>
            </w:r>
          </w:p>
        </w:tc>
        <w:tc>
          <w:tcPr/>
          <w:p>
            <w:pPr>
              <w:pStyle w:val="Compact"/>
            </w:pPr>
            <w:r>
              <w:t xml:space="preserve">MEDIUM</w:t>
            </w:r>
          </w:p>
        </w:tc>
        <w:tc>
          <w:tcPr/>
          <w:p>
            <w:pPr>
              <w:pStyle w:val="Compact"/>
            </w:pPr>
            <w:r>
              <w:t xml:space="preserve">Register with NHIS as licensed healthcare software provider; build insurance module against private insurer formats (AAR, Jubilee) first; add NHIS integration when API is available; design claims engine to be format-configurable</w:t>
            </w:r>
          </w:p>
        </w:tc>
        <w:tc>
          <w:tcPr/>
          <w:p>
            <w:pPr>
              <w:pStyle w:val="Compact"/>
            </w:pPr>
            <w:r>
              <w:t xml:space="preserve">Peter</w:t>
            </w:r>
          </w:p>
        </w:tc>
      </w:tr>
      <w:tr>
        <w:tc>
          <w:tcPr/>
          <w:p>
            <w:pPr>
              <w:pStyle w:val="Compact"/>
            </w:pPr>
            <w:r>
              <w:t xml:space="preserve">R-07</w:t>
            </w:r>
          </w:p>
        </w:tc>
        <w:tc>
          <w:tcPr/>
          <w:p>
            <w:pPr>
              <w:pStyle w:val="Compact"/>
            </w:pPr>
            <w:r>
              <w:t xml:space="preserve">Medication error caused by CDS failure — Clinical Decision Support engine fails to fire an alert for a dangerous drug interaction or allergy conflict, resulting in patient harm</w:t>
            </w:r>
          </w:p>
        </w:tc>
        <w:tc>
          <w:tcPr/>
          <w:p>
            <w:pPr>
              <w:pStyle w:val="Compact"/>
            </w:pPr>
            <w:r>
              <w:t xml:space="preserve">Clinical</w:t>
            </w:r>
          </w:p>
        </w:tc>
        <w:tc>
          <w:tcPr/>
          <w:p>
            <w:pPr>
              <w:pStyle w:val="Compact"/>
            </w:pPr>
            <w:r>
              <w:t xml:space="preserve">LOW</w:t>
            </w:r>
          </w:p>
        </w:tc>
        <w:tc>
          <w:tcPr/>
          <w:p>
            <w:pPr>
              <w:pStyle w:val="Compact"/>
            </w:pPr>
            <w:r>
              <w:t xml:space="preserve">CRITICAL</w:t>
            </w:r>
          </w:p>
        </w:tc>
        <w:tc>
          <w:tcPr/>
          <w:p>
            <w:pPr>
              <w:pStyle w:val="Compact"/>
            </w:pPr>
            <w:r>
              <w:t xml:space="preserve">Licence a validated drug interaction database; define CDS as decision support (not decision maker) in Terms of Service; log every alert fired and every override; require pharmacist confirmation for all prescriptions; conduct pre-launch clinical safety validation with a practising clinician</w:t>
            </w:r>
          </w:p>
        </w:tc>
        <w:tc>
          <w:tcPr/>
          <w:p>
            <w:pPr>
              <w:pStyle w:val="Compact"/>
            </w:pPr>
            <w:r>
              <w:t xml:space="preserve">Peter</w:t>
            </w:r>
          </w:p>
        </w:tc>
      </w:tr>
      <w:tr>
        <w:tc>
          <w:tcPr/>
          <w:p>
            <w:pPr>
              <w:pStyle w:val="Compact"/>
            </w:pPr>
            <w:r>
              <w:t xml:space="preserve">R-08</w:t>
            </w:r>
          </w:p>
        </w:tc>
        <w:tc>
          <w:tcPr/>
          <w:p>
            <w:pPr>
              <w:pStyle w:val="Compact"/>
            </w:pPr>
            <w:r>
              <w:t xml:space="preserve">Data breach of patient records — Unauthorised access to Protected Health Information (PHI) through application vulnerability, insider threat, or infrastructure compromise</w:t>
            </w:r>
          </w:p>
        </w:tc>
        <w:tc>
          <w:tcPr/>
          <w:p>
            <w:pPr>
              <w:pStyle w:val="Compact"/>
            </w:pPr>
            <w:r>
              <w:t xml:space="preserve">Security</w:t>
            </w:r>
          </w:p>
        </w:tc>
        <w:tc>
          <w:tcPr/>
          <w:p>
            <w:pPr>
              <w:pStyle w:val="Compact"/>
            </w:pPr>
            <w:r>
              <w:t xml:space="preserve">LOW</w:t>
            </w:r>
          </w:p>
        </w:tc>
        <w:tc>
          <w:tcPr/>
          <w:p>
            <w:pPr>
              <w:pStyle w:val="Compact"/>
            </w:pPr>
            <w:r>
              <w:t xml:space="preserve">CRITICAL</w:t>
            </w:r>
          </w:p>
        </w:tc>
        <w:tc>
          <w:tcPr/>
          <w:p>
            <w:pPr>
              <w:pStyle w:val="Compact"/>
            </w:pPr>
            <w:r>
              <w:t xml:space="preserve">Implement RBAC+ABAC with sensitive record tier; encrypt PHI at rest and in transit; tamper-proof audit trail; break-the-glass emergency access with mandatory post-access audit; penetration testing before launch; incident response plan with 72-hour PDPO notification</w:t>
            </w:r>
          </w:p>
        </w:tc>
        <w:tc>
          <w:tcPr/>
          <w:p>
            <w:pPr>
              <w:pStyle w:val="Compact"/>
            </w:pPr>
            <w:r>
              <w:t xml:space="preserve">Peter</w:t>
            </w:r>
          </w:p>
        </w:tc>
      </w:tr>
      <w:tr>
        <w:tc>
          <w:tcPr/>
          <w:p>
            <w:pPr>
              <w:pStyle w:val="Compact"/>
            </w:pPr>
            <w:r>
              <w:t xml:space="preserve">R-09</w:t>
            </w:r>
          </w:p>
        </w:tc>
        <w:tc>
          <w:tcPr/>
          <w:p>
            <w:pPr>
              <w:pStyle w:val="Compact"/>
            </w:pPr>
            <w:r>
              <w:t xml:space="preserve">OpenMRS community backlash against migration messaging — Positioning Medic8 as a replacement for OpenMRS generates negative response from the OpenMRS community, PEPFAR implementing partners, or UgandaEMR stakeholders</w:t>
            </w:r>
          </w:p>
        </w:tc>
        <w:tc>
          <w:tcPr/>
          <w:p>
            <w:pPr>
              <w:pStyle w:val="Compact"/>
            </w:pPr>
            <w:r>
              <w:t xml:space="preserve">Market</w:t>
            </w:r>
          </w:p>
        </w:tc>
        <w:tc>
          <w:tcPr/>
          <w:p>
            <w:pPr>
              <w:pStyle w:val="Compact"/>
            </w:pPr>
            <w:r>
              <w:t xml:space="preserve">MEDIUM</w:t>
            </w:r>
          </w:p>
        </w:tc>
        <w:tc>
          <w:tcPr/>
          <w:p>
            <w:pPr>
              <w:pStyle w:val="Compact"/>
            </w:pPr>
            <w:r>
              <w:t xml:space="preserve">LOW</w:t>
            </w:r>
          </w:p>
        </w:tc>
        <w:tc>
          <w:tcPr/>
          <w:p>
            <w:pPr>
              <w:pStyle w:val="Compact"/>
            </w:pPr>
            <w:r>
              <w:t xml:space="preserve">Frame messaging as "complement and migration path" rather than "replacement"; offer validated data migration from OpenMRS/UgandaEMR; demonstrate TCO savings with specific numbers; avoid disparaging OpenMRS as a product</w:t>
            </w:r>
          </w:p>
        </w:tc>
        <w:tc>
          <w:tcPr/>
          <w:p>
            <w:pPr>
              <w:pStyle w:val="Compact"/>
            </w:pPr>
            <w:r>
              <w:t xml:space="preserve">Peter</w:t>
            </w:r>
          </w:p>
        </w:tc>
      </w:tr>
      <w:tr>
        <w:tc>
          <w:tcPr/>
          <w:p>
            <w:pPr>
              <w:pStyle w:val="Compact"/>
            </w:pPr>
            <w:r>
              <w:t xml:space="preserve">R-10</w:t>
            </w:r>
          </w:p>
        </w:tc>
        <w:tc>
          <w:tcPr/>
          <w:p>
            <w:pPr>
              <w:pStyle w:val="Compact"/>
            </w:pPr>
            <w:r>
              <w:t xml:space="preserve">Uganda PDPA enforcement action — National Information Technology Authority (NITA-U) or Personal Data Protection Office (PDPO) takes enforcement action against a healthcare software provider for non-compliance with the Data Protection and Privacy Act 2019</w:t>
            </w:r>
          </w:p>
        </w:tc>
        <w:tc>
          <w:tcPr/>
          <w:p>
            <w:pPr>
              <w:pStyle w:val="Compact"/>
            </w:pPr>
            <w:r>
              <w:t xml:space="preserve">Regulatory</w:t>
            </w:r>
          </w:p>
        </w:tc>
        <w:tc>
          <w:tcPr/>
          <w:p>
            <w:pPr>
              <w:pStyle w:val="Compact"/>
            </w:pPr>
            <w:r>
              <w:t xml:space="preserve">LOW</w:t>
            </w:r>
          </w:p>
        </w:tc>
        <w:tc>
          <w:tcPr/>
          <w:p>
            <w:pPr>
              <w:pStyle w:val="Compact"/>
            </w:pPr>
            <w:r>
              <w:t xml:space="preserve">HIGH</w:t>
            </w:r>
          </w:p>
        </w:tc>
        <w:tc>
          <w:tcPr/>
          <w:p>
            <w:pPr>
              <w:pStyle w:val="Compact"/>
            </w:pPr>
            <w:r>
              <w:t xml:space="preserve">Engage Uganda data protection lawyer for health data legal review before Phase 1 launch; document consent categories per data type; define lawful basis for processing; establish breach notification procedure; appoint internal Data Protection Officer</w:t>
            </w:r>
          </w:p>
        </w:tc>
        <w:tc>
          <w:tcPr/>
          <w:p>
            <w:pPr>
              <w:pStyle w:val="Compact"/>
            </w:pPr>
            <w:r>
              <w:t xml:space="preserve">Peter</w:t>
            </w:r>
          </w:p>
        </w:tc>
      </w:tr>
      <w:tr>
        <w:tc>
          <w:tcPr/>
          <w:p>
            <w:pPr>
              <w:pStyle w:val="Compact"/>
            </w:pPr>
            <w:r>
              <w:t xml:space="preserve">R-11</w:t>
            </w:r>
          </w:p>
        </w:tc>
        <w:tc>
          <w:tcPr/>
          <w:p>
            <w:pPr>
              <w:pStyle w:val="Compact"/>
            </w:pPr>
            <w:r>
              <w:t xml:space="preserve">Mobile money API rate changes — MTN MoMo or Airtel Money increases transaction fees or changes API terms, affecting Medic8's payment processing model</w:t>
            </w:r>
          </w:p>
        </w:tc>
        <w:tc>
          <w:tcPr/>
          <w:p>
            <w:pPr>
              <w:pStyle w:val="Compact"/>
            </w:pPr>
            <w:r>
              <w:t xml:space="preserve">Financial</w:t>
            </w:r>
          </w:p>
        </w:tc>
        <w:tc>
          <w:tcPr/>
          <w:p>
            <w:pPr>
              <w:pStyle w:val="Compact"/>
            </w:pPr>
            <w:r>
              <w:t xml:space="preserve">MEDIUM</w:t>
            </w:r>
          </w:p>
        </w:tc>
        <w:tc>
          <w:tcPr/>
          <w:p>
            <w:pPr>
              <w:pStyle w:val="Compact"/>
            </w:pPr>
            <w:r>
              <w:t xml:space="preserve">MEDIUM</w:t>
            </w:r>
          </w:p>
        </w:tc>
        <w:tc>
          <w:tcPr/>
          <w:p>
            <w:pPr>
              <w:pStyle w:val="Compact"/>
            </w:pPr>
            <w:r>
              <w:t xml:space="preserve">Mobile money transaction fees are pass-through (charged to patient or facility, not Medic8); design billing engine to support multiple payment channels (mobile money, bank transfer, card); monitor API terms quarterly</w:t>
            </w:r>
          </w:p>
        </w:tc>
        <w:tc>
          <w:tcPr/>
          <w:p>
            <w:pPr>
              <w:pStyle w:val="Compact"/>
            </w:pPr>
            <w:r>
              <w:t xml:space="preserve">Peter</w:t>
            </w:r>
          </w:p>
        </w:tc>
      </w:tr>
      <w:tr>
        <w:tc>
          <w:tcPr/>
          <w:p>
            <w:pPr>
              <w:pStyle w:val="Compact"/>
            </w:pPr>
            <w:r>
              <w:t xml:space="preserve">R-12</w:t>
            </w:r>
          </w:p>
        </w:tc>
        <w:tc>
          <w:tcPr/>
          <w:p>
            <w:pPr>
              <w:pStyle w:val="Compact"/>
            </w:pPr>
            <w:r>
              <w:t xml:space="preserve">Customer churn from poor onboarding — Facilities sign up but abandon the system within 60 days due to inadequate onboarding, training, or support</w:t>
            </w:r>
          </w:p>
        </w:tc>
        <w:tc>
          <w:tcPr/>
          <w:p>
            <w:pPr>
              <w:pStyle w:val="Compact"/>
            </w:pPr>
            <w:r>
              <w:t xml:space="preserve">Business</w:t>
            </w:r>
          </w:p>
        </w:tc>
        <w:tc>
          <w:tcPr/>
          <w:p>
            <w:pPr>
              <w:pStyle w:val="Compact"/>
            </w:pPr>
            <w:r>
              <w:t xml:space="preserve">MEDIUM</w:t>
            </w:r>
          </w:p>
        </w:tc>
        <w:tc>
          <w:tcPr/>
          <w:p>
            <w:pPr>
              <w:pStyle w:val="Compact"/>
            </w:pPr>
            <w:r>
              <w:t xml:space="preserve">HIGH</w:t>
            </w:r>
          </w:p>
        </w:tc>
        <w:tc>
          <w:tcPr/>
          <w:p>
            <w:pPr>
              <w:pStyle w:val="Compact"/>
            </w:pPr>
            <w:r>
              <w:t xml:space="preserve">Embed guided onboarding in every module; provide video-based, module-specific training; mandatory training completion before module activation; structured check-ins at 30, 60, and 90 days; zero-config Ugandan defaults reduce setup friction; target 2-4 hour onboarding time</w:t>
            </w:r>
          </w:p>
        </w:tc>
        <w:tc>
          <w:tcPr/>
          <w:p>
            <w:pPr>
              <w:pStyle w:val="Compact"/>
            </w:pPr>
            <w:r>
              <w:t xml:space="preserve">Peter</w:t>
            </w:r>
          </w:p>
        </w:tc>
      </w:tr>
      <w:tr>
        <w:tc>
          <w:tcPr/>
          <w:p>
            <w:pPr>
              <w:pStyle w:val="Compact"/>
            </w:pPr>
            <w:r>
              <w:t xml:space="preserve">R-13</w:t>
            </w:r>
          </w:p>
        </w:tc>
        <w:tc>
          <w:tcPr/>
          <w:p>
            <w:pPr>
              <w:pStyle w:val="Compact"/>
            </w:pPr>
            <w:r>
              <w:t xml:space="preserve">AI provider API outage — Primary AI provider returns errors or does not respond, making AI capabilities unavailable</w:t>
            </w:r>
          </w:p>
        </w:tc>
        <w:tc>
          <w:tcPr/>
          <w:p>
            <w:pPr>
              <w:pStyle w:val="Compact"/>
            </w:pPr>
            <w:r>
              <w:t xml:space="preserve">Technical</w:t>
            </w:r>
          </w:p>
        </w:tc>
        <w:tc>
          <w:tcPr/>
          <w:p>
            <w:pPr>
              <w:pStyle w:val="Compact"/>
            </w:pPr>
            <w:r>
              <w:t xml:space="preserve">MEDIUM</w:t>
            </w:r>
          </w:p>
        </w:tc>
        <w:tc>
          <w:tcPr/>
          <w:p>
            <w:pPr>
              <w:pStyle w:val="Compact"/>
            </w:pPr>
            <w:r>
              <w:t xml:space="preserve">LOW (clinical) / HIGH (AI features)</w:t>
            </w:r>
          </w:p>
        </w:tc>
        <w:tc>
          <w:tcPr/>
          <w:p>
            <w:pPr>
              <w:pStyle w:val="Compact"/>
            </w:pPr>
            <w:r>
              <w:t xml:space="preserve">Secondary provider failover within 12 seconds of primary timeout; graceful UI degradation — AI panels are hidden, not broken; clinical workflows (prescription, discharge, claim submission) proceed without AI assistance when the provider is unavailable; all failover events are logged with timestamp, primary provider error, and failover outcome</w:t>
            </w:r>
          </w:p>
        </w:tc>
        <w:tc>
          <w:tcPr/>
          <w:p>
            <w:pPr>
              <w:pStyle w:val="Compact"/>
            </w:pPr>
            <w:r>
              <w:t xml:space="preserve">Peter</w:t>
            </w:r>
          </w:p>
        </w:tc>
      </w:tr>
      <w:tr>
        <w:tc>
          <w:tcPr/>
          <w:p>
            <w:pPr>
              <w:pStyle w:val="Compact"/>
            </w:pPr>
            <w:r>
              <w:t xml:space="preserve">R-14</w:t>
            </w:r>
          </w:p>
        </w:tc>
        <w:tc>
          <w:tcPr/>
          <w:p>
            <w:pPr>
              <w:pStyle w:val="Compact"/>
            </w:pPr>
            <w:r>
              <w:t xml:space="preserve">DPPA 2019 compliance for patient data sent to AI providers — Patient clinical data transmitted to AI providers may violate the Data Protection and Privacy Act 2019 if the provider does not comply with data residency or processing restrictions</w:t>
            </w:r>
          </w:p>
        </w:tc>
        <w:tc>
          <w:tcPr/>
          <w:p>
            <w:pPr>
              <w:pStyle w:val="Compact"/>
            </w:pPr>
            <w:r>
              <w:t xml:space="preserve">Regulatory</w:t>
            </w:r>
          </w:p>
        </w:tc>
        <w:tc>
          <w:tcPr/>
          <w:p>
            <w:pPr>
              <w:pStyle w:val="Compact"/>
            </w:pPr>
            <w:r>
              <w:t xml:space="preserve">MEDIUM</w:t>
            </w:r>
          </w:p>
        </w:tc>
        <w:tc>
          <w:tcPr/>
          <w:p>
            <w:pPr>
              <w:pStyle w:val="Compact"/>
            </w:pPr>
            <w:r>
              <w:t xml:space="preserve">HIGH</w:t>
            </w:r>
          </w:p>
        </w:tc>
        <w:tc>
          <w:tcPr/>
          <w:p>
            <w:pPr>
              <w:pStyle w:val="Compact"/>
            </w:pPr>
            <w:r>
              <w:t xml:space="preserve">Execute Data Processing Agreements (DPA) with each AI provider (OpenAI, Anthropic, DeepSeek, Gemini) before the AI Intelligence module launches; no personally identifiable information (NIN, full legal name, NIRA number) included in AI prompts — encounter data referenced by anonymised encounter ID only; tenant-configurable provider selection allows facilities to choose providers whose DPA terms satisfy their regulatory comfort; AI admin panel displays a compliance warning if the selected provider's infrastructure does not meet Uganda data residency requirements</w:t>
            </w:r>
          </w:p>
        </w:tc>
        <w:tc>
          <w:tcPr/>
          <w:p>
            <w:pPr>
              <w:pStyle w:val="Compact"/>
            </w:pPr>
            <w:r>
              <w:t xml:space="preserve">Peter</w:t>
            </w:r>
          </w:p>
        </w:tc>
      </w:tr>
      <w:tr>
        <w:tc>
          <w:tcPr/>
          <w:p>
            <w:pPr>
              <w:pStyle w:val="Compact"/>
            </w:pPr>
            <w:r>
              <w:t xml:space="preserve">R-15</w:t>
            </w:r>
          </w:p>
        </w:tc>
        <w:tc>
          <w:tcPr/>
          <w:p>
            <w:pPr>
              <w:pStyle w:val="Compact"/>
            </w:pPr>
            <w:r>
              <w:t xml:space="preserve">Translation quality in Kiswahili/French — A clinical string is awkwardly translated or clinically ambiguous in French or Kiswahili, leading to misinterpretation at the point of care</w:t>
            </w:r>
          </w:p>
        </w:tc>
        <w:tc>
          <w:tcPr/>
          <w:p>
            <w:pPr>
              <w:pStyle w:val="Compact"/>
            </w:pPr>
            <w:r>
              <w:t xml:space="preserve">Quality</w:t>
            </w:r>
          </w:p>
        </w:tc>
        <w:tc>
          <w:tcPr/>
          <w:p>
            <w:pPr>
              <w:pStyle w:val="Compact"/>
            </w:pPr>
            <w:r>
              <w:t xml:space="preserve">MEDIUM</w:t>
            </w:r>
          </w:p>
        </w:tc>
        <w:tc>
          <w:tcPr/>
          <w:p>
            <w:pPr>
              <w:pStyle w:val="Compact"/>
            </w:pPr>
            <w:r>
              <w:t xml:space="preserve">HIGH</w:t>
            </w:r>
          </w:p>
        </w:tc>
        <w:tc>
          <w:tcPr/>
          <w:p>
            <w:pPr>
              <w:pStyle w:val="Compact"/>
            </w:pPr>
            <w:r>
              <w:t xml:space="preserve">Native-speaker clinical review gate before any string enters a release branch;</w:t>
            </w:r>
            <w:r>
              <w:t xml:space="preserve"> </w:t>
            </w:r>
            <w:r>
              <w:rPr>
                <w:rStyle w:val="VerbatimChar"/>
              </w:rPr>
              <w:t xml:space="preserve">[I18N-GAP]</w:t>
            </w:r>
            <w:r>
              <w:t xml:space="preserve"> </w:t>
            </w:r>
            <w:r>
              <w:t xml:space="preserve">CI flag blocks the</w:t>
            </w:r>
            <w:r>
              <w:t xml:space="preserve"> </w:t>
            </w:r>
            <w:r>
              <w:rPr>
                <w:rStyle w:val="VerbatimChar"/>
              </w:rPr>
              <w:t xml:space="preserve">release</w:t>
            </w:r>
            <w:r>
              <w:t xml:space="preserve"> </w:t>
            </w:r>
            <w:r>
              <w:t xml:space="preserve">branch build until the gap is resolved by a human-approved translation; clinical severity labels (</w:t>
            </w:r>
            <w:r>
              <w:rPr>
                <w:rStyle w:val="VerbatimChar"/>
              </w:rPr>
              <w:t xml:space="preserve">Fatal</w:t>
            </w:r>
            <w:r>
              <w:t xml:space="preserve">,</w:t>
            </w:r>
            <w:r>
              <w:t xml:space="preserve"> </w:t>
            </w:r>
            <w:r>
              <w:rPr>
                <w:rStyle w:val="VerbatimChar"/>
              </w:rPr>
              <w:t xml:space="preserve">Serious</w:t>
            </w:r>
            <w:r>
              <w:t xml:space="preserve">,</w:t>
            </w:r>
            <w:r>
              <w:t xml:space="preserve"> </w:t>
            </w:r>
            <w:r>
              <w:rPr>
                <w:rStyle w:val="VerbatimChar"/>
              </w:rPr>
              <w:t xml:space="preserve">Warning</w:t>
            </w:r>
            <w:r>
              <w:t xml:space="preserve">,</w:t>
            </w:r>
            <w:r>
              <w:t xml:space="preserve"> </w:t>
            </w:r>
            <w:r>
              <w:rPr>
                <w:rStyle w:val="VerbatimChar"/>
              </w:rPr>
              <w:t xml:space="preserve">Info</w:t>
            </w:r>
            <w:r>
              <w:t xml:space="preserve">) are treated as highest-priority review items and never auto-translated; specific prohibited translations documented in</w:t>
            </w:r>
            <w:r>
              <w:t xml:space="preserve"> </w:t>
            </w:r>
            <w:r>
              <w:rPr>
                <w:rStyle w:val="VerbatimChar"/>
              </w:rPr>
              <w:t xml:space="preserve">_context/i18n.md</w:t>
            </w:r>
            <w:r>
              <w:t xml:space="preserve"> </w:t>
            </w:r>
            <w:r>
              <w:t xml:space="preserve">(e.g.,</w:t>
            </w:r>
            <w:r>
              <w:t xml:space="preserve"> </w:t>
            </w:r>
            <w:r>
              <w:rPr>
                <w:i/>
                <w:iCs/>
              </w:rPr>
              <w:t xml:space="preserve">malalamiko ya kwanza</w:t>
            </w:r>
            <w:r>
              <w:t xml:space="preserve"> </w:t>
            </w:r>
            <w:r>
              <w:t xml:space="preserve">prohibited for Kiswahili chief complaint)</w:t>
            </w:r>
          </w:p>
        </w:tc>
        <w:tc>
          <w:tcPr/>
          <w:p>
            <w:pPr>
              <w:pStyle w:val="Compact"/>
            </w:pPr>
            <w:r>
              <w:t xml:space="preserve">Peter</w:t>
            </w:r>
          </w:p>
        </w:tc>
      </w:tr>
      <w:tr>
        <w:tc>
          <w:tcPr/>
          <w:p>
            <w:pPr>
              <w:pStyle w:val="Compact"/>
            </w:pPr>
            <w:r>
              <w:t xml:space="preserve">R-16</w:t>
            </w:r>
          </w:p>
        </w:tc>
        <w:tc>
          <w:tcPr/>
          <w:p>
            <w:pPr>
              <w:pStyle w:val="Compact"/>
            </w:pPr>
            <w:r>
              <w:t xml:space="preserve">AI false positives in Outbreak Early Warning — AI Outbreak Early Warning generates excessive false positive alerts, causing alarm fatigue for Medical Officers</w:t>
            </w:r>
          </w:p>
        </w:tc>
        <w:tc>
          <w:tcPr/>
          <w:p>
            <w:pPr>
              <w:pStyle w:val="Compact"/>
            </w:pPr>
            <w:r>
              <w:t xml:space="preserve">Clinical</w:t>
            </w:r>
          </w:p>
        </w:tc>
        <w:tc>
          <w:tcPr/>
          <w:p>
            <w:pPr>
              <w:pStyle w:val="Compact"/>
            </w:pPr>
            <w:r>
              <w:t xml:space="preserve">MEDIUM</w:t>
            </w:r>
          </w:p>
        </w:tc>
        <w:tc>
          <w:tcPr/>
          <w:p>
            <w:pPr>
              <w:pStyle w:val="Compact"/>
            </w:pPr>
            <w:r>
              <w:t xml:space="preserve">MEDIUM</w:t>
            </w:r>
          </w:p>
        </w:tc>
        <w:tc>
          <w:tcPr/>
          <w:p>
            <w:pPr>
              <w:pStyle w:val="Compact"/>
            </w:pPr>
            <w:r>
              <w:t xml:space="preserve">Configurable sensitivity threshold per disease; false positive rate tracked as a KPI in the AI admin panel over a rolling 90-day period; target ≤ 15% false positive rate; Medical Officer can adjust the sensitivity threshold from the admin panel without a code change; the alert explicitly states it is an AI-generated prompt and does not constitute a mandatory IDSR report</w:t>
            </w:r>
          </w:p>
        </w:tc>
        <w:tc>
          <w:tcPr/>
          <w:p>
            <w:pPr>
              <w:pStyle w:val="Compact"/>
            </w:pPr>
            <w:r>
              <w:t xml:space="preserve">Peter</w:t>
            </w:r>
          </w:p>
        </w:tc>
      </w:tr>
    </w:tbl>
    <w:bookmarkEnd w:id="76"/>
    <w:bookmarkStart w:id="78" w:name="X6cbe35143dde9cfd1f78347c77356b7c20caff2"/>
    <w:p>
      <w:pPr>
        <w:pStyle w:val="Heading2"/>
      </w:pPr>
      <w:r>
        <w:t xml:space="preserve">7.2 Probability-Impact Matrix</w:t>
      </w:r>
    </w:p>
    <w:p>
      <w:pPr>
        <w:pStyle w:val="FirstParagraph"/>
      </w:pPr>
      <w:r>
        <w:t xml:space="preserve">The matrix classifies risks into 3 probability levels (Low, Medium, High) and 4 impact levels (Medium, High, Critical). Risk numbers correspond to the Risk Register above.</w:t>
      </w:r>
    </w:p>
    <w:p>
      <w:pPr>
        <w:pStyle w:val="SourceCode"/>
      </w:pPr>
      <w:r>
        <w:rPr>
          <w:rStyle w:val="VerbatimChar"/>
        </w:rPr>
        <w:t xml:space="preserve">                              I M P A C T</w:t>
      </w:r>
      <w:r>
        <w:br/>
      </w:r>
      <w:r>
        <w:rPr>
          <w:rStyle w:val="VerbatimChar"/>
        </w:rPr>
        <w:t xml:space="preserve">                    Medium      High        Critical</w:t>
      </w:r>
      <w:r>
        <w:br/>
      </w:r>
      <w:r>
        <w:rPr>
          <w:rStyle w:val="VerbatimChar"/>
        </w:rPr>
        <w:t xml:space="preserve">                 +-----------+-----------+-----------+</w:t>
      </w:r>
      <w:r>
        <w:br/>
      </w:r>
      <w:r>
        <w:rPr>
          <w:rStyle w:val="VerbatimChar"/>
        </w:rPr>
        <w:t xml:space="preserve">          High   |   R-05    | R-01,R-03 |           |</w:t>
      </w:r>
      <w:r>
        <w:br/>
      </w:r>
      <w:r>
        <w:rPr>
          <w:rStyle w:val="VerbatimChar"/>
        </w:rPr>
        <w:t xml:space="preserve">                 +-----------+-----------+-----------+</w:t>
      </w:r>
      <w:r>
        <w:br/>
      </w:r>
      <w:r>
        <w:rPr>
          <w:rStyle w:val="VerbatimChar"/>
        </w:rPr>
        <w:t xml:space="preserve">P  Medium        | R-06,R-11,| R-02,R-12,|           |</w:t>
      </w:r>
      <w:r>
        <w:br/>
      </w:r>
      <w:r>
        <w:rPr>
          <w:rStyle w:val="VerbatimChar"/>
        </w:rPr>
        <w:t xml:space="preserve">r                | R-16      | R-14,R-15 |           |</w:t>
      </w:r>
      <w:r>
        <w:br/>
      </w:r>
      <w:r>
        <w:rPr>
          <w:rStyle w:val="VerbatimChar"/>
        </w:rPr>
        <w:t xml:space="preserve">o                +-----------+-----------+-----------+</w:t>
      </w:r>
      <w:r>
        <w:br/>
      </w:r>
      <w:r>
        <w:rPr>
          <w:rStyle w:val="VerbatimChar"/>
        </w:rPr>
        <w:t xml:space="preserve">b  Low           | R-09,R-13 | R-04,R-10 | R-07,R-08 |</w:t>
      </w:r>
      <w:r>
        <w:br/>
      </w:r>
      <w:r>
        <w:rPr>
          <w:rStyle w:val="VerbatimChar"/>
        </w:rPr>
        <w:t xml:space="preserve">                 +-----------+-----------+-----------+</w:t>
      </w:r>
    </w:p>
    <w:bookmarkStart w:id="77" w:name="X8a9cbefa93f87669d0032bfe89178d93440dcb5"/>
    <w:p>
      <w:pPr>
        <w:pStyle w:val="Heading3"/>
      </w:pPr>
      <w:r>
        <w:t xml:space="preserve">7.2.1 Priority Classification</w:t>
      </w:r>
    </w:p>
    <w:p>
      <w:pPr>
        <w:pStyle w:val="FirstParagraph"/>
      </w:pPr>
      <w:r>
        <w:t xml:space="preserve">Immediate action required (High Probability + High/Critical Impact):</w:t>
      </w:r>
    </w:p>
    <w:p>
      <w:pPr>
        <w:pStyle w:val="Compact"/>
        <w:numPr>
          <w:ilvl w:val="0"/>
          <w:numId w:val="1017"/>
        </w:numPr>
      </w:pPr>
      <w:r>
        <w:t xml:space="preserve">R-01: Drug interaction database licensing delay.</w:t>
      </w:r>
    </w:p>
    <w:p>
      <w:pPr>
        <w:pStyle w:val="Compact"/>
        <w:numPr>
          <w:ilvl w:val="0"/>
          <w:numId w:val="1017"/>
        </w:numPr>
      </w:pPr>
      <w:r>
        <w:t xml:space="preserve">R-03: Solo developer capacity.</w:t>
      </w:r>
    </w:p>
    <w:p>
      <w:pPr>
        <w:pStyle w:val="FirstParagraph"/>
      </w:pPr>
      <w:r>
        <w:t xml:space="preserve">Active monitoring and mitigation (Medium Probability + High Impact, or High Probability + Medium Impact):</w:t>
      </w:r>
    </w:p>
    <w:p>
      <w:pPr>
        <w:pStyle w:val="Compact"/>
        <w:numPr>
          <w:ilvl w:val="0"/>
          <w:numId w:val="1018"/>
        </w:numPr>
      </w:pPr>
      <w:r>
        <w:t xml:space="preserve">R-02: UMDPC software registration.</w:t>
      </w:r>
    </w:p>
    <w:p>
      <w:pPr>
        <w:pStyle w:val="Compact"/>
        <w:numPr>
          <w:ilvl w:val="0"/>
          <w:numId w:val="1018"/>
        </w:numPr>
      </w:pPr>
      <w:r>
        <w:t xml:space="preserve">R-05: Internet infrastructure.</w:t>
      </w:r>
    </w:p>
    <w:p>
      <w:pPr>
        <w:pStyle w:val="Compact"/>
        <w:numPr>
          <w:ilvl w:val="0"/>
          <w:numId w:val="1018"/>
        </w:numPr>
      </w:pPr>
      <w:r>
        <w:t xml:space="preserve">R-12: Customer churn from poor onboarding.</w:t>
      </w:r>
    </w:p>
    <w:p>
      <w:pPr>
        <w:pStyle w:val="Compact"/>
        <w:numPr>
          <w:ilvl w:val="0"/>
          <w:numId w:val="1018"/>
        </w:numPr>
      </w:pPr>
      <w:r>
        <w:t xml:space="preserve">R-14: DPPA 2019 compliance for AI data.</w:t>
      </w:r>
    </w:p>
    <w:p>
      <w:pPr>
        <w:pStyle w:val="Compact"/>
        <w:numPr>
          <w:ilvl w:val="0"/>
          <w:numId w:val="1018"/>
        </w:numPr>
      </w:pPr>
      <w:r>
        <w:t xml:space="preserve">R-15: Translation quality in Kiswahili/French.</w:t>
      </w:r>
    </w:p>
    <w:p>
      <w:pPr>
        <w:pStyle w:val="FirstParagraph"/>
      </w:pPr>
      <w:r>
        <w:t xml:space="preserve">Contingency planning (Low Probability + Critical Impact):</w:t>
      </w:r>
    </w:p>
    <w:p>
      <w:pPr>
        <w:pStyle w:val="Compact"/>
        <w:numPr>
          <w:ilvl w:val="0"/>
          <w:numId w:val="1019"/>
        </w:numPr>
      </w:pPr>
      <w:r>
        <w:t xml:space="preserve">R-07: Medication error from CDS failure.</w:t>
      </w:r>
    </w:p>
    <w:p>
      <w:pPr>
        <w:pStyle w:val="Compact"/>
        <w:numPr>
          <w:ilvl w:val="0"/>
          <w:numId w:val="1019"/>
        </w:numPr>
      </w:pPr>
      <w:r>
        <w:t xml:space="preserve">R-08: Data breach of patient records.</w:t>
      </w:r>
    </w:p>
    <w:p>
      <w:pPr>
        <w:pStyle w:val="FirstParagraph"/>
      </w:pPr>
      <w:r>
        <w:t xml:space="preserve">Monitor (Low Probability + High Impact, or Medium Probability + Medium Impact):</w:t>
      </w:r>
    </w:p>
    <w:p>
      <w:pPr>
        <w:pStyle w:val="Compact"/>
        <w:numPr>
          <w:ilvl w:val="0"/>
          <w:numId w:val="1020"/>
        </w:numPr>
      </w:pPr>
      <w:r>
        <w:t xml:space="preserve">R-04: ClinicMaster pivots to SaaS.</w:t>
      </w:r>
    </w:p>
    <w:p>
      <w:pPr>
        <w:pStyle w:val="Compact"/>
        <w:numPr>
          <w:ilvl w:val="0"/>
          <w:numId w:val="1020"/>
        </w:numPr>
      </w:pPr>
      <w:r>
        <w:t xml:space="preserve">R-06: NHIS API not published.</w:t>
      </w:r>
    </w:p>
    <w:p>
      <w:pPr>
        <w:pStyle w:val="Compact"/>
        <w:numPr>
          <w:ilvl w:val="0"/>
          <w:numId w:val="1020"/>
        </w:numPr>
      </w:pPr>
      <w:r>
        <w:t xml:space="preserve">R-09: OpenMRS community backlash.</w:t>
      </w:r>
    </w:p>
    <w:p>
      <w:pPr>
        <w:pStyle w:val="Compact"/>
        <w:numPr>
          <w:ilvl w:val="0"/>
          <w:numId w:val="1020"/>
        </w:numPr>
      </w:pPr>
      <w:r>
        <w:t xml:space="preserve">R-10: Uganda PDPA enforcement action.</w:t>
      </w:r>
    </w:p>
    <w:p>
      <w:pPr>
        <w:pStyle w:val="Compact"/>
        <w:numPr>
          <w:ilvl w:val="0"/>
          <w:numId w:val="1020"/>
        </w:numPr>
      </w:pPr>
      <w:r>
        <w:t xml:space="preserve">R-11: Mobile money API rate changes.</w:t>
      </w:r>
    </w:p>
    <w:p>
      <w:pPr>
        <w:pStyle w:val="Compact"/>
        <w:numPr>
          <w:ilvl w:val="0"/>
          <w:numId w:val="1020"/>
        </w:numPr>
      </w:pPr>
      <w:r>
        <w:t xml:space="preserve">R-13: AI provider API outage (clinical impact is Low; AI feature impact is High for the duration of the outage).</w:t>
      </w:r>
    </w:p>
    <w:p>
      <w:pPr>
        <w:pStyle w:val="Compact"/>
        <w:numPr>
          <w:ilvl w:val="0"/>
          <w:numId w:val="1020"/>
        </w:numPr>
      </w:pPr>
      <w:r>
        <w:t xml:space="preserve">R-16: AI false positives in Outbreak Early Warning.</w:t>
      </w:r>
    </w:p>
    <w:bookmarkEnd w:id="77"/>
    <w:bookmarkEnd w:id="78"/>
    <w:bookmarkEnd w:id="79"/>
    <w:bookmarkStart w:id="88" w:name="X62b8802b4238e1608cf5d4dfb0b7104f067c793"/>
    <w:p>
      <w:pPr>
        <w:pStyle w:val="Heading1"/>
      </w:pPr>
      <w:r>
        <w:t xml:space="preserve">8 Recommendation</w:t>
      </w:r>
    </w:p>
    <w:bookmarkStart w:id="80" w:name="X33053257cf7a4c69b18d53b26b1e0ef0b9bf19b"/>
    <w:p>
      <w:pPr>
        <w:pStyle w:val="Heading2"/>
      </w:pPr>
      <w:r>
        <w:t xml:space="preserve">8.1 Decision</w:t>
      </w:r>
    </w:p>
    <w:p>
      <w:pPr>
        <w:pStyle w:val="FirstParagraph"/>
      </w:pPr>
      <w:r>
        <w:rPr>
          <w:b/>
          <w:bCs/>
        </w:rPr>
        <w:t xml:space="preserve">Proceed with Phase 1 MVP development.</w:t>
      </w:r>
    </w:p>
    <w:p>
      <w:pPr>
        <w:pStyle w:val="BodyText"/>
      </w:pPr>
      <w:r>
        <w:t xml:space="preserve">The business case supports proceeding based on the following factors:</w:t>
      </w:r>
    </w:p>
    <w:p>
      <w:pPr>
        <w:pStyle w:val="Compact"/>
        <w:numPr>
          <w:ilvl w:val="0"/>
          <w:numId w:val="1021"/>
        </w:numPr>
      </w:pPr>
      <w:r>
        <w:rPr>
          <w:b/>
          <w:bCs/>
        </w:rPr>
        <w:t xml:space="preserve">Large addressable market:</w:t>
      </w:r>
      <w:r>
        <w:t xml:space="preserve"> </w:t>
      </w:r>
      <w:r>
        <w:t xml:space="preserve">Over 6,000 registered health facilities in Uganda alone, with an estimated TAM of UGX 20.9 billion (USD 5.6 million) per year.</w:t>
      </w:r>
    </w:p>
    <w:p>
      <w:pPr>
        <w:pStyle w:val="Compact"/>
        <w:numPr>
          <w:ilvl w:val="0"/>
          <w:numId w:val="1021"/>
        </w:numPr>
      </w:pPr>
      <w:r>
        <w:rPr>
          <w:b/>
          <w:bCs/>
        </w:rPr>
        <w:t xml:space="preserve">Low cash investment:</w:t>
      </w:r>
      <w:r>
        <w:t xml:space="preserve"> </w:t>
      </w:r>
      <w:r>
        <w:t xml:space="preserve">Phase 1 cash outlay of USD 3,315-12,350 (excluding developer opportunity cost), with operational break-even achievable by Month 7-9.</w:t>
      </w:r>
    </w:p>
    <w:p>
      <w:pPr>
        <w:pStyle w:val="Compact"/>
        <w:numPr>
          <w:ilvl w:val="0"/>
          <w:numId w:val="1021"/>
        </w:numPr>
      </w:pPr>
      <w:r>
        <w:rPr>
          <w:b/>
          <w:bCs/>
        </w:rPr>
        <w:t xml:space="preserve">Clear competitive gaps:</w:t>
      </w:r>
      <w:r>
        <w:t xml:space="preserve"> </w:t>
      </w:r>
      <w:r>
        <w:t xml:space="preserve">ClinicMaster lacks SaaS delivery, mobile money, offline-first, FHIR, and patient app. OpenMRS costs USD 35,000-130,000 over 3 years and lacks billing, insurance, HR, and payroll.</w:t>
      </w:r>
    </w:p>
    <w:p>
      <w:pPr>
        <w:pStyle w:val="Compact"/>
        <w:numPr>
          <w:ilvl w:val="0"/>
          <w:numId w:val="1021"/>
        </w:numPr>
      </w:pPr>
      <w:r>
        <w:rPr>
          <w:b/>
          <w:bCs/>
        </w:rPr>
        <w:t xml:space="preserve">Shared codebase advantage:</w:t>
      </w:r>
      <w:r>
        <w:t xml:space="preserve"> </w:t>
      </w:r>
      <w:r>
        <w:t xml:space="preserve">30-40% development effort reduction through architecture and component reuse from Academia Pro.</w:t>
      </w:r>
    </w:p>
    <w:p>
      <w:pPr>
        <w:pStyle w:val="Compact"/>
        <w:numPr>
          <w:ilvl w:val="0"/>
          <w:numId w:val="1021"/>
        </w:numPr>
      </w:pPr>
      <w:r>
        <w:rPr>
          <w:b/>
          <w:bCs/>
        </w:rPr>
        <w:t xml:space="preserve">Favourable unit economics:</w:t>
      </w:r>
      <w:r>
        <w:t xml:space="preserve"> </w:t>
      </w:r>
      <w:r>
        <w:t xml:space="preserve">Gross margin of 87-95% per facility across all subscription tiers.</w:t>
      </w:r>
    </w:p>
    <w:bookmarkEnd w:id="80"/>
    <w:bookmarkStart w:id="81" w:name="X70a96377e15091abf0e15f0d4051094e22e983b"/>
    <w:p>
      <w:pPr>
        <w:pStyle w:val="Heading2"/>
      </w:pPr>
      <w:r>
        <w:t xml:space="preserve">8.2 Go/No-Go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pPr>
            <w:r>
              <w:t xml:space="preserve">Threshold</w:t>
            </w:r>
          </w:p>
        </w:tc>
        <w:tc>
          <w:tcPr/>
          <w:p>
            <w:pPr>
              <w:pStyle w:val="Compact"/>
            </w:pPr>
            <w:r>
              <w:t xml:space="preserve">Measurement Method</w:t>
            </w:r>
          </w:p>
        </w:tc>
      </w:tr>
      <w:tr>
        <w:tc>
          <w:tcPr/>
          <w:p>
            <w:pPr>
              <w:pStyle w:val="Compact"/>
            </w:pPr>
            <w:r>
              <w:t xml:space="preserve">1</w:t>
            </w:r>
          </w:p>
        </w:tc>
        <w:tc>
          <w:tcPr/>
          <w:p>
            <w:pPr>
              <w:pStyle w:val="Compact"/>
            </w:pPr>
            <w:r>
              <w:t xml:space="preserve">All 7 HIGH gaps resolved before clinical development</w:t>
            </w:r>
          </w:p>
        </w:tc>
        <w:tc>
          <w:tcPr/>
          <w:p>
            <w:pPr>
              <w:pStyle w:val="Compact"/>
            </w:pPr>
            <w:r>
              <w:t xml:space="preserve">7/7 gaps documented as resolved in</w:t>
            </w:r>
            <w:r>
              <w:t xml:space="preserve"> </w:t>
            </w:r>
            <w:r>
              <w:rPr>
                <w:rStyle w:val="VerbatimChar"/>
              </w:rPr>
              <w:t xml:space="preserve">_context/gap-analysis.md</w:t>
            </w:r>
          </w:p>
        </w:tc>
        <w:tc>
          <w:tcPr/>
          <w:p>
            <w:pPr>
              <w:pStyle w:val="Compact"/>
            </w:pPr>
            <w:r>
              <w:t xml:space="preserve">Gap resolution review by Peter; each gap marked with resolution date, decision, and evidence</w:t>
            </w:r>
          </w:p>
        </w:tc>
      </w:tr>
      <w:tr>
        <w:tc>
          <w:tcPr/>
          <w:p>
            <w:pPr>
              <w:pStyle w:val="Compact"/>
            </w:pPr>
            <w:r>
              <w:t xml:space="preserve">2</w:t>
            </w:r>
          </w:p>
        </w:tc>
        <w:tc>
          <w:tcPr/>
          <w:p>
            <w:pPr>
              <w:pStyle w:val="Compact"/>
            </w:pPr>
            <w:r>
              <w:t xml:space="preserve">Drug interaction database licensed</w:t>
            </w:r>
          </w:p>
        </w:tc>
        <w:tc>
          <w:tcPr/>
          <w:p>
            <w:pPr>
              <w:pStyle w:val="Compact"/>
            </w:pPr>
            <w:r>
              <w:t xml:space="preserve">Valid licence agreement signed; database integrated into CDS engine</w:t>
            </w:r>
          </w:p>
        </w:tc>
        <w:tc>
          <w:tcPr/>
          <w:p>
            <w:pPr>
              <w:pStyle w:val="Compact"/>
            </w:pPr>
            <w:r>
              <w:t xml:space="preserve">Licence document on file; CDS engine returns correct alerts for 100 test drug pairs</w:t>
            </w:r>
          </w:p>
        </w:tc>
      </w:tr>
      <w:tr>
        <w:tc>
          <w:tcPr/>
          <w:p>
            <w:pPr>
              <w:pStyle w:val="Compact"/>
            </w:pPr>
            <w:r>
              <w:t xml:space="preserve">3</w:t>
            </w:r>
          </w:p>
        </w:tc>
        <w:tc>
          <w:tcPr/>
          <w:p>
            <w:pPr>
              <w:pStyle w:val="Compact"/>
            </w:pPr>
            <w:r>
              <w:t xml:space="preserve">Uganda PDPA legal review completed</w:t>
            </w:r>
          </w:p>
        </w:tc>
        <w:tc>
          <w:tcPr/>
          <w:p>
            <w:pPr>
              <w:pStyle w:val="Compact"/>
            </w:pPr>
            <w:r>
              <w:t xml:space="preserve">Written legal opinion from Uganda data protection lawyer covering consent categories, lawful basis, and breach notification</w:t>
            </w:r>
          </w:p>
        </w:tc>
        <w:tc>
          <w:tcPr/>
          <w:p>
            <w:pPr>
              <w:pStyle w:val="Compact"/>
            </w:pPr>
            <w:r>
              <w:t xml:space="preserve">Legal opinion document filed in project records; key findings incorporated into privacy policy and Terms of Service</w:t>
            </w:r>
          </w:p>
        </w:tc>
      </w:tr>
      <w:tr>
        <w:tc>
          <w:tcPr/>
          <w:p>
            <w:pPr>
              <w:pStyle w:val="Compact"/>
            </w:pPr>
            <w:r>
              <w:t xml:space="preserve">4</w:t>
            </w:r>
          </w:p>
        </w:tc>
        <w:tc>
          <w:tcPr/>
          <w:p>
            <w:pPr>
              <w:pStyle w:val="Compact"/>
            </w:pPr>
            <w:r>
              <w:t xml:space="preserve">Phase 1 MVP demonstrates 80% feature completion within budget</w:t>
            </w:r>
          </w:p>
        </w:tc>
        <w:tc>
          <w:tcPr/>
          <w:p>
            <w:pPr>
              <w:pStyle w:val="Compact"/>
            </w:pPr>
            <w:r>
              <w:t xml:space="preserve">80% of Phase 1 module scope (Section 9.2.1 of PRD) functional in staging environment; cash spend within 120% of budget estimate</w:t>
            </w:r>
          </w:p>
        </w:tc>
        <w:tc>
          <w:tcPr/>
          <w:p>
            <w:pPr>
              <w:pStyle w:val="Compact"/>
            </w:pPr>
            <w:r>
              <w:t xml:space="preserve">Feature checklist sign-off; expenditure tracking against Phase 1 budget of USD 3,315-12,350</w:t>
            </w:r>
          </w:p>
        </w:tc>
      </w:tr>
      <w:tr>
        <w:tc>
          <w:tcPr/>
          <w:p>
            <w:pPr>
              <w:pStyle w:val="Compact"/>
            </w:pPr>
            <w:r>
              <w:t xml:space="preserve">5</w:t>
            </w:r>
          </w:p>
        </w:tc>
        <w:tc>
          <w:tcPr/>
          <w:p>
            <w:pPr>
              <w:pStyle w:val="Compact"/>
            </w:pPr>
            <w:r>
              <w:t xml:space="preserve">First 3 pilot facilities onboarded within 2 months of launch</w:t>
            </w:r>
          </w:p>
        </w:tc>
        <w:tc>
          <w:tcPr/>
          <w:p>
            <w:pPr>
              <w:pStyle w:val="Compact"/>
            </w:pPr>
            <w:r>
              <w:t xml:space="preserve">3 private clinics in Kampala actively using Medic8 for daily operations within 60 days of production deployment</w:t>
            </w:r>
          </w:p>
        </w:tc>
        <w:tc>
          <w:tcPr/>
          <w:p>
            <w:pPr>
              <w:pStyle w:val="Compact"/>
            </w:pPr>
            <w:r>
              <w:t xml:space="preserve">Facility activity logs showing daily patient registrations, consultations, and billing transactions</w:t>
            </w:r>
          </w:p>
        </w:tc>
      </w:tr>
    </w:tbl>
    <w:bookmarkEnd w:id="81"/>
    <w:bookmarkStart w:id="82" w:name="X9f4f8786609c9cc2db2dbd1eadd235c5bbdf4a8"/>
    <w:p>
      <w:pPr>
        <w:pStyle w:val="Heading2"/>
      </w:pPr>
      <w:r>
        <w:t xml:space="preserve">8.3 Approval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Decision</w:t>
            </w:r>
          </w:p>
        </w:tc>
        <w:tc>
          <w:tcPr/>
          <w:p>
            <w:pPr>
              <w:pStyle w:val="Compact"/>
            </w:pPr>
            <w:r>
              <w:t xml:space="preserve">Date</w:t>
            </w:r>
          </w:p>
        </w:tc>
      </w:tr>
      <w:tr>
        <w:tc>
          <w:tcPr/>
          <w:p>
            <w:pPr>
              <w:pStyle w:val="Compact"/>
            </w:pPr>
            <w:r>
              <w:t xml:space="preserve">Owner / Developer</w:t>
            </w:r>
          </w:p>
        </w:tc>
        <w:tc>
          <w:tcPr/>
          <w:p>
            <w:pPr>
              <w:pStyle w:val="Compact"/>
            </w:pPr>
            <w:r>
              <w:t xml:space="preserve">Peter Bamuhigire -- Chwezi Core Systems</w:t>
            </w:r>
          </w:p>
        </w:tc>
        <w:tc>
          <w:tcPr/>
          <w:p>
            <w:pPr>
              <w:pStyle w:val="Compact"/>
            </w:pPr>
          </w:p>
        </w:tc>
        <w:tc>
          <w:tcPr/>
          <w:p>
            <w:pPr>
              <w:pStyle w:val="Compact"/>
            </w:pPr>
          </w:p>
        </w:tc>
      </w:tr>
      <w:tr>
        <w:tc>
          <w:tcPr/>
          <w:p>
            <w:pPr>
              <w:pStyle w:val="Compact"/>
            </w:pPr>
            <w:r>
              <w:t xml:space="preserve">Medical Advisor</w:t>
            </w:r>
          </w:p>
        </w:tc>
        <w:tc>
          <w:tcPr/>
          <w:p>
            <w:pPr>
              <w:pStyle w:val="Compact"/>
            </w:pPr>
            <w:r>
              <w:rPr>
                <w:rStyle w:val="VerbatimChar"/>
              </w:rPr>
              <w:t xml:space="preserve">[TBD -- practising clinician to validate CDS and clinical workflows]</w:t>
            </w:r>
          </w:p>
        </w:tc>
        <w:tc>
          <w:tcPr/>
          <w:p>
            <w:pPr>
              <w:pStyle w:val="Compact"/>
            </w:pPr>
          </w:p>
        </w:tc>
        <w:tc>
          <w:tcPr/>
          <w:p>
            <w:pPr>
              <w:pStyle w:val="Compact"/>
            </w:pPr>
          </w:p>
        </w:tc>
      </w:tr>
      <w:tr>
        <w:tc>
          <w:tcPr/>
          <w:p>
            <w:pPr>
              <w:pStyle w:val="Compact"/>
            </w:pPr>
            <w:r>
              <w:t xml:space="preserve">Legal Advisor</w:t>
            </w:r>
          </w:p>
        </w:tc>
        <w:tc>
          <w:tcPr/>
          <w:p>
            <w:pPr>
              <w:pStyle w:val="Compact"/>
            </w:pPr>
            <w:r>
              <w:rPr>
                <w:rStyle w:val="VerbatimChar"/>
              </w:rPr>
              <w:t xml:space="preserve">[TBD -- Uganda data protection lawyer for PDPA review]</w:t>
            </w:r>
          </w:p>
        </w:tc>
        <w:tc>
          <w:tcPr/>
          <w:p>
            <w:pPr>
              <w:pStyle w:val="Compact"/>
            </w:pPr>
          </w:p>
        </w:tc>
        <w:tc>
          <w:tcPr/>
          <w:p>
            <w:pPr>
              <w:pStyle w:val="Compact"/>
            </w:pPr>
          </w:p>
        </w:tc>
      </w:tr>
    </w:tbl>
    <w:bookmarkEnd w:id="82"/>
    <w:bookmarkStart w:id="87" w:name="Xf5db3bb65f89d7960a7033ac340ac43e3fe008e"/>
    <w:p>
      <w:pPr>
        <w:pStyle w:val="Heading2"/>
      </w:pPr>
      <w:r>
        <w:t xml:space="preserve">8.4 Pilot Programme</w:t>
      </w:r>
    </w:p>
    <w:bookmarkStart w:id="83" w:name="Xa8d1f7074b82ca37fdbb6f722141fbda086f5b5"/>
    <w:p>
      <w:pPr>
        <w:pStyle w:val="Heading3"/>
      </w:pPr>
      <w:r>
        <w:t xml:space="preserve">8.4.1 Scope</w:t>
      </w:r>
    </w:p>
    <w:p>
      <w:pPr>
        <w:pStyle w:val="FirstParagraph"/>
      </w:pPr>
      <w:r>
        <w:t xml:space="preserve">3 private clinics in Kampala for a 30-day pilot period. Pilot facilities will be selected based on the following criteria:</w:t>
      </w:r>
    </w:p>
    <w:p>
      <w:pPr>
        <w:pStyle w:val="Compact"/>
        <w:numPr>
          <w:ilvl w:val="0"/>
          <w:numId w:val="1022"/>
        </w:numPr>
      </w:pPr>
      <w:r>
        <w:t xml:space="preserve">Small to medium outpatient clinic with 1-5 consultation rooms</w:t>
      </w:r>
    </w:p>
    <w:p>
      <w:pPr>
        <w:pStyle w:val="Compact"/>
        <w:numPr>
          <w:ilvl w:val="0"/>
          <w:numId w:val="1022"/>
        </w:numPr>
      </w:pPr>
      <w:r>
        <w:t xml:space="preserve">Operating pharmacy and basic laboratory</w:t>
      </w:r>
    </w:p>
    <w:p>
      <w:pPr>
        <w:pStyle w:val="Compact"/>
        <w:numPr>
          <w:ilvl w:val="0"/>
          <w:numId w:val="1022"/>
        </w:numPr>
      </w:pPr>
      <w:r>
        <w:t xml:space="preserve">Currently using paper, Excel, or ClinicMaster</w:t>
      </w:r>
    </w:p>
    <w:p>
      <w:pPr>
        <w:pStyle w:val="Compact"/>
        <w:numPr>
          <w:ilvl w:val="0"/>
          <w:numId w:val="1022"/>
        </w:numPr>
      </w:pPr>
      <w:r>
        <w:t xml:space="preserve">Willing to run Medic8 in parallel with existing system for the pilot duration</w:t>
      </w:r>
    </w:p>
    <w:p>
      <w:pPr>
        <w:pStyle w:val="Compact"/>
        <w:numPr>
          <w:ilvl w:val="0"/>
          <w:numId w:val="1022"/>
        </w:numPr>
      </w:pPr>
      <w:r>
        <w:t xml:space="preserve">Clinic owner or manager available for weekly feedback sessions</w:t>
      </w:r>
    </w:p>
    <w:bookmarkEnd w:id="83"/>
    <w:bookmarkStart w:id="84" w:name="Xc85945c53bb5250e451ef926f6755cc9ca4347e"/>
    <w:p>
      <w:pPr>
        <w:pStyle w:val="Heading3"/>
      </w:pPr>
      <w:r>
        <w:t xml:space="preserve">8.4.2 Success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Threshold</w:t>
            </w:r>
          </w:p>
        </w:tc>
      </w:tr>
      <w:tr>
        <w:tc>
          <w:tcPr/>
          <w:p>
            <w:pPr>
              <w:pStyle w:val="Compact"/>
            </w:pPr>
            <w:r>
              <w:t xml:space="preserve">1</w:t>
            </w:r>
          </w:p>
        </w:tc>
        <w:tc>
          <w:tcPr/>
          <w:p>
            <w:pPr>
              <w:pStyle w:val="Compact"/>
            </w:pPr>
            <w:r>
              <w:t xml:space="preserve">Zero patient safety incidents attributable to system error</w:t>
            </w:r>
          </w:p>
        </w:tc>
        <w:tc>
          <w:tcPr/>
          <w:p>
            <w:pPr>
              <w:pStyle w:val="Compact"/>
            </w:pPr>
            <w:r>
              <w:t xml:space="preserve">0 incidents over 30 days</w:t>
            </w:r>
          </w:p>
        </w:tc>
      </w:tr>
      <w:tr>
        <w:tc>
          <w:tcPr/>
          <w:p>
            <w:pPr>
              <w:pStyle w:val="Compact"/>
            </w:pPr>
            <w:r>
              <w:t xml:space="preserve">2</w:t>
            </w:r>
          </w:p>
        </w:tc>
        <w:tc>
          <w:tcPr/>
          <w:p>
            <w:pPr>
              <w:pStyle w:val="Compact"/>
            </w:pPr>
            <w:r>
              <w:t xml:space="preserve">Feature utilisation rate</w:t>
            </w:r>
          </w:p>
        </w:tc>
        <w:tc>
          <w:tcPr/>
          <w:p>
            <w:pPr>
              <w:pStyle w:val="Compact"/>
            </w:pPr>
            <w:r>
              <w:t xml:space="preserve">Greater than 80% of Phase 1 modules actively used (patient registration, OPD, pharmacy, lab, billing)</w:t>
            </w:r>
          </w:p>
        </w:tc>
      </w:tr>
      <w:tr>
        <w:tc>
          <w:tcPr/>
          <w:p>
            <w:pPr>
              <w:pStyle w:val="Compact"/>
            </w:pPr>
            <w:r>
              <w:t xml:space="preserve">3</w:t>
            </w:r>
          </w:p>
        </w:tc>
        <w:tc>
          <w:tcPr/>
          <w:p>
            <w:pPr>
              <w:pStyle w:val="Compact"/>
            </w:pPr>
            <w:r>
              <w:t xml:space="preserve">Conversion intent</w:t>
            </w:r>
          </w:p>
        </w:tc>
        <w:tc>
          <w:tcPr/>
          <w:p>
            <w:pPr>
              <w:pStyle w:val="Compact"/>
            </w:pPr>
            <w:r>
              <w:t xml:space="preserve">Facility owner or manager expresses willingness to convert to paid subscription at pilot conclusion</w:t>
            </w:r>
          </w:p>
        </w:tc>
      </w:tr>
      <w:tr>
        <w:tc>
          <w:tcPr/>
          <w:p>
            <w:pPr>
              <w:pStyle w:val="Compact"/>
            </w:pPr>
            <w:r>
              <w:t xml:space="preserve">4</w:t>
            </w:r>
          </w:p>
        </w:tc>
        <w:tc>
          <w:tcPr/>
          <w:p>
            <w:pPr>
              <w:pStyle w:val="Compact"/>
            </w:pPr>
            <w:r>
              <w:t xml:space="preserve">Data integrity</w:t>
            </w:r>
          </w:p>
        </w:tc>
        <w:tc>
          <w:tcPr/>
          <w:p>
            <w:pPr>
              <w:pStyle w:val="Compact"/>
            </w:pPr>
            <w:r>
              <w:t xml:space="preserve">95% or higher cash billing reconciliation rate between Medic8 records and manual daily tally</w:t>
            </w:r>
          </w:p>
        </w:tc>
      </w:tr>
      <w:tr>
        <w:tc>
          <w:tcPr/>
          <w:p>
            <w:pPr>
              <w:pStyle w:val="Compact"/>
            </w:pPr>
            <w:r>
              <w:t xml:space="preserve">5</w:t>
            </w:r>
          </w:p>
        </w:tc>
        <w:tc>
          <w:tcPr/>
          <w:p>
            <w:pPr>
              <w:pStyle w:val="Compact"/>
            </w:pPr>
            <w:r>
              <w:t xml:space="preserve">Onboarding time</w:t>
            </w:r>
          </w:p>
        </w:tc>
        <w:tc>
          <w:tcPr/>
          <w:p>
            <w:pPr>
              <w:pStyle w:val="Compact"/>
            </w:pPr>
            <w:r>
              <w:t xml:space="preserve">Each facility onboarded within 4 hours from account creation to first patient registration</w:t>
            </w:r>
          </w:p>
        </w:tc>
      </w:tr>
      <w:tr>
        <w:tc>
          <w:tcPr/>
          <w:p>
            <w:pPr>
              <w:pStyle w:val="Compact"/>
            </w:pPr>
            <w:r>
              <w:t xml:space="preserve">6</w:t>
            </w:r>
          </w:p>
        </w:tc>
        <w:tc>
          <w:tcPr/>
          <w:p>
            <w:pPr>
              <w:pStyle w:val="Compact"/>
            </w:pPr>
            <w:r>
              <w:t xml:space="preserve">System availability</w:t>
            </w:r>
          </w:p>
        </w:tc>
        <w:tc>
          <w:tcPr/>
          <w:p>
            <w:pPr>
              <w:pStyle w:val="Compact"/>
            </w:pPr>
            <w:r>
              <w:t xml:space="preserve">99% uptime during pilot period (excluding scheduled maintenance windows communicated 24 hours in advance)</w:t>
            </w:r>
          </w:p>
        </w:tc>
      </w:tr>
    </w:tbl>
    <w:bookmarkEnd w:id="84"/>
    <w:bookmarkStart w:id="85" w:name="X43cecfcd694d53125628b081fd32fee1cf2bf5e"/>
    <w:p>
      <w:pPr>
        <w:pStyle w:val="Heading3"/>
      </w:pPr>
      <w:r>
        <w:t xml:space="preserve">8.4.3 Pilot Cost</w:t>
      </w:r>
    </w:p>
    <w:p>
      <w:pPr>
        <w:pStyle w:val="Compact"/>
        <w:numPr>
          <w:ilvl w:val="0"/>
          <w:numId w:val="1023"/>
        </w:numPr>
      </w:pPr>
      <w:r>
        <w:rPr>
          <w:b/>
          <w:bCs/>
        </w:rPr>
        <w:t xml:space="preserve">Subscription:</w:t>
      </w:r>
      <w:r>
        <w:t xml:space="preserve"> </w:t>
      </w:r>
      <w:r>
        <w:t xml:space="preserve">Free tier during the 30-day pilot period (no subscription charges to pilot facilities)</w:t>
      </w:r>
    </w:p>
    <w:p>
      <w:pPr>
        <w:pStyle w:val="Compact"/>
        <w:numPr>
          <w:ilvl w:val="0"/>
          <w:numId w:val="1023"/>
        </w:numPr>
      </w:pPr>
      <w:r>
        <w:rPr>
          <w:b/>
          <w:bCs/>
        </w:rPr>
        <w:t xml:space="preserve">Infrastructure:</w:t>
      </w:r>
      <w:r>
        <w:t xml:space="preserve"> </w:t>
      </w:r>
      <w:r>
        <w:t xml:space="preserve">Borne by Chwezi Core Systems; estimated at USD 50-100 for 3 facilities over 30 days (cloud hosting + SMS)</w:t>
      </w:r>
    </w:p>
    <w:p>
      <w:pPr>
        <w:pStyle w:val="Compact"/>
        <w:numPr>
          <w:ilvl w:val="0"/>
          <w:numId w:val="1023"/>
        </w:numPr>
      </w:pPr>
      <w:r>
        <w:rPr>
          <w:b/>
          <w:bCs/>
        </w:rPr>
        <w:t xml:space="preserve">Support:</w:t>
      </w:r>
      <w:r>
        <w:t xml:space="preserve"> </w:t>
      </w:r>
      <w:r>
        <w:t xml:space="preserve">Direct WhatsApp and on-site support from Peter during pilot period</w:t>
      </w:r>
    </w:p>
    <w:p>
      <w:pPr>
        <w:pStyle w:val="Compact"/>
        <w:numPr>
          <w:ilvl w:val="0"/>
          <w:numId w:val="1023"/>
        </w:numPr>
      </w:pPr>
      <w:r>
        <w:rPr>
          <w:b/>
          <w:bCs/>
        </w:rPr>
        <w:t xml:space="preserve">Training:</w:t>
      </w:r>
      <w:r>
        <w:t xml:space="preserve"> </w:t>
      </w:r>
      <w:r>
        <w:t xml:space="preserve">Video-based module training + 1 on-site training session per facility (2-4 hours)</w:t>
      </w:r>
    </w:p>
    <w:bookmarkEnd w:id="85"/>
    <w:bookmarkStart w:id="86" w:name="Xe8a5c229b5a1920d27a1f5c2a1da8bd87cade97"/>
    <w:p>
      <w:pPr>
        <w:pStyle w:val="Heading3"/>
      </w:pPr>
      <w:r>
        <w:t xml:space="preserve">8.4.4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Duration</w:t>
            </w:r>
          </w:p>
        </w:tc>
        <w:tc>
          <w:tcPr/>
          <w:p>
            <w:pPr>
              <w:pStyle w:val="Compact"/>
            </w:pPr>
            <w:r>
              <w:t xml:space="preserve">Notes</w:t>
            </w:r>
          </w:p>
        </w:tc>
      </w:tr>
      <w:tr>
        <w:tc>
          <w:tcPr/>
          <w:p>
            <w:pPr>
              <w:pStyle w:val="Compact"/>
            </w:pPr>
            <w:r>
              <w:t xml:space="preserve">Pilot facility recruitment</w:t>
            </w:r>
          </w:p>
        </w:tc>
        <w:tc>
          <w:tcPr/>
          <w:p>
            <w:pPr>
              <w:pStyle w:val="Compact"/>
            </w:pPr>
            <w:r>
              <w:t xml:space="preserve">2 weeks</w:t>
            </w:r>
          </w:p>
        </w:tc>
        <w:tc>
          <w:tcPr/>
          <w:p>
            <w:pPr>
              <w:pStyle w:val="Compact"/>
            </w:pPr>
            <w:r>
              <w:t xml:space="preserve">Identify and confirm 3 clinics in Kampala</w:t>
            </w:r>
          </w:p>
        </w:tc>
      </w:tr>
      <w:tr>
        <w:tc>
          <w:tcPr/>
          <w:p>
            <w:pPr>
              <w:pStyle w:val="Compact"/>
            </w:pPr>
            <w:r>
              <w:t xml:space="preserve">Onboarding and training</w:t>
            </w:r>
          </w:p>
        </w:tc>
        <w:tc>
          <w:tcPr/>
          <w:p>
            <w:pPr>
              <w:pStyle w:val="Compact"/>
            </w:pPr>
            <w:r>
              <w:t xml:space="preserve">1 week</w:t>
            </w:r>
          </w:p>
        </w:tc>
        <w:tc>
          <w:tcPr/>
          <w:p>
            <w:pPr>
              <w:pStyle w:val="Compact"/>
            </w:pPr>
            <w:r>
              <w:t xml:space="preserve">Staggered: 1 facility per day</w:t>
            </w:r>
          </w:p>
        </w:tc>
      </w:tr>
      <w:tr>
        <w:tc>
          <w:tcPr/>
          <w:p>
            <w:pPr>
              <w:pStyle w:val="Compact"/>
            </w:pPr>
            <w:r>
              <w:t xml:space="preserve">Parallel-run period</w:t>
            </w:r>
          </w:p>
        </w:tc>
        <w:tc>
          <w:tcPr/>
          <w:p>
            <w:pPr>
              <w:pStyle w:val="Compact"/>
            </w:pPr>
            <w:r>
              <w:t xml:space="preserve">30 days</w:t>
            </w:r>
          </w:p>
        </w:tc>
        <w:tc>
          <w:tcPr/>
          <w:p>
            <w:pPr>
              <w:pStyle w:val="Compact"/>
            </w:pPr>
            <w:r>
              <w:t xml:space="preserve">Medic8 runs alongside existing system</w:t>
            </w:r>
          </w:p>
        </w:tc>
      </w:tr>
      <w:tr>
        <w:tc>
          <w:tcPr/>
          <w:p>
            <w:pPr>
              <w:pStyle w:val="Compact"/>
            </w:pPr>
            <w:r>
              <w:t xml:space="preserve">Weekly feedback sessions</w:t>
            </w:r>
          </w:p>
        </w:tc>
        <w:tc>
          <w:tcPr/>
          <w:p>
            <w:pPr>
              <w:pStyle w:val="Compact"/>
            </w:pPr>
            <w:r>
              <w:t xml:space="preserve">4 sessions</w:t>
            </w:r>
          </w:p>
        </w:tc>
        <w:tc>
          <w:tcPr/>
          <w:p>
            <w:pPr>
              <w:pStyle w:val="Compact"/>
            </w:pPr>
            <w:r>
              <w:t xml:space="preserve">Structured feedback collection per facility</w:t>
            </w:r>
          </w:p>
        </w:tc>
      </w:tr>
      <w:tr>
        <w:tc>
          <w:tcPr/>
          <w:p>
            <w:pPr>
              <w:pStyle w:val="Compact"/>
            </w:pPr>
            <w:r>
              <w:t xml:space="preserve">Pilot evaluation</w:t>
            </w:r>
          </w:p>
        </w:tc>
        <w:tc>
          <w:tcPr/>
          <w:p>
            <w:pPr>
              <w:pStyle w:val="Compact"/>
            </w:pPr>
            <w:r>
              <w:t xml:space="preserve">1 week</w:t>
            </w:r>
          </w:p>
        </w:tc>
        <w:tc>
          <w:tcPr/>
          <w:p>
            <w:pPr>
              <w:pStyle w:val="Compact"/>
            </w:pPr>
            <w:r>
              <w:t xml:space="preserve">Assess against success criteria</w:t>
            </w:r>
          </w:p>
        </w:tc>
      </w:tr>
      <w:tr>
        <w:tc>
          <w:tcPr/>
          <w:p>
            <w:pPr>
              <w:pStyle w:val="Compact"/>
            </w:pPr>
            <w:r>
              <w:t xml:space="preserve">Go/no-go decision for commercial launch</w:t>
            </w:r>
          </w:p>
        </w:tc>
        <w:tc>
          <w:tcPr/>
          <w:p>
            <w:pPr>
              <w:pStyle w:val="Compact"/>
            </w:pPr>
            <w:r>
              <w:t xml:space="preserve">Day 45</w:t>
            </w:r>
          </w:p>
        </w:tc>
        <w:tc>
          <w:tcPr/>
          <w:p>
            <w:pPr>
              <w:pStyle w:val="Compact"/>
            </w:pPr>
            <w:r>
              <w:t xml:space="preserve">Based on pilot evaluation results</w:t>
            </w:r>
          </w:p>
        </w:tc>
      </w:tr>
    </w:tbl>
    <w:p>
      <w:pPr>
        <w:pStyle w:val="BodyText"/>
      </w:pPr>
      <w:r>
        <w:rPr>
          <w:b/>
          <w:bCs/>
        </w:rPr>
        <w:t xml:space="preserve">Total pilot duration:</w:t>
      </w:r>
      <w:r>
        <w:t xml:space="preserve"> </w:t>
      </w:r>
      <w:r>
        <w:t xml:space="preserve">45 days from recruitment start to go/no-go decision.</w:t>
      </w:r>
    </w:p>
    <w:bookmarkEnd w:id="86"/>
    <w:bookmarkEnd w:id="87"/>
    <w:bookmarkEnd w:id="8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2026-04-17T06:31:33Z</dcterms:created>
  <dcterms:modified xsi:type="dcterms:W3CDTF">2026-04-17T06:31:33Z</dcterms:modified>
</cp:coreProperties>
</file>

<file path=docProps/custom.xml><?xml version="1.0" encoding="utf-8"?>
<Properties xmlns="http://schemas.openxmlformats.org/officeDocument/2006/custom-properties" xmlns:vt="http://schemas.openxmlformats.org/officeDocument/2006/docPropsVTypes"/>
</file>