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rbac-permission-matrix--medic8"/>
    <w:p>
      <w:pPr>
        <w:pStyle w:val="Heading1"/>
      </w:pPr>
      <w:r>
        <w:t xml:space="preserve">RBAC Permission Matrix — Medic8</w:t>
      </w:r>
    </w:p>
    <w:p>
      <w:pPr>
        <w:pStyle w:val="BlockText"/>
      </w:pPr>
      <w:r>
        <w:t xml:space="preserve">This document defines the complete Role-Based Access Control (RBAC) permission matrix for the Medic8 multi-tenant SaaS healthcare management system. It covers all 18 built-in roles across all platform modules. This matrix is the authoritative reference for middleware, policy, and data-access-layer implementation.</w:t>
      </w:r>
    </w:p>
    <w:p>
      <w:pPr>
        <w:pStyle w:val="BlockText"/>
      </w:pPr>
      <w:r>
        <w:rPr>
          <w:b/>
          <w:bCs/>
        </w:rPr>
        <w:t xml:space="preserve">Standards:</w:t>
      </w:r>
      <w:r>
        <w:t xml:space="preserve"> </w:t>
      </w:r>
      <w:r>
        <w:t xml:space="preserve">IEEE 29148-2018 (stakeholder requirements traceability), PMBOK 7th Edition (stakeholder engagement assessment matrix).</w:t>
      </w:r>
    </w:p>
    <w:p>
      <w:pPr>
        <w:pStyle w:val="BlockText"/>
      </w:pPr>
      <w:r>
        <w:rPr>
          <w:b/>
          <w:bCs/>
        </w:rPr>
        <w:t xml:space="preserve">Permission Symbols:</w:t>
      </w:r>
    </w:p>
    <w:p>
      <w:pPr>
        <w:pStyle w:val="Compact"/>
        <w:numPr>
          <w:ilvl w:val="0"/>
          <w:numId w:val="1001"/>
        </w:numPr>
      </w:pPr>
      <w:r>
        <w:t xml:space="preserve">C = Create</w:t>
      </w:r>
    </w:p>
    <w:p>
      <w:pPr>
        <w:pStyle w:val="Compact"/>
        <w:numPr>
          <w:ilvl w:val="0"/>
          <w:numId w:val="1001"/>
        </w:numPr>
      </w:pPr>
      <w:r>
        <w:t xml:space="preserve">R = Read</w:t>
      </w:r>
    </w:p>
    <w:p>
      <w:pPr>
        <w:pStyle w:val="Compact"/>
        <w:numPr>
          <w:ilvl w:val="0"/>
          <w:numId w:val="1001"/>
        </w:numPr>
      </w:pPr>
      <w:r>
        <w:t xml:space="preserve">U = Update</w:t>
      </w:r>
    </w:p>
    <w:p>
      <w:pPr>
        <w:pStyle w:val="Compact"/>
        <w:numPr>
          <w:ilvl w:val="0"/>
          <w:numId w:val="1001"/>
        </w:numPr>
      </w:pPr>
      <w:r>
        <w:t xml:space="preserve">D = Delete</w:t>
      </w:r>
    </w:p>
    <w:p>
      <w:pPr>
        <w:pStyle w:val="Compact"/>
        <w:numPr>
          <w:ilvl w:val="0"/>
          <w:numId w:val="1001"/>
        </w:numPr>
      </w:pPr>
      <w:r>
        <w:t xml:space="preserve">— = No access</w:t>
      </w:r>
    </w:p>
    <w:p>
      <w:pPr>
        <w:pStyle w:val="Compact"/>
        <w:numPr>
          <w:ilvl w:val="0"/>
          <w:numId w:val="1001"/>
        </w:numPr>
      </w:pPr>
      <w:r>
        <w:t xml:space="preserve">R* = Read with restrictions (Attribute-Based Access Control rules apply; see Section 3)</w:t>
      </w:r>
    </w:p>
    <w:p>
      <w:r>
        <w:pict>
          <v:rect style="width:0;height:1.5pt" o:hralign="center" o:hrstd="t" o:hr="t"/>
        </w:pict>
      </w:r>
    </w:p>
    <w:bookmarkStart w:id="19" w:name="section-1-role-definitions"/>
    <w:p>
      <w:pPr>
        <w:pStyle w:val="Heading2"/>
      </w:pPr>
      <w:r>
        <w:t xml:space="preserve">Section 1: Role Definitions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Role Code</w:t>
            </w:r>
          </w:p>
        </w:tc>
        <w:tc>
          <w:tcPr/>
          <w:p>
            <w:pPr>
              <w:pStyle w:val="Compact"/>
            </w:pPr>
            <w:r>
              <w:t xml:space="preserve">Role Name</w:t>
            </w:r>
          </w:p>
        </w:tc>
        <w:tc>
          <w:tcPr/>
          <w:p>
            <w:pPr>
              <w:pStyle w:val="Compact"/>
            </w:pPr>
            <w:r>
              <w:t xml:space="preserve">Description</w:t>
            </w:r>
          </w:p>
        </w:tc>
        <w:tc>
          <w:tcPr/>
          <w:p>
            <w:pPr>
              <w:pStyle w:val="Compact"/>
            </w:pPr>
            <w:r>
              <w:t xml:space="preserve">Clinical Access</w:t>
            </w:r>
          </w:p>
        </w:tc>
        <w:tc>
          <w:tcPr/>
          <w:p>
            <w:pPr>
              <w:pStyle w:val="Compact"/>
            </w:pPr>
            <w:r>
              <w:t xml:space="preserve">Financial Access</w:t>
            </w:r>
          </w:p>
        </w:tc>
        <w:tc>
          <w:tcPr/>
          <w:p>
            <w:pPr>
              <w:pStyle w:val="Compact"/>
            </w:pPr>
            <w:r>
              <w:t xml:space="preserve">Typical Count per Facility</w:t>
            </w:r>
          </w:p>
        </w:tc>
      </w:tr>
      <w:tr>
        <w:tc>
          <w:tcPr/>
          <w:p>
            <w:pPr>
              <w:pStyle w:val="Compact"/>
            </w:pPr>
            <w:r>
              <w:t xml:space="preserve">1</w:t>
            </w:r>
          </w:p>
        </w:tc>
        <w:tc>
          <w:tcPr/>
          <w:p>
            <w:pPr>
              <w:pStyle w:val="Compact"/>
            </w:pPr>
            <w:r>
              <w:rPr>
                <w:rStyle w:val="VerbatimChar"/>
              </w:rPr>
              <w:t xml:space="preserve">SA</w:t>
            </w:r>
          </w:p>
        </w:tc>
        <w:tc>
          <w:tcPr/>
          <w:p>
            <w:pPr>
              <w:pStyle w:val="Compact"/>
            </w:pPr>
            <w:r>
              <w:t xml:space="preserve">Super Admin</w:t>
            </w:r>
          </w:p>
        </w:tc>
        <w:tc>
          <w:tcPr/>
          <w:p>
            <w:pPr>
              <w:pStyle w:val="Compact"/>
            </w:pPr>
            <w:r>
              <w:t xml:space="preserve">Platform operator (Chwezi Core Systems). Full access across all tenants, global configuration, billing engine, and platform monitoring.</w:t>
            </w:r>
          </w:p>
        </w:tc>
        <w:tc>
          <w:tcPr/>
          <w:p>
            <w:pPr>
              <w:pStyle w:val="Compact"/>
            </w:pPr>
            <w:r>
              <w:t xml:space="preserve">Full</w:t>
            </w:r>
          </w:p>
        </w:tc>
        <w:tc>
          <w:tcPr/>
          <w:p>
            <w:pPr>
              <w:pStyle w:val="Compact"/>
            </w:pPr>
            <w:r>
              <w:t xml:space="preserve">Full</w:t>
            </w:r>
          </w:p>
        </w:tc>
        <w:tc>
          <w:tcPr/>
          <w:p>
            <w:pPr>
              <w:pStyle w:val="Compact"/>
            </w:pPr>
            <w:r>
              <w:t xml:space="preserve">1-3 (platform-wide)</w:t>
            </w:r>
          </w:p>
        </w:tc>
      </w:tr>
      <w:tr>
        <w:tc>
          <w:tcPr/>
          <w:p>
            <w:pPr>
              <w:pStyle w:val="Compact"/>
            </w:pPr>
            <w:r>
              <w:t xml:space="preserve">2</w:t>
            </w:r>
          </w:p>
        </w:tc>
        <w:tc>
          <w:tcPr/>
          <w:p>
            <w:pPr>
              <w:pStyle w:val="Compact"/>
            </w:pPr>
            <w:r>
              <w:rPr>
                <w:rStyle w:val="VerbatimChar"/>
              </w:rPr>
              <w:t xml:space="preserve">FA</w:t>
            </w:r>
          </w:p>
        </w:tc>
        <w:tc>
          <w:tcPr/>
          <w:p>
            <w:pPr>
              <w:pStyle w:val="Compact"/>
            </w:pPr>
            <w:r>
              <w:t xml:space="preserve">Facility Admin</w:t>
            </w:r>
          </w:p>
        </w:tc>
        <w:tc>
          <w:tcPr/>
          <w:p>
            <w:pPr>
              <w:pStyle w:val="Compact"/>
            </w:pPr>
            <w:r>
              <w:t xml:space="preserve">Facility-level administrator or Medical Director. Manages all modules, staff, configuration, and audit trail within a single tenant.</w:t>
            </w:r>
          </w:p>
        </w:tc>
        <w:tc>
          <w:tcPr/>
          <w:p>
            <w:pPr>
              <w:pStyle w:val="Compact"/>
            </w:pPr>
            <w:r>
              <w:t xml:space="preserve">Full</w:t>
            </w:r>
          </w:p>
        </w:tc>
        <w:tc>
          <w:tcPr/>
          <w:p>
            <w:pPr>
              <w:pStyle w:val="Compact"/>
            </w:pPr>
            <w:r>
              <w:t xml:space="preserve">Full</w:t>
            </w:r>
          </w:p>
        </w:tc>
        <w:tc>
          <w:tcPr/>
          <w:p>
            <w:pPr>
              <w:pStyle w:val="Compact"/>
            </w:pPr>
            <w:r>
              <w:t xml:space="preserve">1-2</w:t>
            </w:r>
          </w:p>
        </w:tc>
      </w:tr>
      <w:tr>
        <w:tc>
          <w:tcPr/>
          <w:p>
            <w:pPr>
              <w:pStyle w:val="Compact"/>
            </w:pPr>
            <w:r>
              <w:t xml:space="preserve">3</w:t>
            </w:r>
          </w:p>
        </w:tc>
        <w:tc>
          <w:tcPr/>
          <w:p>
            <w:pPr>
              <w:pStyle w:val="Compact"/>
            </w:pPr>
            <w:r>
              <w:rPr>
                <w:rStyle w:val="VerbatimChar"/>
              </w:rPr>
              <w:t xml:space="preserve">DR</w:t>
            </w:r>
          </w:p>
        </w:tc>
        <w:tc>
          <w:tcPr/>
          <w:p>
            <w:pPr>
              <w:pStyle w:val="Compact"/>
            </w:pPr>
            <w:r>
              <w:t xml:space="preserve">Doctor / Physician</w:t>
            </w:r>
          </w:p>
        </w:tc>
        <w:tc>
          <w:tcPr/>
          <w:p>
            <w:pPr>
              <w:pStyle w:val="Compact"/>
            </w:pPr>
            <w:r>
              <w:t xml:space="preserve">Licensed medical practitioner. Full clinical access for OPD and IPD within the assigned facility. Unrestricted prescribing authority.</w:t>
            </w:r>
          </w:p>
        </w:tc>
        <w:tc>
          <w:tcPr/>
          <w:p>
            <w:pPr>
              <w:pStyle w:val="Compact"/>
            </w:pPr>
            <w:r>
              <w:t xml:space="preserve">Full</w:t>
            </w:r>
          </w:p>
        </w:tc>
        <w:tc>
          <w:tcPr/>
          <w:p>
            <w:pPr>
              <w:pStyle w:val="Compact"/>
            </w:pPr>
            <w:r>
              <w:t xml:space="preserve">None</w:t>
            </w:r>
          </w:p>
        </w:tc>
        <w:tc>
          <w:tcPr/>
          <w:p>
            <w:pPr>
              <w:pStyle w:val="Compact"/>
            </w:pPr>
            <w:r>
              <w:t xml:space="preserve">2-50</w:t>
            </w:r>
          </w:p>
        </w:tc>
      </w:tr>
      <w:tr>
        <w:tc>
          <w:tcPr/>
          <w:p>
            <w:pPr>
              <w:pStyle w:val="Compact"/>
            </w:pPr>
            <w:r>
              <w:t xml:space="preserve">4</w:t>
            </w:r>
          </w:p>
        </w:tc>
        <w:tc>
          <w:tcPr/>
          <w:p>
            <w:pPr>
              <w:pStyle w:val="Compact"/>
            </w:pPr>
            <w:r>
              <w:rPr>
                <w:rStyle w:val="VerbatimChar"/>
              </w:rPr>
              <w:t xml:space="preserve">CO</w:t>
            </w:r>
          </w:p>
        </w:tc>
        <w:tc>
          <w:tcPr/>
          <w:p>
            <w:pPr>
              <w:pStyle w:val="Compact"/>
            </w:pPr>
            <w:r>
              <w:t xml:space="preserve">Clinical Officer</w:t>
            </w:r>
          </w:p>
        </w:tc>
        <w:tc>
          <w:tcPr/>
          <w:p>
            <w:pPr>
              <w:pStyle w:val="Compact"/>
            </w:pPr>
            <w:r>
              <w:t xml:space="preserve">Mid-level clinical practitioner. Same clinical scope as Doctor but with restricted prescribing authority per Uganda Allied Health Professionals Council regulations.</w:t>
            </w:r>
          </w:p>
        </w:tc>
        <w:tc>
          <w:tcPr/>
          <w:p>
            <w:pPr>
              <w:pStyle w:val="Compact"/>
            </w:pPr>
            <w:r>
              <w:t xml:space="preserve">Full</w:t>
            </w:r>
          </w:p>
        </w:tc>
        <w:tc>
          <w:tcPr/>
          <w:p>
            <w:pPr>
              <w:pStyle w:val="Compact"/>
            </w:pPr>
            <w:r>
              <w:t xml:space="preserve">None</w:t>
            </w:r>
          </w:p>
        </w:tc>
        <w:tc>
          <w:tcPr/>
          <w:p>
            <w:pPr>
              <w:pStyle w:val="Compact"/>
            </w:pPr>
            <w:r>
              <w:t xml:space="preserve">2-20</w:t>
            </w:r>
          </w:p>
        </w:tc>
      </w:tr>
      <w:tr>
        <w:tc>
          <w:tcPr/>
          <w:p>
            <w:pPr>
              <w:pStyle w:val="Compact"/>
            </w:pPr>
            <w:r>
              <w:t xml:space="preserve">5</w:t>
            </w:r>
          </w:p>
        </w:tc>
        <w:tc>
          <w:tcPr/>
          <w:p>
            <w:pPr>
              <w:pStyle w:val="Compact"/>
            </w:pPr>
            <w:r>
              <w:rPr>
                <w:rStyle w:val="VerbatimChar"/>
              </w:rPr>
              <w:t xml:space="preserve">NU</w:t>
            </w:r>
          </w:p>
        </w:tc>
        <w:tc>
          <w:tcPr/>
          <w:p>
            <w:pPr>
              <w:pStyle w:val="Compact"/>
            </w:pPr>
            <w:r>
              <w:t xml:space="preserve">Nurse / Midwife</w:t>
            </w:r>
          </w:p>
        </w:tc>
        <w:tc>
          <w:tcPr/>
          <w:p>
            <w:pPr>
              <w:pStyle w:val="Compact"/>
            </w:pPr>
            <w:r>
              <w:t xml:space="preserve">Nursing and midwifery clinical documentation. Triage, vital signs, drug administration (MAR), maternity/ANC documentation, immunisation. Cannot prescribe.</w:t>
            </w:r>
          </w:p>
        </w:tc>
        <w:tc>
          <w:tcPr/>
          <w:p>
            <w:pPr>
              <w:pStyle w:val="Compact"/>
            </w:pPr>
            <w:r>
              <w:t xml:space="preserve">Limited</w:t>
            </w:r>
          </w:p>
        </w:tc>
        <w:tc>
          <w:tcPr/>
          <w:p>
            <w:pPr>
              <w:pStyle w:val="Compact"/>
            </w:pPr>
            <w:r>
              <w:t xml:space="preserve">None</w:t>
            </w:r>
          </w:p>
        </w:tc>
        <w:tc>
          <w:tcPr/>
          <w:p>
            <w:pPr>
              <w:pStyle w:val="Compact"/>
            </w:pPr>
            <w:r>
              <w:t xml:space="preserve">5-100</w:t>
            </w:r>
          </w:p>
        </w:tc>
      </w:tr>
      <w:tr>
        <w:tc>
          <w:tcPr/>
          <w:p>
            <w:pPr>
              <w:pStyle w:val="Compact"/>
            </w:pPr>
            <w:r>
              <w:t xml:space="preserve">6</w:t>
            </w:r>
          </w:p>
        </w:tc>
        <w:tc>
          <w:tcPr/>
          <w:p>
            <w:pPr>
              <w:pStyle w:val="Compact"/>
            </w:pPr>
            <w:r>
              <w:rPr>
                <w:rStyle w:val="VerbatimChar"/>
              </w:rPr>
              <w:t xml:space="preserve">PH</w:t>
            </w:r>
          </w:p>
        </w:tc>
        <w:tc>
          <w:tcPr/>
          <w:p>
            <w:pPr>
              <w:pStyle w:val="Compact"/>
            </w:pPr>
            <w:r>
              <w:t xml:space="preserve">Pharmacist</w:t>
            </w:r>
          </w:p>
        </w:tc>
        <w:tc>
          <w:tcPr/>
          <w:p>
            <w:pPr>
              <w:pStyle w:val="Compact"/>
            </w:pPr>
            <w:r>
              <w:t xml:space="preserve">Pharmacy operations: dispensing, stock management, drug interaction review, narcotic register, formulary management.</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7</w:t>
            </w:r>
          </w:p>
        </w:tc>
        <w:tc>
          <w:tcPr/>
          <w:p>
            <w:pPr>
              <w:pStyle w:val="Compact"/>
            </w:pPr>
            <w:r>
              <w:rPr>
                <w:rStyle w:val="VerbatimChar"/>
              </w:rPr>
              <w:t xml:space="preserve">LT</w:t>
            </w:r>
          </w:p>
        </w:tc>
        <w:tc>
          <w:tcPr/>
          <w:p>
            <w:pPr>
              <w:pStyle w:val="Compact"/>
            </w:pPr>
            <w:r>
              <w:t xml:space="preserve">Lab Technician</w:t>
            </w:r>
          </w:p>
        </w:tc>
        <w:tc>
          <w:tcPr/>
          <w:p>
            <w:pPr>
              <w:pStyle w:val="Compact"/>
            </w:pPr>
            <w:r>
              <w:t xml:space="preserve">Laboratory operations: sample collection, result entry, quality control, critical value alerting, analyser interface management.</w:t>
            </w:r>
          </w:p>
        </w:tc>
        <w:tc>
          <w:tcPr/>
          <w:p>
            <w:pPr>
              <w:pStyle w:val="Compact"/>
            </w:pPr>
            <w:r>
              <w:t xml:space="preserve">Limited</w:t>
            </w:r>
          </w:p>
        </w:tc>
        <w:tc>
          <w:tcPr/>
          <w:p>
            <w:pPr>
              <w:pStyle w:val="Compact"/>
            </w:pPr>
            <w:r>
              <w:t xml:space="preserve">None</w:t>
            </w:r>
          </w:p>
        </w:tc>
        <w:tc>
          <w:tcPr/>
          <w:p>
            <w:pPr>
              <w:pStyle w:val="Compact"/>
            </w:pPr>
            <w:r>
              <w:t xml:space="preserve">1-10</w:t>
            </w:r>
          </w:p>
        </w:tc>
      </w:tr>
      <w:tr>
        <w:tc>
          <w:tcPr/>
          <w:p>
            <w:pPr>
              <w:pStyle w:val="Compact"/>
            </w:pPr>
            <w:r>
              <w:t xml:space="preserve">8</w:t>
            </w:r>
          </w:p>
        </w:tc>
        <w:tc>
          <w:tcPr/>
          <w:p>
            <w:pPr>
              <w:pStyle w:val="Compact"/>
            </w:pPr>
            <w:r>
              <w:rPr>
                <w:rStyle w:val="VerbatimChar"/>
              </w:rPr>
              <w:t xml:space="preserve">RG</w:t>
            </w:r>
          </w:p>
        </w:tc>
        <w:tc>
          <w:tcPr/>
          <w:p>
            <w:pPr>
              <w:pStyle w:val="Compact"/>
            </w:pPr>
            <w:r>
              <w:t xml:space="preserve">Radiographer</w:t>
            </w:r>
          </w:p>
        </w:tc>
        <w:tc>
          <w:tcPr/>
          <w:p>
            <w:pPr>
              <w:pStyle w:val="Compact"/>
            </w:pPr>
            <w:r>
              <w:t xml:space="preserve">Radiology operations: worklist management, report entry, image upload, PACS interaction.</w:t>
            </w:r>
          </w:p>
        </w:tc>
        <w:tc>
          <w:tcPr/>
          <w:p>
            <w:pPr>
              <w:pStyle w:val="Compact"/>
            </w:pPr>
            <w:r>
              <w:t xml:space="preserve">Limited</w:t>
            </w:r>
          </w:p>
        </w:tc>
        <w:tc>
          <w:tcPr/>
          <w:p>
            <w:pPr>
              <w:pStyle w:val="Compact"/>
            </w:pPr>
            <w:r>
              <w:t xml:space="preserve">None</w:t>
            </w:r>
          </w:p>
        </w:tc>
        <w:tc>
          <w:tcPr/>
          <w:p>
            <w:pPr>
              <w:pStyle w:val="Compact"/>
            </w:pPr>
            <w:r>
              <w:t xml:space="preserve">1-5</w:t>
            </w:r>
          </w:p>
        </w:tc>
      </w:tr>
      <w:tr>
        <w:tc>
          <w:tcPr/>
          <w:p>
            <w:pPr>
              <w:pStyle w:val="Compact"/>
            </w:pPr>
            <w:r>
              <w:t xml:space="preserve">9</w:t>
            </w:r>
          </w:p>
        </w:tc>
        <w:tc>
          <w:tcPr/>
          <w:p>
            <w:pPr>
              <w:pStyle w:val="Compact"/>
            </w:pPr>
            <w:r>
              <w:rPr>
                <w:rStyle w:val="VerbatimChar"/>
              </w:rPr>
              <w:t xml:space="preserve">RE</w:t>
            </w:r>
          </w:p>
        </w:tc>
        <w:tc>
          <w:tcPr/>
          <w:p>
            <w:pPr>
              <w:pStyle w:val="Compact"/>
            </w:pPr>
            <w:r>
              <w:t xml:space="preserve">Receptionist</w:t>
            </w:r>
          </w:p>
        </w:tc>
        <w:tc>
          <w:tcPr/>
          <w:p>
            <w:pPr>
              <w:pStyle w:val="Compact"/>
            </w:pPr>
            <w:r>
              <w:t xml:space="preserve">Patient registration, appointment booking, queue management, file request submission. No clinical data entry.</w:t>
            </w:r>
          </w:p>
        </w:tc>
        <w:tc>
          <w:tcPr/>
          <w:p>
            <w:pPr>
              <w:pStyle w:val="Compact"/>
            </w:pPr>
            <w:r>
              <w:t xml:space="preserve">None</w:t>
            </w:r>
          </w:p>
        </w:tc>
        <w:tc>
          <w:tcPr/>
          <w:p>
            <w:pPr>
              <w:pStyle w:val="Compact"/>
            </w:pPr>
            <w:r>
              <w:t xml:space="preserve">None</w:t>
            </w:r>
          </w:p>
        </w:tc>
        <w:tc>
          <w:tcPr/>
          <w:p>
            <w:pPr>
              <w:pStyle w:val="Compact"/>
            </w:pPr>
            <w:r>
              <w:t xml:space="preserve">1-5</w:t>
            </w:r>
          </w:p>
        </w:tc>
      </w:tr>
      <w:tr>
        <w:tc>
          <w:tcPr/>
          <w:p>
            <w:pPr>
              <w:pStyle w:val="Compact"/>
            </w:pPr>
            <w:r>
              <w:t xml:space="preserve">10</w:t>
            </w:r>
          </w:p>
        </w:tc>
        <w:tc>
          <w:tcPr/>
          <w:p>
            <w:pPr>
              <w:pStyle w:val="Compact"/>
            </w:pPr>
            <w:r>
              <w:rPr>
                <w:rStyle w:val="VerbatimChar"/>
              </w:rPr>
              <w:t xml:space="preserve">CA</w:t>
            </w:r>
          </w:p>
        </w:tc>
        <w:tc>
          <w:tcPr/>
          <w:p>
            <w:pPr>
              <w:pStyle w:val="Compact"/>
            </w:pPr>
            <w:r>
              <w:t xml:space="preserve">Cashier / Billing Clerk</w:t>
            </w:r>
          </w:p>
        </w:tc>
        <w:tc>
          <w:tcPr/>
          <w:p>
            <w:pPr>
              <w:pStyle w:val="Compact"/>
            </w:pPr>
            <w:r>
              <w:t xml:space="preserve">Patient billing and payment collection. Receipt generation, cash reconciliation, mobile money verification.</w:t>
            </w:r>
          </w:p>
        </w:tc>
        <w:tc>
          <w:tcPr/>
          <w:p>
            <w:pPr>
              <w:pStyle w:val="Compact"/>
            </w:pPr>
            <w:r>
              <w:t xml:space="preserve">None</w:t>
            </w:r>
          </w:p>
        </w:tc>
        <w:tc>
          <w:tcPr/>
          <w:p>
            <w:pPr>
              <w:pStyle w:val="Compact"/>
            </w:pPr>
            <w:r>
              <w:t xml:space="preserve">Limited</w:t>
            </w:r>
          </w:p>
        </w:tc>
        <w:tc>
          <w:tcPr/>
          <w:p>
            <w:pPr>
              <w:pStyle w:val="Compact"/>
            </w:pPr>
            <w:r>
              <w:t xml:space="preserve">1-5</w:t>
            </w:r>
          </w:p>
        </w:tc>
      </w:tr>
      <w:tr>
        <w:tc>
          <w:tcPr/>
          <w:p>
            <w:pPr>
              <w:pStyle w:val="Compact"/>
            </w:pPr>
            <w:r>
              <w:t xml:space="preserve">11</w:t>
            </w:r>
          </w:p>
        </w:tc>
        <w:tc>
          <w:tcPr/>
          <w:p>
            <w:pPr>
              <w:pStyle w:val="Compact"/>
            </w:pPr>
            <w:r>
              <w:rPr>
                <w:rStyle w:val="VerbatimChar"/>
              </w:rPr>
              <w:t xml:space="preserve">IC</w:t>
            </w:r>
          </w:p>
        </w:tc>
        <w:tc>
          <w:tcPr/>
          <w:p>
            <w:pPr>
              <w:pStyle w:val="Compact"/>
            </w:pPr>
            <w:r>
              <w:t xml:space="preserve">Insurance Clerk</w:t>
            </w:r>
          </w:p>
        </w:tc>
        <w:tc>
          <w:tcPr/>
          <w:p>
            <w:pPr>
              <w:pStyle w:val="Compact"/>
            </w:pPr>
            <w:r>
              <w:t xml:space="preserve">Insurance claims processing: member verification, pre-authorisation, claim generation, submission, rejection management, reconciliation.</w:t>
            </w:r>
          </w:p>
        </w:tc>
        <w:tc>
          <w:tcPr/>
          <w:p>
            <w:pPr>
              <w:pStyle w:val="Compact"/>
            </w:pPr>
            <w:r>
              <w:t xml:space="preserve">None</w:t>
            </w:r>
          </w:p>
        </w:tc>
        <w:tc>
          <w:tcPr/>
          <w:p>
            <w:pPr>
              <w:pStyle w:val="Compact"/>
            </w:pPr>
            <w:r>
              <w:t xml:space="preserve">Limited</w:t>
            </w:r>
          </w:p>
        </w:tc>
        <w:tc>
          <w:tcPr/>
          <w:p>
            <w:pPr>
              <w:pStyle w:val="Compact"/>
            </w:pPr>
            <w:r>
              <w:t xml:space="preserve">1-3</w:t>
            </w:r>
          </w:p>
        </w:tc>
      </w:tr>
      <w:tr>
        <w:tc>
          <w:tcPr/>
          <w:p>
            <w:pPr>
              <w:pStyle w:val="Compact"/>
            </w:pPr>
            <w:r>
              <w:t xml:space="preserve">12</w:t>
            </w:r>
          </w:p>
        </w:tc>
        <w:tc>
          <w:tcPr/>
          <w:p>
            <w:pPr>
              <w:pStyle w:val="Compact"/>
            </w:pPr>
            <w:r>
              <w:rPr>
                <w:rStyle w:val="VerbatimChar"/>
              </w:rPr>
              <w:t xml:space="preserve">AC</w:t>
            </w:r>
          </w:p>
        </w:tc>
        <w:tc>
          <w:tcPr/>
          <w:p>
            <w:pPr>
              <w:pStyle w:val="Compact"/>
            </w:pPr>
            <w:r>
              <w:t xml:space="preserve">Accountant</w:t>
            </w:r>
          </w:p>
        </w:tc>
        <w:tc>
          <w:tcPr/>
          <w:p>
            <w:pPr>
              <w:pStyle w:val="Compact"/>
            </w:pPr>
            <w:r>
              <w:t xml:space="preserve">Financial accounting and reporting: journal entries, bank reconciliation, financial statements, payroll review, donor fund reporting.</w:t>
            </w:r>
          </w:p>
        </w:tc>
        <w:tc>
          <w:tcPr/>
          <w:p>
            <w:pPr>
              <w:pStyle w:val="Compact"/>
            </w:pPr>
            <w:r>
              <w:t xml:space="preserve">None</w:t>
            </w:r>
          </w:p>
        </w:tc>
        <w:tc>
          <w:tcPr/>
          <w:p>
            <w:pPr>
              <w:pStyle w:val="Compact"/>
            </w:pPr>
            <w:r>
              <w:t xml:space="preserve">Full</w:t>
            </w:r>
          </w:p>
        </w:tc>
        <w:tc>
          <w:tcPr/>
          <w:p>
            <w:pPr>
              <w:pStyle w:val="Compact"/>
            </w:pPr>
            <w:r>
              <w:t xml:space="preserve">1-3</w:t>
            </w:r>
          </w:p>
        </w:tc>
      </w:tr>
      <w:tr>
        <w:tc>
          <w:tcPr/>
          <w:p>
            <w:pPr>
              <w:pStyle w:val="Compact"/>
            </w:pPr>
            <w:r>
              <w:t xml:space="preserve">13</w:t>
            </w:r>
          </w:p>
        </w:tc>
        <w:tc>
          <w:tcPr/>
          <w:p>
            <w:pPr>
              <w:pStyle w:val="Compact"/>
            </w:pPr>
            <w:r>
              <w:rPr>
                <w:rStyle w:val="VerbatimChar"/>
              </w:rPr>
              <w:t xml:space="preserve">SK</w:t>
            </w:r>
          </w:p>
        </w:tc>
        <w:tc>
          <w:tcPr/>
          <w:p>
            <w:pPr>
              <w:pStyle w:val="Compact"/>
            </w:pPr>
            <w:r>
              <w:t xml:space="preserve">Store Keeper</w:t>
            </w:r>
          </w:p>
        </w:tc>
        <w:tc>
          <w:tcPr/>
          <w:p>
            <w:pPr>
              <w:pStyle w:val="Compact"/>
            </w:pPr>
            <w:r>
              <w:t xml:space="preserve">Inventory and stores management: GRN, stock transfers, adjustments, NMS ordering, expiry management.</w:t>
            </w:r>
          </w:p>
        </w:tc>
        <w:tc>
          <w:tcPr/>
          <w:p>
            <w:pPr>
              <w:pStyle w:val="Compact"/>
            </w:pPr>
            <w:r>
              <w:t xml:space="preserve">None</w:t>
            </w:r>
          </w:p>
        </w:tc>
        <w:tc>
          <w:tcPr/>
          <w:p>
            <w:pPr>
              <w:pStyle w:val="Compact"/>
            </w:pPr>
            <w:r>
              <w:t xml:space="preserve">None</w:t>
            </w:r>
          </w:p>
        </w:tc>
        <w:tc>
          <w:tcPr/>
          <w:p>
            <w:pPr>
              <w:pStyle w:val="Compact"/>
            </w:pPr>
            <w:r>
              <w:t xml:space="preserve">1-3</w:t>
            </w:r>
          </w:p>
        </w:tc>
      </w:tr>
      <w:tr>
        <w:tc>
          <w:tcPr/>
          <w:p>
            <w:pPr>
              <w:pStyle w:val="Compact"/>
            </w:pPr>
            <w:r>
              <w:t xml:space="preserve">14</w:t>
            </w:r>
          </w:p>
        </w:tc>
        <w:tc>
          <w:tcPr/>
          <w:p>
            <w:pPr>
              <w:pStyle w:val="Compact"/>
            </w:pPr>
            <w:r>
              <w:rPr>
                <w:rStyle w:val="VerbatimChar"/>
              </w:rPr>
              <w:t xml:space="preserve">RO</w:t>
            </w:r>
          </w:p>
        </w:tc>
        <w:tc>
          <w:tcPr/>
          <w:p>
            <w:pPr>
              <w:pStyle w:val="Compact"/>
            </w:pPr>
            <w:r>
              <w:t xml:space="preserve">Records Officer</w:t>
            </w:r>
          </w:p>
        </w:tc>
        <w:tc>
          <w:tcPr/>
          <w:p>
            <w:pPr>
              <w:pStyle w:val="Compact"/>
            </w:pPr>
            <w:r>
              <w:t xml:space="preserve">Medical records management: file tracking, certificate generation, HMIS form management, discharge summary archival. Read-only clinical access.</w:t>
            </w:r>
          </w:p>
        </w:tc>
        <w:tc>
          <w:tcPr/>
          <w:p>
            <w:pPr>
              <w:pStyle w:val="Compact"/>
            </w:pPr>
            <w:r>
              <w:t xml:space="preserve">Limited (read-only)</w:t>
            </w:r>
          </w:p>
        </w:tc>
        <w:tc>
          <w:tcPr/>
          <w:p>
            <w:pPr>
              <w:pStyle w:val="Compact"/>
            </w:pPr>
            <w:r>
              <w:t xml:space="preserve">None</w:t>
            </w:r>
          </w:p>
        </w:tc>
        <w:tc>
          <w:tcPr/>
          <w:p>
            <w:pPr>
              <w:pStyle w:val="Compact"/>
            </w:pPr>
            <w:r>
              <w:t xml:space="preserve">1-3</w:t>
            </w:r>
          </w:p>
        </w:tc>
      </w:tr>
      <w:tr>
        <w:tc>
          <w:tcPr/>
          <w:p>
            <w:pPr>
              <w:pStyle w:val="Compact"/>
            </w:pPr>
            <w:r>
              <w:t xml:space="preserve">15</w:t>
            </w:r>
          </w:p>
        </w:tc>
        <w:tc>
          <w:tcPr/>
          <w:p>
            <w:pPr>
              <w:pStyle w:val="Compact"/>
            </w:pPr>
            <w:r>
              <w:rPr>
                <w:rStyle w:val="VerbatimChar"/>
              </w:rPr>
              <w:t xml:space="preserve">DI</w:t>
            </w:r>
          </w:p>
        </w:tc>
        <w:tc>
          <w:tcPr/>
          <w:p>
            <w:pPr>
              <w:pStyle w:val="Compact"/>
            </w:pPr>
            <w:r>
              <w:t xml:space="preserve">Director / Owner</w:t>
            </w:r>
          </w:p>
        </w:tc>
        <w:tc>
          <w:tcPr/>
          <w:p>
            <w:pPr>
              <w:pStyle w:val="Compact"/>
            </w:pPr>
            <w:r>
              <w:t xml:space="preserve">Facility director or owner. Aggregate reporting, approval workflows, cross-facility analytics, financial overview. No patient-level clinical access.</w:t>
            </w:r>
          </w:p>
        </w:tc>
        <w:tc>
          <w:tcPr/>
          <w:p>
            <w:pPr>
              <w:pStyle w:val="Compact"/>
            </w:pPr>
            <w:r>
              <w:t xml:space="preserve">None</w:t>
            </w:r>
          </w:p>
        </w:tc>
        <w:tc>
          <w:tcPr/>
          <w:p>
            <w:pPr>
              <w:pStyle w:val="Compact"/>
            </w:pPr>
            <w:r>
              <w:t xml:space="preserve">Full</w:t>
            </w:r>
          </w:p>
        </w:tc>
        <w:tc>
          <w:tcPr/>
          <w:p>
            <w:pPr>
              <w:pStyle w:val="Compact"/>
            </w:pPr>
            <w:r>
              <w:t xml:space="preserve">1-2</w:t>
            </w:r>
          </w:p>
        </w:tc>
      </w:tr>
      <w:tr>
        <w:tc>
          <w:tcPr/>
          <w:p>
            <w:pPr>
              <w:pStyle w:val="Compact"/>
            </w:pPr>
            <w:r>
              <w:t xml:space="preserve">16</w:t>
            </w:r>
          </w:p>
        </w:tc>
        <w:tc>
          <w:tcPr/>
          <w:p>
            <w:pPr>
              <w:pStyle w:val="Compact"/>
            </w:pPr>
            <w:r>
              <w:rPr>
                <w:rStyle w:val="VerbatimChar"/>
              </w:rPr>
              <w:t xml:space="preserve">AU</w:t>
            </w:r>
          </w:p>
        </w:tc>
        <w:tc>
          <w:tcPr/>
          <w:p>
            <w:pPr>
              <w:pStyle w:val="Compact"/>
            </w:pPr>
            <w:r>
              <w:t xml:space="preserve">Auditor</w:t>
            </w:r>
          </w:p>
        </w:tc>
        <w:tc>
          <w:tcPr/>
          <w:p>
            <w:pPr>
              <w:pStyle w:val="Compact"/>
            </w:pPr>
            <w:r>
              <w:t xml:space="preserve">Read-only audit and compliance access. All financial records, audit trail, compliance reports, transaction logs. No data modification.</w:t>
            </w:r>
          </w:p>
        </w:tc>
        <w:tc>
          <w:tcPr/>
          <w:p>
            <w:pPr>
              <w:pStyle w:val="Compact"/>
            </w:pPr>
            <w:r>
              <w:t xml:space="preserve">None</w:t>
            </w:r>
          </w:p>
        </w:tc>
        <w:tc>
          <w:tcPr/>
          <w:p>
            <w:pPr>
              <w:pStyle w:val="Compact"/>
            </w:pPr>
            <w:r>
              <w:t xml:space="preserve">Limited (read-only)</w:t>
            </w:r>
          </w:p>
        </w:tc>
        <w:tc>
          <w:tcPr/>
          <w:p>
            <w:pPr>
              <w:pStyle w:val="Compact"/>
            </w:pPr>
            <w:r>
              <w:t xml:space="preserve">1-2</w:t>
            </w:r>
          </w:p>
        </w:tc>
      </w:tr>
      <w:tr>
        <w:tc>
          <w:tcPr/>
          <w:p>
            <w:pPr>
              <w:pStyle w:val="Compact"/>
            </w:pPr>
            <w:r>
              <w:t xml:space="preserve">17</w:t>
            </w:r>
          </w:p>
        </w:tc>
        <w:tc>
          <w:tcPr/>
          <w:p>
            <w:pPr>
              <w:pStyle w:val="Compact"/>
            </w:pPr>
            <w:r>
              <w:rPr>
                <w:rStyle w:val="VerbatimChar"/>
              </w:rPr>
              <w:t xml:space="preserve">PT</w:t>
            </w:r>
          </w:p>
        </w:tc>
        <w:tc>
          <w:tcPr/>
          <w:p>
            <w:pPr>
              <w:pStyle w:val="Compact"/>
            </w:pPr>
            <w:r>
              <w:t xml:space="preserve">Patient / Client</w:t>
            </w:r>
          </w:p>
        </w:tc>
        <w:tc>
          <w:tcPr/>
          <w:p>
            <w:pPr>
              <w:pStyle w:val="Compact"/>
            </w:pPr>
            <w:r>
              <w:t xml:space="preserve">Patient portal access. Own records, appointment booking, test results, invoices, payment history, medication reminders.</w:t>
            </w:r>
          </w:p>
        </w:tc>
        <w:tc>
          <w:tcPr/>
          <w:p>
            <w:pPr>
              <w:pStyle w:val="Compact"/>
            </w:pPr>
            <w:r>
              <w:t xml:space="preserve">None (own records only)</w:t>
            </w:r>
          </w:p>
        </w:tc>
        <w:tc>
          <w:tcPr/>
          <w:p>
            <w:pPr>
              <w:pStyle w:val="Compact"/>
            </w:pPr>
            <w:r>
              <w:t xml:space="preserve">None (own records only)</w:t>
            </w:r>
          </w:p>
        </w:tc>
        <w:tc>
          <w:tcPr/>
          <w:p>
            <w:pPr>
              <w:pStyle w:val="Compact"/>
            </w:pPr>
            <w:r>
              <w:t xml:space="preserve">Unlimited</w:t>
            </w:r>
          </w:p>
        </w:tc>
      </w:tr>
      <w:tr>
        <w:tc>
          <w:tcPr/>
          <w:p>
            <w:pPr>
              <w:pStyle w:val="Compact"/>
            </w:pPr>
            <w:r>
              <w:t xml:space="preserve">18</w:t>
            </w:r>
          </w:p>
        </w:tc>
        <w:tc>
          <w:tcPr/>
          <w:p>
            <w:pPr>
              <w:pStyle w:val="Compact"/>
            </w:pPr>
            <w:r>
              <w:rPr>
                <w:rStyle w:val="VerbatimChar"/>
              </w:rPr>
              <w:t xml:space="preserve">CHW</w:t>
            </w:r>
          </w:p>
        </w:tc>
        <w:tc>
          <w:tcPr/>
          <w:p>
            <w:pPr>
              <w:pStyle w:val="Compact"/>
            </w:pPr>
            <w:r>
              <w:t xml:space="preserve">Community Health Worker (VHT/CHW)</w:t>
            </w:r>
          </w:p>
        </w:tc>
        <w:tc>
          <w:tcPr/>
          <w:p>
            <w:pPr>
              <w:pStyle w:val="Compact"/>
            </w:pPr>
            <w:r>
              <w:t xml:space="preserve">CHW mobile app access for assigned community area. Patient registration, referral submission, home visit documentation.</w:t>
            </w:r>
          </w:p>
        </w:tc>
        <w:tc>
          <w:tcPr/>
          <w:p>
            <w:pPr>
              <w:pStyle w:val="Compact"/>
            </w:pPr>
            <w:r>
              <w:t xml:space="preserve">None</w:t>
            </w:r>
          </w:p>
        </w:tc>
        <w:tc>
          <w:tcPr/>
          <w:p>
            <w:pPr>
              <w:pStyle w:val="Compact"/>
            </w:pPr>
            <w:r>
              <w:t xml:space="preserve">None</w:t>
            </w:r>
          </w:p>
        </w:tc>
        <w:tc>
          <w:tcPr/>
          <w:p>
            <w:pPr>
              <w:pStyle w:val="Compact"/>
            </w:pPr>
            <w:r>
              <w:t xml:space="preserve">5-50</w:t>
            </w:r>
          </w:p>
        </w:tc>
      </w:tr>
      <w:tr>
        <w:tc>
          <w:tcPr/>
          <w:p>
            <w:pPr>
              <w:pStyle w:val="Compact"/>
            </w:pPr>
            <w:r>
              <w:t xml:space="preserve">19</w:t>
            </w:r>
          </w:p>
        </w:tc>
        <w:tc>
          <w:tcPr/>
          <w:p>
            <w:pPr>
              <w:pStyle w:val="Compact"/>
            </w:pPr>
            <w:r>
              <w:rPr>
                <w:rStyle w:val="VerbatimChar"/>
              </w:rPr>
              <w:t xml:space="preserve">AIADM</w:t>
            </w:r>
          </w:p>
        </w:tc>
        <w:tc>
          <w:tcPr/>
          <w:p>
            <w:pPr>
              <w:pStyle w:val="Compact"/>
            </w:pPr>
            <w:r>
              <w:t xml:space="preserve">AI Administrator</w:t>
            </w:r>
          </w:p>
        </w:tc>
        <w:tc>
          <w:tcPr/>
          <w:p>
            <w:pPr>
              <w:pStyle w:val="Compact"/>
            </w:pPr>
            <w:r>
              <w:t xml:space="preserve">AI Intelligence module configuration for a single tenant. Manages AI provider keys, monitors token usage, and controls per-capability toggles. No access to patient data, clinical records, billing, payroll, or HR.</w:t>
            </w:r>
          </w:p>
        </w:tc>
        <w:tc>
          <w:tcPr/>
          <w:p>
            <w:pPr>
              <w:pStyle w:val="Compact"/>
            </w:pPr>
            <w:r>
              <w:t xml:space="preserve">None</w:t>
            </w:r>
          </w:p>
        </w:tc>
        <w:tc>
          <w:tcPr/>
          <w:p>
            <w:pPr>
              <w:pStyle w:val="Compact"/>
            </w:pPr>
            <w:r>
              <w:t xml:space="preserve">None</w:t>
            </w:r>
          </w:p>
        </w:tc>
        <w:tc>
          <w:tcPr/>
          <w:p>
            <w:pPr>
              <w:pStyle w:val="Compact"/>
            </w:pPr>
            <w:r>
              <w:t xml:space="preserve">1</w:t>
            </w:r>
          </w:p>
        </w:tc>
      </w:tr>
    </w:tbl>
    <w:p>
      <w:r>
        <w:pict>
          <v:rect style="width:0;height:1.5pt" o:hralign="center" o:hrstd="t" o:hr="t"/>
        </w:pict>
      </w:r>
    </w:p>
    <w:bookmarkEnd w:id="19"/>
    <w:bookmarkStart w:id="36" w:name="section-2-permission-matrix"/>
    <w:p>
      <w:pPr>
        <w:pStyle w:val="Heading2"/>
      </w:pPr>
      <w:r>
        <w:t xml:space="preserve">Section 2: Permission Matrix</w:t>
      </w:r>
    </w:p>
    <w:bookmarkStart w:id="20" w:name="X87e71944805cc20c45ca486678f772c92bc40e8"/>
    <w:p>
      <w:pPr>
        <w:pStyle w:val="Heading3"/>
      </w:pPr>
      <w:r>
        <w:t xml:space="preserve">Section A: Authentication and User Management</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Login</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r>
      <w:tr>
        <w:tc>
          <w:tcPr/>
          <w:p>
            <w:pPr>
              <w:pStyle w:val="Compact"/>
            </w:pPr>
            <w:r>
              <w:t xml:space="preserve">Manage own profile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r>
      <w:tr>
        <w:tc>
          <w:tcPr/>
          <w:p>
            <w:pPr>
              <w:pStyle w:val="Compact"/>
            </w:pPr>
            <w:r>
              <w:t xml:space="preserve">Manage staff accounts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custom roles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audit trail</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facility settings</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Notes:</w:t>
      </w:r>
    </w:p>
    <w:p>
      <w:pPr>
        <w:pStyle w:val="Compact"/>
        <w:numPr>
          <w:ilvl w:val="0"/>
          <w:numId w:val="1002"/>
        </w:numPr>
      </w:pPr>
      <w:r>
        <w:t xml:space="preserve">Super Admin manages staff accounts across all tenants. Facility Admin manages staff accounts within their own tenant only.</w:t>
      </w:r>
    </w:p>
    <w:p>
      <w:pPr>
        <w:pStyle w:val="Compact"/>
        <w:numPr>
          <w:ilvl w:val="0"/>
          <w:numId w:val="1002"/>
        </w:numPr>
      </w:pPr>
      <w:r>
        <w:t xml:space="preserve">Facility Admin may create custom roles with any subset of the permissions they themselves hold. Custom roles follow the same priority resolution as built-in roles.</w:t>
      </w:r>
    </w:p>
    <w:p>
      <w:pPr>
        <w:pStyle w:val="Compact"/>
        <w:numPr>
          <w:ilvl w:val="0"/>
          <w:numId w:val="1002"/>
        </w:numPr>
      </w:pPr>
      <w:r>
        <w:t xml:space="preserve">Director and Auditor have read-only audit trail access for oversight and compliance purposes.</w:t>
      </w:r>
    </w:p>
    <w:p>
      <w:r>
        <w:pict>
          <v:rect style="width:0;height:1.5pt" o:hralign="center" o:hrstd="t" o:hr="t"/>
        </w:pict>
      </w:r>
    </w:p>
    <w:bookmarkEnd w:id="20"/>
    <w:bookmarkStart w:id="21" w:name="X6b97366eb995a2432f388e5f36af0a33f9d0e65"/>
    <w:p>
      <w:pPr>
        <w:pStyle w:val="Heading3"/>
      </w:pPr>
      <w:r>
        <w:t xml:space="preserve">Section B: Patient Registration and Identity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new patient</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 ¹</w:t>
            </w:r>
          </w:p>
        </w:tc>
      </w:tr>
      <w:tr>
        <w:tc>
          <w:tcPr/>
          <w:p>
            <w:pPr>
              <w:pStyle w:val="Compact"/>
            </w:pPr>
            <w:r>
              <w:t xml:space="preserve">Edit patient demographics</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list</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w:t>
            </w:r>
          </w:p>
        </w:tc>
        <w:tc>
          <w:tcPr/>
          <w:p>
            <w:pPr>
              <w:pStyle w:val="Compact"/>
              <w:jc w:val="center"/>
            </w:pPr>
            <w:r>
              <w:t xml:space="preserve">R* ³</w:t>
            </w:r>
          </w:p>
        </w:tc>
        <w:tc>
          <w:tcPr/>
          <w:p>
            <w:pPr>
              <w:pStyle w:val="Compact"/>
              <w:jc w:val="center"/>
            </w:pPr>
            <w:r>
              <w:t xml:space="preserve">R* 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¹</w:t>
            </w:r>
          </w:p>
        </w:tc>
      </w:tr>
      <w:tr>
        <w:tc>
          <w:tcPr/>
          <w:p>
            <w:pPr>
              <w:pStyle w:val="Compact"/>
            </w:pPr>
            <w:r>
              <w:t xml:space="preserve">Merge patients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Lookup cross-facility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patient photo</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Manage identifiers (NIN, MRN, UNHCR)</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Triage assignment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p>
    <w:p>
      <w:pPr>
        <w:pStyle w:val="Compact"/>
        <w:numPr>
          <w:ilvl w:val="0"/>
          <w:numId w:val="1003"/>
        </w:numPr>
      </w:pPr>
      <w:r>
        <w:t xml:space="preserve">CHW may register patients in their assigned community area only. CHW view is limited to patients they have registered or been assigned.</w:t>
      </w:r>
    </w:p>
    <w:p>
      <w:pPr>
        <w:pStyle w:val="Compact"/>
        <w:numPr>
          <w:ilvl w:val="0"/>
          <w:numId w:val="1003"/>
        </w:numPr>
      </w:pPr>
      <w:r>
        <w:t xml:space="preserve">Pharmacist, Lab Technician, and Radiographer see patient name, age, sex, and relevant clinical identifiers only — not full demographic profile.</w:t>
      </w:r>
    </w:p>
    <w:p>
      <w:pPr>
        <w:pStyle w:val="Compact"/>
        <w:numPr>
          <w:ilvl w:val="0"/>
          <w:numId w:val="1003"/>
        </w:numPr>
      </w:pPr>
      <w:r>
        <w:t xml:space="preserve">Cashier and Insurance Clerk see patient name, account number, and insurance membership — not clinical data.</w:t>
      </w:r>
    </w:p>
    <w:p>
      <w:pPr>
        <w:pStyle w:val="Compact"/>
        <w:numPr>
          <w:ilvl w:val="0"/>
          <w:numId w:val="1003"/>
        </w:numPr>
      </w:pPr>
      <w:r>
        <w:t xml:space="preserve">Patient may view own photo only.</w:t>
      </w:r>
    </w:p>
    <w:p>
      <w:r>
        <w:pict>
          <v:rect style="width:0;height:1.5pt" o:hralign="center" o:hrstd="t" o:hr="t"/>
        </w:pict>
      </w:r>
    </w:p>
    <w:bookmarkEnd w:id="21"/>
    <w:bookmarkStart w:id="22" w:name="section-c-opd-consultation"/>
    <w:p>
      <w:pPr>
        <w:pStyle w:val="Heading3"/>
      </w:pPr>
      <w:r>
        <w:t xml:space="preserve">Section C: OPD Consultation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OPD queue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consultation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vitals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diagnosis (ICD-10/11)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Write prescription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 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lab test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radiology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referral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clinical history</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⁶</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R* 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⁴</w:t>
            </w:r>
          </w:p>
        </w:tc>
        <w:tc>
          <w:tcPr/>
          <w:p>
            <w:pPr>
              <w:pStyle w:val="Compact"/>
              <w:jc w:val="center"/>
            </w:pPr>
            <w:r>
              <w:t xml:space="preserve">—</w:t>
            </w:r>
          </w:p>
        </w:tc>
      </w:tr>
      <w:tr>
        <w:tc>
          <w:tcPr/>
          <w:p>
            <w:pPr>
              <w:pStyle w:val="Compact"/>
            </w:pPr>
            <w:r>
              <w:t xml:space="preserve">Override drug alert (Tier 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End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5. Clinical Officer may prescribe within their gazetted scope of practice only. The system enforces restricted formulary access per BR-CLIN-002.</w:t>
      </w:r>
      <w:r>
        <w:t xml:space="preserve"> </w:t>
      </w:r>
      <w:r>
        <w:t xml:space="preserve">6. Nurse views clinical history relevant to nursing care (vitals, MAR, nursing notes, allergies, active medications). Does not see full consultation SOAP notes unless assigned to the patient's care team.</w:t>
      </w:r>
      <w:r>
        <w:t xml:space="preserve"> </w:t>
      </w:r>
      <w:r>
        <w:t xml:space="preserve">7. Records Officer has read-only access to clinical records for file management and certificate generation purposes.</w:t>
      </w:r>
    </w:p>
    <w:p>
      <w:r>
        <w:pict>
          <v:rect style="width:0;height:1.5pt" o:hralign="center" o:hrstd="t" o:hr="t"/>
        </w:pict>
      </w:r>
    </w:p>
    <w:bookmarkEnd w:id="22"/>
    <w:bookmarkStart w:id="23" w:name="section-d-laboratory"/>
    <w:p>
      <w:pPr>
        <w:pStyle w:val="Heading3"/>
      </w:pPr>
      <w:r>
        <w:t xml:space="preserve">Section D: Laboratory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lab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Collect sample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result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Validate result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⁸</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QC records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analyser interface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Refer to external lab</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8. Result validation requires a Lab Technician with supervisor designation. A technician who entered the result cannot validate the same result (four-eyes principle). Facility Admin may validate in exceptional circumstances.</w:t>
      </w:r>
    </w:p>
    <w:p>
      <w:r>
        <w:pict>
          <v:rect style="width:0;height:1.5pt" o:hralign="center" o:hrstd="t" o:hr="t"/>
        </w:pict>
      </w:r>
    </w:p>
    <w:bookmarkEnd w:id="23"/>
    <w:bookmarkStart w:id="24" w:name="section-e-pharmacy"/>
    <w:p>
      <w:pPr>
        <w:pStyle w:val="Heading3"/>
      </w:pPr>
      <w:r>
        <w:t xml:space="preserve">Section E: Pharmacy</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prescription queue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Dispense drug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Substitute drug (generic)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stock (GRN, transfer, adjust)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formulary</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Narcotic register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expiry alerts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9. Generic substitution requires that the prescribing doctor is notified and the substitution is logged per BR-CLIN-002. Tier 4 drug interaction blocks cannot be overridden by the Pharmacist alone.</w:t>
      </w:r>
    </w:p>
    <w:p>
      <w:r>
        <w:pict>
          <v:rect style="width:0;height:1.5pt" o:hralign="center" o:hrstd="t" o:hr="t"/>
        </w:pict>
      </w:r>
    </w:p>
    <w:bookmarkEnd w:id="24"/>
    <w:bookmarkStart w:id="25" w:name="section-f-inpatient-department-ipd"/>
    <w:p>
      <w:pPr>
        <w:pStyle w:val="Heading3"/>
      </w:pPr>
      <w:r>
        <w:t xml:space="preserve">Section F: Inpatient Department (IPD)</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Admit patient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Assign bed</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nursing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ward round notes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Order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Administer drug round (MAR)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patient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 ¹⁰</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Discharge patient</w:t>
            </w:r>
          </w:p>
        </w:tc>
        <w:tc>
          <w:tcPr/>
          <w:p>
            <w:pPr>
              <w:pStyle w:val="Compact"/>
              <w:jc w:val="center"/>
            </w:pPr>
            <w:r>
              <w:t xml:space="preserve">—</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bed map</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ward</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10. Nurse may initiate a transfer request; transfer completion requires receiving nurse acknowledgement per the ward transfer workflow.</w:t>
      </w:r>
    </w:p>
    <w:p>
      <w:r>
        <w:pict>
          <v:rect style="width:0;height:1.5pt" o:hralign="center" o:hrstd="t" o:hr="t"/>
        </w:pict>
      </w:r>
    </w:p>
    <w:bookmarkEnd w:id="25"/>
    <w:bookmarkStart w:id="26" w:name="section-g-maternity-and-anc"/>
    <w:p>
      <w:pPr>
        <w:pStyle w:val="Heading3"/>
      </w:pPr>
      <w:r>
        <w:t xml:space="preserve">Section G: Maternity and ANC</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Register ANC</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ANC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Admit in labour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partograph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Record delivery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Link newborn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Enter postnatal visit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6"/>
    <w:bookmarkStart w:id="27" w:name="section-h-billing-and-finance"/>
    <w:p>
      <w:pPr>
        <w:pStyle w:val="Heading3"/>
      </w:pPr>
      <w:r>
        <w:t xml:space="preserve">Section H: Billing and Finance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patient account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 ⁴</w:t>
            </w:r>
          </w:p>
        </w:tc>
        <w:tc>
          <w:tcPr/>
          <w:p>
            <w:pPr>
              <w:pStyle w:val="Compact"/>
              <w:jc w:val="center"/>
            </w:pPr>
            <w:r>
              <w:t xml:space="preserve">—</w:t>
            </w:r>
          </w:p>
        </w:tc>
      </w:tr>
      <w:tr>
        <w:tc>
          <w:tcPr/>
          <w:p>
            <w:pPr>
              <w:pStyle w:val="Compact"/>
            </w:pPr>
            <w:r>
              <w:t xml:space="preserve">Collect payment</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receipt</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price list</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cashier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credits</w:t>
            </w:r>
          </w:p>
        </w:tc>
        <w:tc>
          <w:tcPr/>
          <w:p>
            <w:pPr>
              <w:pStyle w:val="Compact"/>
              <w:jc w:val="center"/>
            </w:pPr>
            <w:r>
              <w:t xml:space="preserve">—</w:t>
            </w:r>
          </w:p>
        </w:tc>
        <w:tc>
          <w:tcPr/>
          <w:p>
            <w:pPr>
              <w:pStyle w:val="Compact"/>
              <w:jc w:val="center"/>
            </w:pPr>
            <w:r>
              <w:t xml:space="preserve">CRUD ¹¹</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Write-off debt</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¹²</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financial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11. All credit arrangements require Facility Admin approval per BR-FIN-005.</w:t>
      </w:r>
      <w:r>
        <w:t xml:space="preserve"> </w:t>
      </w:r>
      <w:r>
        <w:t xml:space="preserve">12. Write-off approval follows tiered authority per BR-FIN-006: amounts under UGX 500,000 require Facility Admin approval; amounts of UGX 500,000 or above require Director approval.</w:t>
      </w:r>
    </w:p>
    <w:p>
      <w:r>
        <w:pict>
          <v:rect style="width:0;height:1.5pt" o:hralign="center" o:hrstd="t" o:hr="t"/>
        </w:pict>
      </w:r>
    </w:p>
    <w:bookmarkEnd w:id="27"/>
    <w:bookmarkStart w:id="28" w:name="section-i-insurance"/>
    <w:p>
      <w:pPr>
        <w:pStyle w:val="Heading3"/>
      </w:pPr>
      <w:r>
        <w:t xml:space="preserve">Section I: Insurance</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Verify member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Request pre-auth</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claim</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rejections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Reconcile insurance payment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View insurer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8"/>
    <w:bookmarkStart w:id="29" w:name="section-j-hr-and-payroll"/>
    <w:p>
      <w:pPr>
        <w:pStyle w:val="Heading3"/>
      </w:pPr>
      <w:r>
        <w:t xml:space="preserve">Section J: HR and Payroll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staff list</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Add/edit staff</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leave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Run payroll</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 ¹³</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payslips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 ¹⁴</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duty roster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licence expiry</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13. Director may approve payroll runs. Accountant may review payroll calculations (read-only).</w:t>
      </w:r>
      <w:r>
        <w:t xml:space="preserve"> </w:t>
      </w:r>
      <w:r>
        <w:t xml:space="preserve">14. Staff members may view their own payslips only.</w:t>
      </w:r>
    </w:p>
    <w:p>
      <w:r>
        <w:pict>
          <v:rect style="width:0;height:1.5pt" o:hralign="center" o:hrstd="t" o:hr="t"/>
        </w:pict>
      </w:r>
    </w:p>
    <w:bookmarkEnd w:id="29"/>
    <w:bookmarkStart w:id="30" w:name="section-k-inventory-and-stores"/>
    <w:p>
      <w:pPr>
        <w:pStyle w:val="Heading3"/>
      </w:pPr>
      <w:r>
        <w:t xml:space="preserve">Section K: Inventory and Stores</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Receive stock (GRN)</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Adjust stock</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¹⁵</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suppliers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Create purchase order</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CRU ¹⁶</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stock reports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r>
      <w:tr>
        <w:tc>
          <w:tcPr/>
          <w:p>
            <w:pPr>
              <w:pStyle w:val="Compact"/>
            </w:pPr>
            <w:r>
              <w:t xml:space="preserve">Manage NMS orders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15. Pharmacist manages stock within the pharmacy store only. Store Keeper manages all stores (main, theatre, ward, dental).</w:t>
      </w:r>
      <w:r>
        <w:t xml:space="preserve"> </w:t>
      </w:r>
      <w:r>
        <w:t xml:space="preserve">16. Director may approve purchase orders above a configurable threshold.</w:t>
      </w:r>
    </w:p>
    <w:p>
      <w:r>
        <w:pict>
          <v:rect style="width:0;height:1.5pt" o:hralign="center" o:hrstd="t" o:hr="t"/>
        </w:pict>
      </w:r>
    </w:p>
    <w:bookmarkEnd w:id="30"/>
    <w:bookmarkStart w:id="31" w:name="section-l-hmis-reporting"/>
    <w:p>
      <w:pPr>
        <w:pStyle w:val="Heading3"/>
      </w:pPr>
      <w:r>
        <w:t xml:space="preserve">Section L: HMIS Reporting</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Generate HMIS 105</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HMIS 108</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Submit to DHIS2</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¹⁷</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PEPFAR MER indicators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HMIS form configuration</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17. Records Officer may submit to DHIS2 only after Facility Admin has reviewed and approved the report.</w:t>
      </w:r>
    </w:p>
    <w:p>
      <w:r>
        <w:pict>
          <v:rect style="width:0;height:1.5pt" o:hralign="center" o:hrstd="t" o:hr="t"/>
        </w:pict>
      </w:r>
    </w:p>
    <w:bookmarkEnd w:id="31"/>
    <w:bookmarkStart w:id="32" w:name="section-m-administration"/>
    <w:p>
      <w:pPr>
        <w:pStyle w:val="Heading3"/>
      </w:pPr>
      <w:r>
        <w:t xml:space="preserve">Section M: Administration</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Manage appointments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referrals</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 ¹⁸</w:t>
            </w:r>
          </w:p>
        </w:tc>
      </w:tr>
      <w:tr>
        <w:tc>
          <w:tcPr/>
          <w:p>
            <w:pPr>
              <w:pStyle w:val="Compact"/>
            </w:pPr>
            <w:r>
              <w:t xml:space="preserve">Track medical records/files</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Generate certificates</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ambulance</w:t>
            </w:r>
          </w:p>
        </w:tc>
        <w:tc>
          <w:tcPr/>
          <w:p>
            <w:pPr>
              <w:pStyle w:val="Compact"/>
              <w:jc w:val="center"/>
            </w:pPr>
            <w:r>
              <w:t xml:space="preserve">—</w:t>
            </w:r>
          </w:p>
        </w:tc>
        <w:tc>
          <w:tcPr/>
          <w:p>
            <w:pPr>
              <w:pStyle w:val="Compact"/>
              <w:jc w:val="center"/>
            </w:pPr>
            <w:r>
              <w:t xml:space="preserve">CRUD</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Footnotes:</w:t>
      </w:r>
      <w:r>
        <w:t xml:space="preserve"> </w:t>
      </w:r>
      <w:r>
        <w:t xml:space="preserve">18. CHW may submit community referrals via the CHW mobile app for patients in their assigned area only.</w:t>
      </w:r>
    </w:p>
    <w:p>
      <w:r>
        <w:pict>
          <v:rect style="width:0;height:1.5pt" o:hralign="center" o:hrstd="t" o:hr="t"/>
        </w:pict>
      </w:r>
    </w:p>
    <w:bookmarkEnd w:id="32"/>
    <w:bookmarkStart w:id="33" w:name="section-n-patient-portal"/>
    <w:p>
      <w:pPr>
        <w:pStyle w:val="Heading3"/>
      </w:pPr>
      <w:r>
        <w:t xml:space="preserve">Section N: Patient Portal</w:t>
      </w:r>
    </w:p>
    <w:tbl>
      <w:tblPr>
        <w:tblStyle w:val="Table"/>
        <w:tblW w:type="auto" w:w="0"/>
        <w:tblLook w:firstRow="1" w:lastRow="0" w:firstColumn="0" w:lastColumn="0" w:noHBand="0" w:noVBand="0" w:val="002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r>
      <w:tr>
        <w:tc>
          <w:tcPr/>
          <w:p>
            <w:pPr>
              <w:pStyle w:val="Compact"/>
            </w:pPr>
            <w:r>
              <w:t xml:space="preserve">View own records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View own results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Book appointment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Pay fees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CU</w:t>
            </w:r>
          </w:p>
        </w:tc>
        <w:tc>
          <w:tcPr/>
          <w:p>
            <w:pPr>
              <w:pStyle w:val="Compact"/>
              <w:jc w:val="center"/>
            </w:pPr>
            <w:r>
              <w:t xml:space="preserve">—</w:t>
            </w:r>
          </w:p>
        </w:tc>
      </w:tr>
      <w:tr>
        <w:tc>
          <w:tcPr/>
          <w:p>
            <w:pPr>
              <w:pStyle w:val="Compact"/>
            </w:pPr>
            <w:r>
              <w:t xml:space="preserve">View payment history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c>
          <w:tcPr/>
          <w:p>
            <w:pPr>
              <w:pStyle w:val="Compact"/>
              <w:jc w:val="center"/>
            </w:pPr>
            <w:r>
              <w:t xml:space="preserve">—</w:t>
            </w:r>
          </w:p>
        </w:tc>
      </w:tr>
      <w:tr>
        <w:tc>
          <w:tcPr/>
          <w:p>
            <w:pPr>
              <w:pStyle w:val="Compact"/>
            </w:pPr>
            <w:r>
              <w:t xml:space="preserve">Manage family members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 ¹⁹</w:t>
            </w:r>
          </w:p>
        </w:tc>
        <w:tc>
          <w:tcPr/>
          <w:p>
            <w:pPr>
              <w:pStyle w:val="Compact"/>
              <w:jc w:val="center"/>
            </w:pPr>
            <w:r>
              <w:t xml:space="preserve">—</w:t>
            </w:r>
          </w:p>
        </w:tc>
      </w:tr>
    </w:tbl>
    <w:p>
      <w:pPr>
        <w:pStyle w:val="BodyText"/>
      </w:pPr>
      <w:r>
        <w:rPr>
          <w:b/>
          <w:bCs/>
        </w:rPr>
        <w:t xml:space="preserve">Footnotes:</w:t>
      </w:r>
      <w:r>
        <w:t xml:space="preserve"> </w:t>
      </w:r>
      <w:r>
        <w:t xml:space="preserve">19. Patient may link family members (spouse, children, dependants) to view their records and manage appointments. Each linked family member must confirm the link via SMS or app confirmation.</w:t>
      </w:r>
    </w:p>
    <w:p>
      <w:r>
        <w:pict>
          <v:rect style="width:0;height:1.5pt" o:hralign="center" o:hrstd="t" o:hr="t"/>
        </w:pict>
      </w:r>
    </w:p>
    <w:bookmarkEnd w:id="33"/>
    <w:bookmarkStart w:id="34" w:name="section-o-platform-administration"/>
    <w:p>
      <w:pPr>
        <w:pStyle w:val="Heading3"/>
      </w:pPr>
      <w:r>
        <w:t xml:space="preserve">Section O: Platform Administration</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c>
          <w:tcPr/>
          <w:p>
            <w:pPr>
              <w:pStyle w:val="Compact"/>
              <w:jc w:val="center"/>
            </w:pPr>
            <w:r>
              <w:t xml:space="preserve">AIADM</w:t>
            </w:r>
          </w:p>
        </w:tc>
      </w:tr>
      <w:tr>
        <w:tc>
          <w:tcPr/>
          <w:p>
            <w:pPr>
              <w:pStyle w:val="Compact"/>
            </w:pPr>
            <w:r>
              <w:t xml:space="preserve">Provision tenant</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Configure subscription tier</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global settings</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View cross-tenant analytics</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country configuration</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34"/>
    <w:bookmarkStart w:id="35" w:name="section-p-ai-intelligence-module"/>
    <w:p>
      <w:pPr>
        <w:pStyle w:val="Heading3"/>
      </w:pPr>
      <w:r>
        <w:t xml:space="preserve">Section P: AI Intelligence Module</w:t>
      </w:r>
    </w:p>
    <w:tbl>
      <w:tblPr>
        <w:tblStyle w:val="Table"/>
        <w:tblW w:type="auto" w:w="0"/>
        <w:tblLook w:firstRow="1" w:lastRow="0" w:firstColumn="0" w:lastColumn="0" w:noHBand="0" w:noVBand="0" w:val="0020"/>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on"/>
        </w:trPr>
        <w:tc>
          <w:tcPr/>
          <w:p>
            <w:pPr>
              <w:pStyle w:val="Compact"/>
            </w:pPr>
            <w:r>
              <w:t xml:space="preserve">Permission</w:t>
            </w:r>
          </w:p>
        </w:tc>
        <w:tc>
          <w:tcPr/>
          <w:p>
            <w:pPr>
              <w:pStyle w:val="Compact"/>
              <w:jc w:val="center"/>
            </w:pPr>
            <w:r>
              <w:t xml:space="preserve">SA</w:t>
            </w:r>
          </w:p>
        </w:tc>
        <w:tc>
          <w:tcPr/>
          <w:p>
            <w:pPr>
              <w:pStyle w:val="Compact"/>
              <w:jc w:val="center"/>
            </w:pPr>
            <w:r>
              <w:t xml:space="preserve">FA</w:t>
            </w:r>
          </w:p>
        </w:tc>
        <w:tc>
          <w:tcPr/>
          <w:p>
            <w:pPr>
              <w:pStyle w:val="Compact"/>
              <w:jc w:val="center"/>
            </w:pPr>
            <w:r>
              <w:t xml:space="preserve">DR</w:t>
            </w:r>
          </w:p>
        </w:tc>
        <w:tc>
          <w:tcPr/>
          <w:p>
            <w:pPr>
              <w:pStyle w:val="Compact"/>
              <w:jc w:val="center"/>
            </w:pPr>
            <w:r>
              <w:t xml:space="preserve">CO</w:t>
            </w:r>
          </w:p>
        </w:tc>
        <w:tc>
          <w:tcPr/>
          <w:p>
            <w:pPr>
              <w:pStyle w:val="Compact"/>
              <w:jc w:val="center"/>
            </w:pPr>
            <w:r>
              <w:t xml:space="preserve">NU</w:t>
            </w:r>
          </w:p>
        </w:tc>
        <w:tc>
          <w:tcPr/>
          <w:p>
            <w:pPr>
              <w:pStyle w:val="Compact"/>
              <w:jc w:val="center"/>
            </w:pPr>
            <w:r>
              <w:t xml:space="preserve">PH</w:t>
            </w:r>
          </w:p>
        </w:tc>
        <w:tc>
          <w:tcPr/>
          <w:p>
            <w:pPr>
              <w:pStyle w:val="Compact"/>
              <w:jc w:val="center"/>
            </w:pPr>
            <w:r>
              <w:t xml:space="preserve">LT</w:t>
            </w:r>
          </w:p>
        </w:tc>
        <w:tc>
          <w:tcPr/>
          <w:p>
            <w:pPr>
              <w:pStyle w:val="Compact"/>
              <w:jc w:val="center"/>
            </w:pPr>
            <w:r>
              <w:t xml:space="preserve">RG</w:t>
            </w:r>
          </w:p>
        </w:tc>
        <w:tc>
          <w:tcPr/>
          <w:p>
            <w:pPr>
              <w:pStyle w:val="Compact"/>
              <w:jc w:val="center"/>
            </w:pPr>
            <w:r>
              <w:t xml:space="preserve">RE</w:t>
            </w:r>
          </w:p>
        </w:tc>
        <w:tc>
          <w:tcPr/>
          <w:p>
            <w:pPr>
              <w:pStyle w:val="Compact"/>
              <w:jc w:val="center"/>
            </w:pPr>
            <w:r>
              <w:t xml:space="preserve">CA</w:t>
            </w:r>
          </w:p>
        </w:tc>
        <w:tc>
          <w:tcPr/>
          <w:p>
            <w:pPr>
              <w:pStyle w:val="Compact"/>
              <w:jc w:val="center"/>
            </w:pPr>
            <w:r>
              <w:t xml:space="preserve">IC</w:t>
            </w:r>
          </w:p>
        </w:tc>
        <w:tc>
          <w:tcPr/>
          <w:p>
            <w:pPr>
              <w:pStyle w:val="Compact"/>
              <w:jc w:val="center"/>
            </w:pPr>
            <w:r>
              <w:t xml:space="preserve">AC</w:t>
            </w:r>
          </w:p>
        </w:tc>
        <w:tc>
          <w:tcPr/>
          <w:p>
            <w:pPr>
              <w:pStyle w:val="Compact"/>
              <w:jc w:val="center"/>
            </w:pPr>
            <w:r>
              <w:t xml:space="preserve">SK</w:t>
            </w:r>
          </w:p>
        </w:tc>
        <w:tc>
          <w:tcPr/>
          <w:p>
            <w:pPr>
              <w:pStyle w:val="Compact"/>
              <w:jc w:val="center"/>
            </w:pPr>
            <w:r>
              <w:t xml:space="preserve">RO</w:t>
            </w:r>
          </w:p>
        </w:tc>
        <w:tc>
          <w:tcPr/>
          <w:p>
            <w:pPr>
              <w:pStyle w:val="Compact"/>
              <w:jc w:val="center"/>
            </w:pPr>
            <w:r>
              <w:t xml:space="preserve">DI</w:t>
            </w:r>
          </w:p>
        </w:tc>
        <w:tc>
          <w:tcPr/>
          <w:p>
            <w:pPr>
              <w:pStyle w:val="Compact"/>
              <w:jc w:val="center"/>
            </w:pPr>
            <w:r>
              <w:t xml:space="preserve">AU</w:t>
            </w:r>
          </w:p>
        </w:tc>
        <w:tc>
          <w:tcPr/>
          <w:p>
            <w:pPr>
              <w:pStyle w:val="Compact"/>
              <w:jc w:val="center"/>
            </w:pPr>
            <w:r>
              <w:t xml:space="preserve">PT</w:t>
            </w:r>
          </w:p>
        </w:tc>
        <w:tc>
          <w:tcPr/>
          <w:p>
            <w:pPr>
              <w:pStyle w:val="Compact"/>
              <w:jc w:val="center"/>
            </w:pPr>
            <w:r>
              <w:t xml:space="preserve">CHW</w:t>
            </w:r>
          </w:p>
        </w:tc>
        <w:tc>
          <w:tcPr/>
          <w:p>
            <w:pPr>
              <w:pStyle w:val="Compact"/>
              <w:jc w:val="center"/>
            </w:pPr>
            <w:r>
              <w:t xml:space="preserve">AIADM</w:t>
            </w:r>
          </w:p>
        </w:tc>
      </w:tr>
      <w:tr>
        <w:tc>
          <w:tcPr/>
          <w:p>
            <w:pPr>
              <w:pStyle w:val="Compact"/>
            </w:pPr>
            <w:r>
              <w:t xml:space="preserve">Configure AI provider (primary + failover)</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Enter / rotate AI provider API key</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View AI token usage log (</w:t>
            </w:r>
            <w:r>
              <w:rPr>
                <w:rStyle w:val="VerbatimChar"/>
              </w:rPr>
              <w:t xml:space="preserve">ai_usage_log</w:t>
            </w:r>
            <w:r>
              <w:t xml:space="preserve">)</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Toggle AI capabilities per tenant</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CRUD</w:t>
            </w:r>
          </w:p>
        </w:tc>
      </w:tr>
      <w:tr>
        <w:tc>
          <w:tcPr/>
          <w:p>
            <w:pPr>
              <w:pStyle w:val="Compact"/>
            </w:pPr>
            <w:r>
              <w:t xml:space="preserve">Read facility settings (context only)</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 ²⁰</w:t>
            </w:r>
          </w:p>
        </w:tc>
      </w:tr>
      <w:tr>
        <w:tc>
          <w:tcPr/>
          <w:p>
            <w:pPr>
              <w:pStyle w:val="Compact"/>
            </w:pPr>
            <w:r>
              <w:t xml:space="preserve">View AI admin dashboard</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w:t>
            </w:r>
          </w:p>
        </w:tc>
      </w:tr>
      <w:tr>
        <w:tc>
          <w:tcPr/>
          <w:p>
            <w:pPr>
              <w:pStyle w:val="Compact"/>
            </w:pPr>
            <w:r>
              <w:t xml:space="preserve">Test AI provider connection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r>
      <w:tr>
        <w:tc>
          <w:tcPr/>
          <w:p>
            <w:pPr>
              <w:pStyle w:val="Compact"/>
            </w:pPr>
            <w:r>
              <w:t xml:space="preserve">Top up AI credits</w:t>
            </w:r>
          </w:p>
        </w:tc>
        <w:tc>
          <w:tcPr/>
          <w:p>
            <w:pPr>
              <w:pStyle w:val="Compact"/>
              <w:jc w:val="center"/>
            </w:pPr>
            <w:r>
              <w:t xml:space="preserve">CRUD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CRU</w:t>
            </w:r>
          </w:p>
        </w:tc>
      </w:tr>
    </w:tbl>
    <w:p>
      <w:pPr>
        <w:pStyle w:val="BodyText"/>
      </w:pPr>
      <w:r>
        <w:rPr>
          <w:b/>
          <w:bCs/>
        </w:rPr>
        <w:t xml:space="preserve">Footnotes:</w:t>
      </w:r>
    </w:p>
    <w:p>
      <w:pPr>
        <w:pStyle w:val="Compact"/>
        <w:numPr>
          <w:ilvl w:val="0"/>
          <w:numId w:val="1004"/>
        </w:numPr>
      </w:pPr>
      <w:r>
        <w:t xml:space="preserve">AI Administrator read access to facility settings is scoped to fields required for AI configuration context (facility name, tenant ID, active module list). No access to patient demographics, clinical data, financial records, billing configuration, or staff HR data.</w:t>
      </w:r>
    </w:p>
    <w:p>
      <w:pPr>
        <w:pStyle w:val="FirstParagraph"/>
      </w:pPr>
      <w:r>
        <w:rPr>
          <w:b/>
          <w:bCs/>
        </w:rPr>
        <w:t xml:space="preserve">Important data access note:</w:t>
      </w:r>
      <w:r>
        <w:t xml:space="preserve"> </w:t>
      </w:r>
      <w:r>
        <w:t xml:space="preserve">The AI Administrator role has no access to patient data. The</w:t>
      </w:r>
      <w:r>
        <w:t xml:space="preserve"> </w:t>
      </w:r>
      <w:r>
        <w:rPr>
          <w:rStyle w:val="VerbatimChar"/>
        </w:rPr>
        <w:t xml:space="preserve">ai_usage_log</w:t>
      </w:r>
      <w:r>
        <w:t xml:space="preserve"> </w:t>
      </w:r>
      <w:r>
        <w:t xml:space="preserve">table contains only anonymised encounter IDs, AI capability names, token counts, and timestamps. No clinical content, diagnosis text, patient names, or patient identifiers are stored in the</w:t>
      </w:r>
      <w:r>
        <w:t xml:space="preserve"> </w:t>
      </w:r>
      <w:r>
        <w:rPr>
          <w:rStyle w:val="VerbatimChar"/>
        </w:rPr>
        <w:t xml:space="preserve">ai_usage_log</w:t>
      </w:r>
      <w:r>
        <w:t xml:space="preserve"> </w:t>
      </w:r>
      <w:r>
        <w:t xml:space="preserve">table.</w:t>
      </w:r>
    </w:p>
    <w:p>
      <w:r>
        <w:pict>
          <v:rect style="width:0;height:1.5pt" o:hralign="center" o:hrstd="t" o:hr="t"/>
        </w:pict>
      </w:r>
    </w:p>
    <w:bookmarkEnd w:id="35"/>
    <w:bookmarkEnd w:id="36"/>
    <w:bookmarkStart w:id="42" w:name="Xee6cde330543e3086364af853c97d987352f533"/>
    <w:p>
      <w:pPr>
        <w:pStyle w:val="Heading2"/>
      </w:pPr>
      <w:r>
        <w:t xml:space="preserve">Section 3: Sensitive Record Access (ABAC Rules)</w:t>
      </w:r>
    </w:p>
    <w:p>
      <w:pPr>
        <w:pStyle w:val="FirstParagraph"/>
      </w:pPr>
      <w:r>
        <w:t xml:space="preserve">Attribute-Based Access Control (ABAC) rules govern access to sensitive clinical data categories. These rules are evaluated at the data access layer, not the UI layer, and override the general RBAC permissions defined in Section 2.</w:t>
      </w:r>
    </w:p>
    <w:bookmarkStart w:id="37" w:name="X87f49263a749fd5c11ad55277a796105ffd05c3"/>
    <w:p>
      <w:pPr>
        <w:pStyle w:val="Heading3"/>
      </w:pPr>
      <w:r>
        <w:t xml:space="preserve">3.1 HIV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a member of the patient's treating care team</w:t>
            </w:r>
            <w:r>
              <w:t xml:space="preserve"> </w:t>
            </w:r>
            <w:r>
              <w:rPr>
                <w:b/>
                <w:bCs/>
              </w:rPr>
              <w:t xml:space="preserve">and</w:t>
            </w:r>
            <w:r>
              <w:t xml:space="preserve"> </w:t>
            </w:r>
            <w:r>
              <w:t xml:space="preserve">hold the explicit</w:t>
            </w:r>
            <w:r>
              <w:t xml:space="preserve"> </w:t>
            </w:r>
            <w:r>
              <w:rPr>
                <w:rStyle w:val="VerbatimChar"/>
              </w:rPr>
              <w:t xml:space="preserve">hiv_programme</w:t>
            </w:r>
            <w:r>
              <w:t xml:space="preserve"> </w:t>
            </w:r>
            <w:r>
              <w:t xml:space="preserve">permission flag</w:t>
            </w:r>
          </w:p>
        </w:tc>
      </w:tr>
      <w:tr>
        <w:tc>
          <w:tcPr/>
          <w:p>
            <w:pPr>
              <w:pStyle w:val="Compact"/>
            </w:pPr>
            <w:r>
              <w:t xml:space="preserve">Denied scenario</w:t>
            </w:r>
          </w:p>
        </w:tc>
        <w:tc>
          <w:tcPr/>
          <w:p>
            <w:pPr>
              <w:pStyle w:val="Compact"/>
            </w:pPr>
            <w:r>
              <w:t xml:space="preserve">A Doctor not assigned to the HIV programme cannot view HIV status even though they have full clinical access</w:t>
            </w:r>
          </w:p>
        </w:tc>
      </w:tr>
      <w:tr>
        <w:tc>
          <w:tcPr/>
          <w:p>
            <w:pPr>
              <w:pStyle w:val="Compact"/>
            </w:pPr>
            <w:r>
              <w:t xml:space="preserve">Audit</w:t>
            </w:r>
          </w:p>
        </w:tc>
        <w:tc>
          <w:tcPr/>
          <w:p>
            <w:pPr>
              <w:pStyle w:val="Compact"/>
            </w:pPr>
            <w:r>
              <w:t xml:space="preserve">Every access to HIV status is logged with clinician ID, patient ID, timestamp, and access context</w:t>
            </w:r>
          </w:p>
        </w:tc>
      </w:tr>
    </w:tbl>
    <w:bookmarkEnd w:id="37"/>
    <w:bookmarkStart w:id="38" w:name="Xd68343390bf311c9808fbace120ccdd21481c7a"/>
    <w:p>
      <w:pPr>
        <w:pStyle w:val="Heading3"/>
      </w:pPr>
      <w:r>
        <w:t xml:space="preserve">3.2 Mental Health Diagnoses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current encounter or explicitly assigned to the patient's mental health care plan</w:t>
            </w:r>
          </w:p>
        </w:tc>
      </w:tr>
      <w:tr>
        <w:tc>
          <w:tcPr/>
          <w:p>
            <w:pPr>
              <w:pStyle w:val="Compact"/>
            </w:pPr>
            <w:r>
              <w:t xml:space="preserve">Denied scenario</w:t>
            </w:r>
          </w:p>
        </w:tc>
        <w:tc>
          <w:tcPr/>
          <w:p>
            <w:pPr>
              <w:pStyle w:val="Compact"/>
            </w:pPr>
            <w:r>
              <w:t xml:space="preserve">A Doctor reviewing lab results for the same patient does not see mental health diagnoses unless they are the treating clinician</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38"/>
    <w:bookmarkStart w:id="39" w:name="X40d25bc1c0351979854b4cac5f1e47a8eb2b5ee"/>
    <w:p>
      <w:pPr>
        <w:pStyle w:val="Heading3"/>
      </w:pPr>
      <w:r>
        <w:t xml:space="preserve">3.3 Reproductive Health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 Nurse/Midwife (</w:t>
            </w:r>
            <w:r>
              <w:rPr>
                <w:rStyle w:val="VerbatimChar"/>
              </w:rPr>
              <w:t xml:space="preserve">NU</w:t>
            </w:r>
            <w:r>
              <w:t xml:space="preserve">)</w:t>
            </w:r>
          </w:p>
        </w:tc>
      </w:tr>
      <w:tr>
        <w:tc>
          <w:tcPr/>
          <w:p>
            <w:pPr>
              <w:pStyle w:val="Compact"/>
            </w:pPr>
            <w:r>
              <w:t xml:space="preserve">Additional condition</w:t>
            </w:r>
          </w:p>
        </w:tc>
        <w:tc>
          <w:tcPr/>
          <w:p>
            <w:pPr>
              <w:pStyle w:val="Compact"/>
            </w:pPr>
            <w:r>
              <w:t xml:space="preserve">The clinician must be a member of the patient's treating care team for the current maternity, ANC, or reproductive health encounter</w:t>
            </w:r>
          </w:p>
        </w:tc>
      </w:tr>
      <w:tr>
        <w:tc>
          <w:tcPr/>
          <w:p>
            <w:pPr>
              <w:pStyle w:val="Compact"/>
            </w:pPr>
            <w:r>
              <w:t xml:space="preserve">Denied scenario</w:t>
            </w:r>
          </w:p>
        </w:tc>
        <w:tc>
          <w:tcPr/>
          <w:p>
            <w:pPr>
              <w:pStyle w:val="Compact"/>
            </w:pPr>
            <w:r>
              <w:t xml:space="preserve">A Lab Technician processing a pregnancy test result does not see the patient's reproductive health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39"/>
    <w:bookmarkStart w:id="40" w:name="Xca125d520ec4f4de8b6ed4aef445e2aac8d7e5d"/>
    <w:p>
      <w:pPr>
        <w:pStyle w:val="Heading3"/>
      </w:pPr>
      <w:r>
        <w:t xml:space="preserve">3.4 Substance Abuse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Additional condition</w:t>
            </w:r>
          </w:p>
        </w:tc>
        <w:tc>
          <w:tcPr/>
          <w:p>
            <w:pPr>
              <w:pStyle w:val="Compact"/>
            </w:pPr>
            <w:r>
              <w:t xml:space="preserve">The clinician must be the treating clinician for the substance abuse programme or current encounter</w:t>
            </w:r>
          </w:p>
        </w:tc>
      </w:tr>
      <w:tr>
        <w:tc>
          <w:tcPr/>
          <w:p>
            <w:pPr>
              <w:pStyle w:val="Compact"/>
            </w:pPr>
            <w:r>
              <w:t xml:space="preserve">Denied scenario</w:t>
            </w:r>
          </w:p>
        </w:tc>
        <w:tc>
          <w:tcPr/>
          <w:p>
            <w:pPr>
              <w:pStyle w:val="Compact"/>
            </w:pPr>
            <w:r>
              <w:t xml:space="preserve">A Pharmacist dispensing medication does not see substance abuse treatment history</w:t>
            </w:r>
          </w:p>
        </w:tc>
      </w:tr>
      <w:tr>
        <w:tc>
          <w:tcPr/>
          <w:p>
            <w:pPr>
              <w:pStyle w:val="Compact"/>
            </w:pPr>
            <w:r>
              <w:t xml:space="preserve">Audit</w:t>
            </w:r>
          </w:p>
        </w:tc>
        <w:tc>
          <w:tcPr/>
          <w:p>
            <w:pPr>
              <w:pStyle w:val="Compact"/>
            </w:pPr>
            <w:r>
              <w:t xml:space="preserve">Every access is logged with clinician ID, patient ID, timestamp, and access context</w:t>
            </w:r>
          </w:p>
        </w:tc>
      </w:tr>
    </w:tbl>
    <w:bookmarkEnd w:id="40"/>
    <w:bookmarkStart w:id="41" w:name="X069fa3d47f1dc4e8c706fd005b6b40aae65b598"/>
    <w:p>
      <w:pPr>
        <w:pStyle w:val="Heading3"/>
      </w:pPr>
      <w:r>
        <w:t xml:space="preserve">3.5 Emergency Override (Break-the-Glass)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Rule</w:t>
            </w:r>
          </w:p>
        </w:tc>
      </w:tr>
      <w:tr>
        <w:tc>
          <w:tcPr/>
          <w:p>
            <w:pPr>
              <w:pStyle w:val="Compact"/>
            </w:pPr>
            <w:r>
              <w:t xml:space="preserve">Permitted roles</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r>
      <w:tr>
        <w:tc>
          <w:tcPr/>
          <w:p>
            <w:pPr>
              <w:pStyle w:val="Compact"/>
            </w:pPr>
            <w:r>
              <w:t xml:space="preserve">Trigger</w:t>
            </w:r>
          </w:p>
        </w:tc>
        <w:tc>
          <w:tcPr/>
          <w:p>
            <w:pPr>
              <w:pStyle w:val="Compact"/>
            </w:pPr>
            <w:r>
              <w:t xml:space="preserve">Clinician invokes the "Emergency Access" function and provides a documented reason</w:t>
            </w:r>
          </w:p>
        </w:tc>
      </w:tr>
      <w:tr>
        <w:tc>
          <w:tcPr/>
          <w:p>
            <w:pPr>
              <w:pStyle w:val="Compact"/>
            </w:pPr>
            <w:r>
              <w:t xml:space="preserve">Scope revealed</w:t>
            </w:r>
          </w:p>
        </w:tc>
        <w:tc>
          <w:tcPr/>
          <w:p>
            <w:pPr>
              <w:pStyle w:val="Compact"/>
            </w:pPr>
            <w:r>
              <w:t xml:space="preserve">Allergies, current medications, blood group, HIV status (only if prior patient consent exists per BR-DATA-002), and the last 3 recorded diagnoses</w:t>
            </w:r>
          </w:p>
        </w:tc>
      </w:tr>
      <w:tr>
        <w:tc>
          <w:tcPr/>
          <w:p>
            <w:pPr>
              <w:pStyle w:val="Compact"/>
            </w:pPr>
            <w:r>
              <w:t xml:space="preserve">Expiry</w:t>
            </w:r>
          </w:p>
        </w:tc>
        <w:tc>
          <w:tcPr/>
          <w:p>
            <w:pPr>
              <w:pStyle w:val="Compact"/>
            </w:pPr>
            <w:r>
              <w:t xml:space="preserve">Access expires automatically after 24 hours</w:t>
            </w:r>
          </w:p>
        </w:tc>
      </w:tr>
      <w:tr>
        <w:tc>
          <w:tcPr/>
          <w:p>
            <w:pPr>
              <w:pStyle w:val="Compact"/>
            </w:pPr>
            <w:r>
              <w:t xml:space="preserve">Patient notification</w:t>
            </w:r>
          </w:p>
        </w:tc>
        <w:tc>
          <w:tcPr/>
          <w:p>
            <w:pPr>
              <w:pStyle w:val="Compact"/>
            </w:pPr>
            <w:r>
              <w:t xml:space="preserve">Patient is notified via SMS that their records were accessed under emergency override</w:t>
            </w:r>
          </w:p>
        </w:tc>
      </w:tr>
      <w:tr>
        <w:tc>
          <w:tcPr/>
          <w:p>
            <w:pPr>
              <w:pStyle w:val="Compact"/>
            </w:pPr>
            <w:r>
              <w:t xml:space="preserve">Audit</w:t>
            </w:r>
          </w:p>
        </w:tc>
        <w:tc>
          <w:tcPr/>
          <w:p>
            <w:pPr>
              <w:pStyle w:val="Compact"/>
            </w:pPr>
            <w:r>
              <w:t xml:space="preserve">Clinician ID, facility, patient ID, timestamp, reason, and all records accessed are logged. Break-the-glass events are flagged in the weekly compliance report for Facility Admin review</w:t>
            </w:r>
          </w:p>
        </w:tc>
      </w:tr>
    </w:tbl>
    <w:p>
      <w:r>
        <w:pict>
          <v:rect style="width:0;height:1.5pt" o:hralign="center" o:hrstd="t" o:hr="t"/>
        </w:pict>
      </w:r>
    </w:p>
    <w:bookmarkEnd w:id="41"/>
    <w:bookmarkEnd w:id="42"/>
    <w:bookmarkStart w:id="43" w:name="section-4-privilege-hierarchy"/>
    <w:p>
      <w:pPr>
        <w:pStyle w:val="Heading2"/>
      </w:pPr>
      <w:r>
        <w:t xml:space="preserve">Section 4: Privilege Hierarchy</w:t>
      </w:r>
    </w:p>
    <w:p>
      <w:pPr>
        <w:pStyle w:val="FirstParagraph"/>
      </w:pPr>
      <w:r>
        <w:t xml:space="preserve">For the purpose of role assignment, permission escalation review, and approval workflows, the privilege levels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Role(s)</w:t>
            </w:r>
          </w:p>
        </w:tc>
        <w:tc>
          <w:tcPr/>
          <w:p>
            <w:pPr>
              <w:pStyle w:val="Compact"/>
            </w:pPr>
            <w:r>
              <w:t xml:space="preserve">Scope</w:t>
            </w:r>
          </w:p>
        </w:tc>
      </w:tr>
      <w:tr>
        <w:tc>
          <w:tcPr/>
          <w:p>
            <w:pPr>
              <w:pStyle w:val="Compact"/>
            </w:pPr>
            <w:r>
              <w:t xml:space="preserve">7 (highest)</w:t>
            </w:r>
          </w:p>
        </w:tc>
        <w:tc>
          <w:tcPr/>
          <w:p>
            <w:pPr>
              <w:pStyle w:val="Compact"/>
            </w:pPr>
            <w:r>
              <w:t xml:space="preserve">Super Admin (</w:t>
            </w:r>
            <w:r>
              <w:rPr>
                <w:rStyle w:val="VerbatimChar"/>
              </w:rPr>
              <w:t xml:space="preserve">SA</w:t>
            </w:r>
            <w:r>
              <w:t xml:space="preserve">)</w:t>
            </w:r>
          </w:p>
        </w:tc>
        <w:tc>
          <w:tcPr/>
          <w:p>
            <w:pPr>
              <w:pStyle w:val="Compact"/>
            </w:pPr>
            <w:r>
              <w:t xml:space="preserve">Platform-wide, all tenants</w:t>
            </w:r>
          </w:p>
        </w:tc>
      </w:tr>
      <w:tr>
        <w:tc>
          <w:tcPr/>
          <w:p>
            <w:pPr>
              <w:pStyle w:val="Compact"/>
            </w:pPr>
            <w:r>
              <w:t xml:space="preserve">6</w:t>
            </w:r>
          </w:p>
        </w:tc>
        <w:tc>
          <w:tcPr/>
          <w:p>
            <w:pPr>
              <w:pStyle w:val="Compact"/>
            </w:pPr>
            <w:r>
              <w:t xml:space="preserve">Facility Admin (</w:t>
            </w:r>
            <w:r>
              <w:rPr>
                <w:rStyle w:val="VerbatimChar"/>
              </w:rPr>
              <w:t xml:space="preserve">FA</w:t>
            </w:r>
            <w:r>
              <w:t xml:space="preserve">)</w:t>
            </w:r>
          </w:p>
        </w:tc>
        <w:tc>
          <w:tcPr/>
          <w:p>
            <w:pPr>
              <w:pStyle w:val="Compact"/>
            </w:pPr>
            <w:r>
              <w:t xml:space="preserve">All modules, single tenant</w:t>
            </w:r>
          </w:p>
        </w:tc>
      </w:tr>
      <w:tr>
        <w:tc>
          <w:tcPr/>
          <w:p>
            <w:pPr>
              <w:pStyle w:val="Compact"/>
            </w:pPr>
            <w:r>
              <w:t xml:space="preserve">5</w:t>
            </w:r>
          </w:p>
        </w:tc>
        <w:tc>
          <w:tcPr/>
          <w:p>
            <w:pPr>
              <w:pStyle w:val="Compact"/>
            </w:pPr>
            <w:r>
              <w:t xml:space="preserve">Director / Owner (</w:t>
            </w:r>
            <w:r>
              <w:rPr>
                <w:rStyle w:val="VerbatimChar"/>
              </w:rPr>
              <w:t xml:space="preserve">DI</w:t>
            </w:r>
            <w:r>
              <w:t xml:space="preserve">)</w:t>
            </w:r>
          </w:p>
        </w:tc>
        <w:tc>
          <w:tcPr/>
          <w:p>
            <w:pPr>
              <w:pStyle w:val="Compact"/>
            </w:pPr>
            <w:r>
              <w:t xml:space="preserve">Aggregate reporting, approval workflows, financial oversight</w:t>
            </w:r>
          </w:p>
        </w:tc>
      </w:tr>
      <w:tr>
        <w:tc>
          <w:tcPr/>
          <w:p>
            <w:pPr>
              <w:pStyle w:val="Compact"/>
            </w:pPr>
            <w:r>
              <w:t xml:space="preserve">4</w:t>
            </w:r>
          </w:p>
        </w:tc>
        <w:tc>
          <w:tcPr/>
          <w:p>
            <w:pPr>
              <w:pStyle w:val="Compact"/>
            </w:pPr>
            <w:r>
              <w:t xml:space="preserve">Doctor (</w:t>
            </w:r>
            <w:r>
              <w:rPr>
                <w:rStyle w:val="VerbatimChar"/>
              </w:rPr>
              <w:t xml:space="preserve">DR</w:t>
            </w:r>
            <w:r>
              <w:t xml:space="preserve">), Clinical Officer (</w:t>
            </w:r>
            <w:r>
              <w:rPr>
                <w:rStyle w:val="VerbatimChar"/>
              </w:rPr>
              <w:t xml:space="preserve">CO</w:t>
            </w:r>
            <w:r>
              <w:t xml:space="preserve">)</w:t>
            </w:r>
          </w:p>
        </w:tc>
        <w:tc>
          <w:tcPr/>
          <w:p>
            <w:pPr>
              <w:pStyle w:val="Compact"/>
            </w:pPr>
            <w:r>
              <w:t xml:space="preserve">Full clinical scope within assigned facility</w:t>
            </w:r>
          </w:p>
        </w:tc>
      </w:tr>
      <w:tr>
        <w:tc>
          <w:tcPr/>
          <w:p>
            <w:pPr>
              <w:pStyle w:val="Compact"/>
            </w:pPr>
            <w:r>
              <w:t xml:space="preserve">3</w:t>
            </w:r>
          </w:p>
        </w:tc>
        <w:tc>
          <w:tcPr/>
          <w:p>
            <w:pPr>
              <w:pStyle w:val="Compact"/>
            </w:pPr>
            <w:r>
              <w:t xml:space="preserve">Nurse/Midwife (</w:t>
            </w:r>
            <w:r>
              <w:rPr>
                <w:rStyle w:val="VerbatimChar"/>
              </w:rPr>
              <w:t xml:space="preserve">NU</w:t>
            </w:r>
            <w:r>
              <w:t xml:space="preserve">), Pharmacist (</w:t>
            </w:r>
            <w:r>
              <w:rPr>
                <w:rStyle w:val="VerbatimChar"/>
              </w:rPr>
              <w:t xml:space="preserve">PH</w:t>
            </w:r>
            <w:r>
              <w:t xml:space="preserve">), Lab Technician (</w:t>
            </w:r>
            <w:r>
              <w:rPr>
                <w:rStyle w:val="VerbatimChar"/>
              </w:rPr>
              <w:t xml:space="preserve">LT</w:t>
            </w:r>
            <w:r>
              <w:t xml:space="preserve">), Radiographer (</w:t>
            </w:r>
            <w:r>
              <w:rPr>
                <w:rStyle w:val="VerbatimChar"/>
              </w:rPr>
              <w:t xml:space="preserve">RG</w:t>
            </w:r>
            <w:r>
              <w:t xml:space="preserve">)</w:t>
            </w:r>
          </w:p>
        </w:tc>
        <w:tc>
          <w:tcPr/>
          <w:p>
            <w:pPr>
              <w:pStyle w:val="Compact"/>
            </w:pPr>
            <w:r>
              <w:t xml:space="preserve">Domain-specific clinical scope</w:t>
            </w:r>
          </w:p>
        </w:tc>
      </w:tr>
      <w:tr>
        <w:tc>
          <w:tcPr/>
          <w:p>
            <w:pPr>
              <w:pStyle w:val="Compact"/>
            </w:pPr>
            <w:r>
              <w:t xml:space="preserve">2</w:t>
            </w:r>
          </w:p>
        </w:tc>
        <w:tc>
          <w:tcPr/>
          <w:p>
            <w:pPr>
              <w:pStyle w:val="Compact"/>
            </w:pPr>
            <w:r>
              <w:t xml:space="preserve">Receptionist (</w:t>
            </w:r>
            <w:r>
              <w:rPr>
                <w:rStyle w:val="VerbatimChar"/>
              </w:rPr>
              <w:t xml:space="preserve">RE</w:t>
            </w:r>
            <w:r>
              <w:t xml:space="preserve">), Cashier (</w:t>
            </w:r>
            <w:r>
              <w:rPr>
                <w:rStyle w:val="VerbatimChar"/>
              </w:rPr>
              <w:t xml:space="preserve">CA</w:t>
            </w:r>
            <w:r>
              <w:t xml:space="preserve">), Insurance Clerk (</w:t>
            </w:r>
            <w:r>
              <w:rPr>
                <w:rStyle w:val="VerbatimChar"/>
              </w:rPr>
              <w:t xml:space="preserve">IC</w:t>
            </w:r>
            <w:r>
              <w:t xml:space="preserve">), Accountant (</w:t>
            </w:r>
            <w:r>
              <w:rPr>
                <w:rStyle w:val="VerbatimChar"/>
              </w:rPr>
              <w:t xml:space="preserve">AC</w:t>
            </w:r>
            <w:r>
              <w:t xml:space="preserve">), Store Keeper (</w:t>
            </w:r>
            <w:r>
              <w:rPr>
                <w:rStyle w:val="VerbatimChar"/>
              </w:rPr>
              <w:t xml:space="preserve">SK</w:t>
            </w:r>
            <w:r>
              <w:t xml:space="preserve">), Records Officer (</w:t>
            </w:r>
            <w:r>
              <w:rPr>
                <w:rStyle w:val="VerbatimChar"/>
              </w:rPr>
              <w:t xml:space="preserve">RO</w:t>
            </w:r>
            <w:r>
              <w:t xml:space="preserve">), Auditor (</w:t>
            </w:r>
            <w:r>
              <w:rPr>
                <w:rStyle w:val="VerbatimChar"/>
              </w:rPr>
              <w:t xml:space="preserve">AU</w:t>
            </w:r>
            <w:r>
              <w:t xml:space="preserve">), AI Administrator (</w:t>
            </w:r>
            <w:r>
              <w:rPr>
                <w:rStyle w:val="VerbatimChar"/>
              </w:rPr>
              <w:t xml:space="preserve">AIADM</w:t>
            </w:r>
            <w:r>
              <w:t xml:space="preserve">)</w:t>
            </w:r>
          </w:p>
        </w:tc>
        <w:tc>
          <w:tcPr/>
          <w:p>
            <w:pPr>
              <w:pStyle w:val="Compact"/>
            </w:pPr>
            <w:r>
              <w:t xml:space="preserve">Administrative and AI module scope; no patient data access</w:t>
            </w:r>
          </w:p>
        </w:tc>
      </w:tr>
      <w:tr>
        <w:tc>
          <w:tcPr/>
          <w:p>
            <w:pPr>
              <w:pStyle w:val="Compact"/>
            </w:pPr>
            <w:r>
              <w:t xml:space="preserve">1 (lowest)</w:t>
            </w:r>
          </w:p>
        </w:tc>
        <w:tc>
          <w:tcPr/>
          <w:p>
            <w:pPr>
              <w:pStyle w:val="Compact"/>
            </w:pPr>
            <w:r>
              <w:t xml:space="preserve">Patient (</w:t>
            </w:r>
            <w:r>
              <w:rPr>
                <w:rStyle w:val="VerbatimChar"/>
              </w:rPr>
              <w:t xml:space="preserve">PT</w:t>
            </w:r>
            <w:r>
              <w:t xml:space="preserve">), Community Health Worker (</w:t>
            </w:r>
            <w:r>
              <w:rPr>
                <w:rStyle w:val="VerbatimChar"/>
              </w:rPr>
              <w:t xml:space="preserve">CHW</w:t>
            </w:r>
            <w:r>
              <w:t xml:space="preserve">)</w:t>
            </w:r>
          </w:p>
        </w:tc>
        <w:tc>
          <w:tcPr/>
          <w:p>
            <w:pPr>
              <w:pStyle w:val="Compact"/>
            </w:pPr>
            <w:r>
              <w:t xml:space="preserve">Own records or assigned community only</w:t>
            </w:r>
          </w:p>
        </w:tc>
      </w:tr>
    </w:tbl>
    <w:p>
      <w:pPr>
        <w:pStyle w:val="BodyText"/>
      </w:pPr>
      <w:r>
        <w:t xml:space="preserve">A user may only assign roles at levels strictly below their own level. A Facility Admin (level 6) may assign levels 1-5 but not level 6 or 7. The Super Admin is the only role that can create Facility Admin accounts.</w:t>
      </w:r>
    </w:p>
    <w:p>
      <w:r>
        <w:pict>
          <v:rect style="width:0;height:1.5pt" o:hralign="center" o:hrstd="t" o:hr="t"/>
        </w:pict>
      </w:r>
    </w:p>
    <w:bookmarkEnd w:id="43"/>
    <w:bookmarkStart w:id="44" w:name="section-5-implementation-notes"/>
    <w:p>
      <w:pPr>
        <w:pStyle w:val="Heading2"/>
      </w:pPr>
      <w:r>
        <w:t xml:space="preserve">Section 5: Implementation Notes</w:t>
      </w:r>
    </w:p>
    <w:p>
      <w:pPr>
        <w:numPr>
          <w:ilvl w:val="0"/>
          <w:numId w:val="1005"/>
        </w:numPr>
      </w:pPr>
      <w:r>
        <w:rPr>
          <w:b/>
          <w:bCs/>
        </w:rPr>
        <w:t xml:space="preserve">Permission resolution at login:</w:t>
      </w:r>
      <w:r>
        <w:t xml:space="preserve"> </w:t>
      </w:r>
      <w:r>
        <w:t xml:space="preserve">All resolved permissions for the authenticated user are loaded into a permission cache (Redis, 15-minute TTL per</w:t>
      </w:r>
      <w:r>
        <w:t xml:space="preserve"> </w:t>
      </w:r>
      <w:r>
        <w:rPr>
          <w:rStyle w:val="VerbatimChar"/>
        </w:rPr>
        <w:t xml:space="preserve">(user_id, facility_id)</w:t>
      </w:r>
      <w:r>
        <w:t xml:space="preserve"> </w:t>
      </w:r>
      <w:r>
        <w:t xml:space="preserve">key). On any role or permission change, the affected user's cache key is deleted immediately.</w:t>
      </w:r>
    </w:p>
    <w:p>
      <w:pPr>
        <w:numPr>
          <w:ilvl w:val="0"/>
          <w:numId w:val="1005"/>
        </w:numPr>
      </w:pPr>
      <w:r>
        <w:rPr>
          <w:b/>
          <w:bCs/>
        </w:rPr>
        <w:t xml:space="preserve">Custom roles:</w:t>
      </w:r>
      <w:r>
        <w:t xml:space="preserve"> </w:t>
      </w:r>
      <w:r>
        <w:t xml:space="preserve">Facility Admin may create custom roles that inherit from a built-in role. Custom roles may add or remove permissions from the base role, but cannot exceed the Facility Admin's own permission set. Custom role definitions are tenant-scoped and do not propagate across tenants.</w:t>
      </w:r>
    </w:p>
    <w:p>
      <w:pPr>
        <w:numPr>
          <w:ilvl w:val="0"/>
          <w:numId w:val="1005"/>
        </w:numPr>
      </w:pPr>
      <w:r>
        <w:rPr>
          <w:b/>
          <w:bCs/>
        </w:rPr>
        <w:t xml:space="preserve">ABAC evaluation layer:</w:t>
      </w:r>
      <w:r>
        <w:t xml:space="preserve"> </w:t>
      </w:r>
      <w:r>
        <w:t xml:space="preserve">Sensitive record access rules (Section 3) are enforced at the data access layer (Eloquent global scopes and Repository base class), not at the UI layer. The UI may hide elements for usability, but the authoritative access check occurs server-side. All ABAC rule evaluations are logged.</w:t>
      </w:r>
    </w:p>
    <w:p>
      <w:pPr>
        <w:numPr>
          <w:ilvl w:val="0"/>
          <w:numId w:val="1005"/>
        </w:numPr>
      </w:pPr>
      <w:r>
        <w:rPr>
          <w:b/>
          <w:bCs/>
        </w:rPr>
        <w:t xml:space="preserve">Audit trail for permission changes:</w:t>
      </w:r>
      <w:r>
        <w:t xml:space="preserve"> </w:t>
      </w:r>
      <w:r>
        <w:t xml:space="preserve">Every permission grant, revocation, role assignment, role creation, and custom role modification is recorded in the audit trail with: performing user, target user, permission/role affected, timestamp, and facility context.</w:t>
      </w:r>
    </w:p>
    <w:p>
      <w:pPr>
        <w:numPr>
          <w:ilvl w:val="0"/>
          <w:numId w:val="1005"/>
        </w:numPr>
      </w:pPr>
      <w:r>
        <w:rPr>
          <w:b/>
          <w:bCs/>
        </w:rPr>
        <w:t xml:space="preserve">Cross-facility access:</w:t>
      </w:r>
      <w:r>
        <w:t xml:space="preserve"> </w:t>
      </w:r>
      <w:r>
        <w:t xml:space="preserve">A user authenticated at Facility A cannot access clinical or financial data at Facility B unless they hold an explicit cross-facility permission grant. Cross-facility identity lookup (patient EMPI) is permitted for roles at privilege level 4 and above plus Receptionist and Records Officer. Cross-facility clinical data access requires emergency override (Section 3.5) or explicit patient consent.</w:t>
      </w:r>
    </w:p>
    <w:p>
      <w:pPr>
        <w:numPr>
          <w:ilvl w:val="0"/>
          <w:numId w:val="1005"/>
        </w:numPr>
      </w:pPr>
      <w:r>
        <w:rPr>
          <w:b/>
          <w:bCs/>
        </w:rPr>
        <w:t xml:space="preserve">Default deny:</w:t>
      </w:r>
      <w:r>
        <w:t xml:space="preserve"> </w:t>
      </w:r>
      <w:r>
        <w:t xml:space="preserve">Any permission not explicitly granted via a role assignment is denied. Requests targeting resources in a different tenant return HTTP 404 (not 403) to prevent tenant enumeration, per BR-DATA-004.</w:t>
      </w:r>
    </w:p>
    <w:p>
      <w:pPr>
        <w:numPr>
          <w:ilvl w:val="0"/>
          <w:numId w:val="1005"/>
        </w:numPr>
      </w:pPr>
      <w:r>
        <w:rPr>
          <w:b/>
          <w:bCs/>
        </w:rPr>
        <w:t xml:space="preserve">Tenant isolation enforcement:</w:t>
      </w:r>
      <w:r>
        <w:t xml:space="preserve"> </w:t>
      </w:r>
      <w:r>
        <w:t xml:space="preserve">Every tenant-scoped database query includes</w:t>
      </w:r>
      <w:r>
        <w:t xml:space="preserve"> </w:t>
      </w:r>
      <w:r>
        <w:rPr>
          <w:rStyle w:val="VerbatimChar"/>
        </w:rPr>
        <w:t xml:space="preserve">WHERE facility_id = ?</w:t>
      </w:r>
      <w:r>
        <w:t xml:space="preserve"> </w:t>
      </w:r>
      <w:r>
        <w:t xml:space="preserve">enforced at the Repository base class level. An Eloquent global scope provides secondary defence. Platform-level tables (global patient identity, tenant registry) are excluded from tenant scoping but are accessible only to Super Admin.</w:t>
      </w:r>
    </w:p>
    <w:p>
      <w:pPr>
        <w:numPr>
          <w:ilvl w:val="0"/>
          <w:numId w:val="1005"/>
        </w:numPr>
      </w:pPr>
      <w:r>
        <w:rPr>
          <w:b/>
          <w:bCs/>
        </w:rPr>
        <w:t xml:space="preserve">Offline permission cache:</w:t>
      </w:r>
      <w:r>
        <w:t xml:space="preserve"> </w:t>
      </w:r>
      <w:r>
        <w:t xml:space="preserve">For offline-first clinical workflows, the permission set is cached locally on the client device at login. Permissions are re-validated on sync. Any permission change made while offline takes effect on the next successful sync.</w:t>
      </w:r>
    </w:p>
    <w:bookmarkEnd w:id="44"/>
    <w:bookmarkEnd w:id="4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2026-04-17T06:42:19Z</dcterms:created>
  <dcterms:modified xsi:type="dcterms:W3CDTF">2026-04-17T06:42:19Z</dcterms:modified>
</cp:coreProperties>
</file>

<file path=docProps/custom.xml><?xml version="1.0" encoding="utf-8"?>
<Properties xmlns="http://schemas.openxmlformats.org/officeDocument/2006/custom-properties" xmlns:vt="http://schemas.openxmlformats.org/officeDocument/2006/docPropsVTypes"/>
</file>