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7b192823b896971fa63a8d45987057ecfc4ad0d"/>
    <w:p>
      <w:pPr>
        <w:pStyle w:val="Heading1"/>
      </w:pPr>
      <w:r>
        <w:t xml:space="preserve">Coding Guidelines -- Medic8 Healthcare Management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DA-02-01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-- Pending Consultant Review</w:t>
      </w:r>
    </w:p>
    <w:p>
      <w:r>
        <w:pict>
          <v:rect style="width:0;height:1.5pt" o:hralign="center" o:hrstd="t" o:hr="t"/>
        </w:pict>
      </w:r>
    </w:p>
    <w:bookmarkStart w:id="25" w:name="Xadcd69e455d8ed08951d8e7a9a1f25d6d3deeb0"/>
    <w:p>
      <w:pPr>
        <w:pStyle w:val="Heading2"/>
      </w:pPr>
      <w:r>
        <w:t xml:space="preserve">1. PHP Coding Standards</w:t>
      </w:r>
    </w:p>
    <w:bookmarkStart w:id="19" w:name="X37d78659887bf6a80c7aef643b44f77702e0895"/>
    <w:p>
      <w:pPr>
        <w:pStyle w:val="Heading3"/>
      </w:pPr>
      <w:r>
        <w:t xml:space="preserve">1.1 Language Configuration</w:t>
      </w:r>
    </w:p>
    <w:p>
      <w:pPr>
        <w:pStyle w:val="FirstParagraph"/>
      </w:pPr>
      <w:r>
        <w:t xml:space="preserve">Every PHP file in the application starts with: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 exceptions. Test files, configuration files, and migration files all include the strict types declaration.</w:t>
      </w:r>
    </w:p>
    <w:bookmarkEnd w:id="19"/>
    <w:bookmarkStart w:id="20" w:name="X5ab69f248c54c75934589587f8a21e2dc963696"/>
    <w:p>
      <w:pPr>
        <w:pStyle w:val="Heading3"/>
      </w:pPr>
      <w:r>
        <w:t xml:space="preserve">1.2 PSR-12 Compliance</w:t>
      </w:r>
    </w:p>
    <w:p>
      <w:pPr>
        <w:pStyle w:val="FirstParagraph"/>
      </w:pPr>
      <w:r>
        <w:t xml:space="preserve">All code follows PSR-12 Extended Coding Style. PHP CS Fixer enforces this in CI with the following non-default rules: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ordered_imports</w:t>
      </w:r>
      <w:r>
        <w:t xml:space="preserve"> </w:t>
      </w:r>
      <w:r>
        <w:t xml:space="preserve">-- imports sorted alphabetically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no_unused_imports</w:t>
      </w:r>
      <w:r>
        <w:t xml:space="preserve"> </w:t>
      </w:r>
      <w:r>
        <w:t xml:space="preserve">-- unused imports removed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trailing_comma_in_multiline</w:t>
      </w:r>
      <w:r>
        <w:t xml:space="preserve"> </w:t>
      </w:r>
      <w:r>
        <w:t xml:space="preserve">-- trailing commas in multiline arrays, arguments, and parameters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single_quote</w:t>
      </w:r>
      <w:r>
        <w:t xml:space="preserve"> </w:t>
      </w:r>
      <w:r>
        <w:t xml:space="preserve">-- single quotes for strings that do not contain interpolation</w:t>
      </w:r>
    </w:p>
    <w:bookmarkEnd w:id="20"/>
    <w:bookmarkStart w:id="21" w:name="X0dec981e2b3149bcdc6f3d27eeb636e6c277681"/>
    <w:p>
      <w:pPr>
        <w:pStyle w:val="Heading3"/>
      </w:pPr>
      <w:r>
        <w:t xml:space="preserve">1.3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PascalCase, singular noun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PascalCase with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PatientRepositoryInterface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camelCase, verb-first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getPatient()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createEncounter()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dispenseFor()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camelCase, descriptive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$facilityId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$prescriptionItems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MAX_LOGIN_ATTEMPTS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CDS_TIER_FATAL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PascalCase class, PascalCase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TiagePriority::Emergency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key</w:t>
            </w:r>
          </w:p>
        </w:tc>
        <w:tc>
          <w:tcPr/>
          <w:p>
            <w:pPr>
              <w:pStyle w:val="Compact"/>
            </w:pPr>
            <w:r>
              <w:t xml:space="preserve">snake_case, dot-separated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medic8.cds.alert_timeout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parameter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/patients/{patientId}/encounters/{encounterId}</w:t>
            </w:r>
          </w:p>
        </w:tc>
      </w:tr>
    </w:tbl>
    <w:bookmarkEnd w:id="21"/>
    <w:bookmarkStart w:id="22" w:name="X21d76e9c10b58c304a6a3423f6cf6fc7ce00a18"/>
    <w:p>
      <w:pPr>
        <w:pStyle w:val="Heading3"/>
      </w:pPr>
      <w:r>
        <w:t xml:space="preserve">1.4 Type Hints</w:t>
      </w:r>
    </w:p>
    <w:p>
      <w:pPr>
        <w:pStyle w:val="Compact"/>
        <w:numPr>
          <w:ilvl w:val="0"/>
          <w:numId w:val="1002"/>
        </w:numPr>
      </w:pPr>
      <w:r>
        <w:t xml:space="preserve">All method parameters must have type hints</w:t>
      </w:r>
    </w:p>
    <w:p>
      <w:pPr>
        <w:pStyle w:val="Compact"/>
        <w:numPr>
          <w:ilvl w:val="0"/>
          <w:numId w:val="1002"/>
        </w:numPr>
      </w:pPr>
      <w:r>
        <w:t xml:space="preserve">All method return types must be declared</w:t>
      </w:r>
    </w:p>
    <w:p>
      <w:pPr>
        <w:pStyle w:val="Compact"/>
        <w:numPr>
          <w:ilvl w:val="0"/>
          <w:numId w:val="1002"/>
        </w:numPr>
      </w:pPr>
      <w:r>
        <w:t xml:space="preserve">Use union types (</w:t>
      </w:r>
      <w:r>
        <w:rPr>
          <w:rStyle w:val="VerbatimChar"/>
        </w:rPr>
        <w:t xml:space="preserve">string|int</w:t>
      </w:r>
      <w:r>
        <w:t xml:space="preserve">) sparingly; prefer specific types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?Type</w:t>
      </w:r>
      <w:r>
        <w:t xml:space="preserve"> </w:t>
      </w:r>
      <w:r>
        <w:t xml:space="preserve">for nullable parameters; never pass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 a default for non-nullable parameters</w:t>
      </w:r>
    </w:p>
    <w:p>
      <w:pPr>
        <w:pStyle w:val="Compact"/>
        <w:numPr>
          <w:ilvl w:val="0"/>
          <w:numId w:val="1002"/>
        </w:numPr>
      </w:pPr>
      <w:r>
        <w:t xml:space="preserve">Use PHP 8.2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standalone types where semantically appropriate</w:t>
      </w:r>
    </w:p>
    <w:p>
      <w:pPr>
        <w:pStyle w:val="Compact"/>
        <w:numPr>
          <w:ilvl w:val="0"/>
          <w:numId w:val="1002"/>
        </w:numPr>
      </w:pPr>
      <w:r>
        <w:t xml:space="preserve">Array type hints must specify the element type in PHPDoc:</w:t>
      </w:r>
      <w:r>
        <w:t xml:space="preserve"> </w:t>
      </w:r>
      <w:r>
        <w:rPr>
          <w:rStyle w:val="VerbatimChar"/>
        </w:rPr>
        <w:t xml:space="preserve">@param array&lt;int, Patient&gt; $patients</w:t>
      </w:r>
    </w:p>
    <w:bookmarkEnd w:id="22"/>
    <w:bookmarkStart w:id="23" w:name="X7028ed7226fa2cc137e9fb809f7b03eed9e07cd"/>
    <w:p>
      <w:pPr>
        <w:pStyle w:val="Heading3"/>
      </w:pPr>
      <w:r>
        <w:t xml:space="preserve">1.5 Constructor Promotion</w:t>
      </w:r>
    </w:p>
    <w:p>
      <w:pPr>
        <w:pStyle w:val="FirstParagraph"/>
      </w:pPr>
      <w:r>
        <w:t xml:space="preserve">Use constructor promotion for dependency injection and value objects: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PatientRepositoryInterface </w:t>
      </w:r>
      <w:r>
        <w:rPr>
          <w:rStyle w:val="VariableTok"/>
        </w:rPr>
        <w:t xml:space="preserve">$patientRepository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EMPIService </w:t>
      </w:r>
      <w:r>
        <w:rPr>
          <w:rStyle w:val="VariableTok"/>
        </w:rPr>
        <w:t xml:space="preserve">$empiService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946bbd7ce166f3eaed064fe367051882c0ed64c"/>
    <w:p>
      <w:pPr>
        <w:pStyle w:val="Heading3"/>
      </w:pPr>
      <w:r>
        <w:t xml:space="preserve">1.6 Enums</w:t>
      </w:r>
    </w:p>
    <w:p>
      <w:pPr>
        <w:pStyle w:val="FirstParagraph"/>
      </w:pPr>
      <w:r>
        <w:t xml:space="preserve">Use PHP 8.1+ backed enums for all domain value sets: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TriagePriority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SemiUrgent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'semi_urgent'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NonUrgent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'non_urgent'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CDSAlertTier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Store the backed value in the database. Cast to the enum in the Eloquent model.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c1cf9cccb100f9495d1c78b0f8a0507194d5326"/>
    <w:p>
      <w:pPr>
        <w:pStyle w:val="Heading2"/>
      </w:pPr>
      <w:r>
        <w:t xml:space="preserve">2. Laravel Conventions</w:t>
      </w:r>
    </w:p>
    <w:bookmarkStart w:id="26" w:name="X743ff1409f74e72b64f45b9c553acfa90c0aa28"/>
    <w:p>
      <w:pPr>
        <w:pStyle w:val="Heading3"/>
      </w:pPr>
      <w:r>
        <w:t xml:space="preserve">2.1 Controllers</w:t>
      </w:r>
    </w:p>
    <w:p>
      <w:pPr>
        <w:pStyle w:val="FirstParagraph"/>
      </w:pPr>
      <w:r>
        <w:t xml:space="preserve">Controllers are resource controllers with a maximum of 5 public methods: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HTTP 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</w:t>
            </w:r>
          </w:p>
        </w:tc>
        <w:tc>
          <w:tcPr/>
          <w:p>
            <w:pPr>
              <w:pStyle w:val="Compact"/>
            </w:pPr>
            <w:r>
              <w:t xml:space="preserve">List (paginated)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Read single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PUT/PATCH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destroy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pPr>
        <w:pStyle w:val="BodyText"/>
      </w:pPr>
      <w:r>
        <w:t xml:space="preserve">If a resource requires additional actions (e.g.,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discharge</w:t>
      </w:r>
      <w:r>
        <w:t xml:space="preserve">), create a dedicated single-action controller: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MergePatientController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(MergePatientRequest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-&gt;patientService-&gt;merge(</w:t>
      </w:r>
      <w:r>
        <w:rPr>
          <w:rStyle w:val="VariableTok"/>
        </w:rPr>
        <w:t xml:space="preserve">$patientId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PatientResource(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'Patient records merged successfully'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 =&gt;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Xbc59206745455df167a9ed92cffdaeb47bc729d"/>
    <w:p>
      <w:pPr>
        <w:pStyle w:val="Heading3"/>
      </w:pPr>
      <w:r>
        <w:t xml:space="preserve">2.2 Form Requests</w:t>
      </w:r>
    </w:p>
    <w:p>
      <w:pPr>
        <w:pStyle w:val="FirstParagraph"/>
      </w:pPr>
      <w:r>
        <w:t xml:space="preserve">One Form Request per endpoint, named</w:t>
      </w:r>
      <w:r>
        <w:t xml:space="preserve"> </w:t>
      </w:r>
      <w:r>
        <w:rPr>
          <w:rStyle w:val="VerbatimChar"/>
        </w:rPr>
        <w:t xml:space="preserve">{Action}{Resource}Request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Form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RegisterPatientRequest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/patients/{id}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UpdatePatientRequest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/encounters/{id}/prescriptions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CreatePrescriptionRequest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/lab-results/{id}/validate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ValidateLabResultRequest</w:t>
            </w:r>
          </w:p>
        </w:tc>
      </w:tr>
    </w:tbl>
    <w:p>
      <w:pPr>
        <w:pStyle w:val="BodyText"/>
      </w:pPr>
      <w:r>
        <w:t xml:space="preserve">Form Requests handle:</w:t>
      </w:r>
    </w:p>
    <w:p>
      <w:pPr>
        <w:pStyle w:val="Compact"/>
        <w:numPr>
          <w:ilvl w:val="0"/>
          <w:numId w:val="1003"/>
        </w:numPr>
      </w:pPr>
      <w:r>
        <w:t xml:space="preserve">Validation rules (including custom rules like</w:t>
      </w:r>
      <w:r>
        <w:t xml:space="preserve"> </w:t>
      </w:r>
      <w:r>
        <w:rPr>
          <w:rStyle w:val="VerbatimChar"/>
        </w:rPr>
        <w:t xml:space="preserve">ICD10Code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UgandaPhoneNumber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Authorisation via the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method (delegates to Policy)</w:t>
      </w:r>
    </w:p>
    <w:p>
      <w:pPr>
        <w:pStyle w:val="Compact"/>
        <w:numPr>
          <w:ilvl w:val="0"/>
          <w:numId w:val="1003"/>
        </w:numPr>
      </w:pPr>
      <w:r>
        <w:t xml:space="preserve">Input sanitisation via</w:t>
      </w:r>
      <w:r>
        <w:t xml:space="preserve"> </w:t>
      </w:r>
      <w:r>
        <w:rPr>
          <w:rStyle w:val="VerbatimChar"/>
        </w:rPr>
        <w:t xml:space="preserve">prepareForValidation()</w:t>
      </w:r>
      <w:r>
        <w:t xml:space="preserve"> </w:t>
      </w:r>
      <w:r>
        <w:t xml:space="preserve">(e.g., normalise phone numbers to +256 format)</w:t>
      </w:r>
    </w:p>
    <w:bookmarkEnd w:id="27"/>
    <w:bookmarkStart w:id="28" w:name="X8005a5c9e5e2195720e00d462679a977b833e9a"/>
    <w:p>
      <w:pPr>
        <w:pStyle w:val="Heading3"/>
      </w:pPr>
      <w:r>
        <w:t xml:space="preserve">2.3 API Resources</w:t>
      </w:r>
    </w:p>
    <w:p>
      <w:pPr>
        <w:pStyle w:val="FirstParagraph"/>
      </w:pPr>
      <w:r>
        <w:t xml:space="preserve">Use Laravel API Resources to transform model data into API responses. Never return Eloquent models directly from controllers.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PatientResource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JsonResource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toArray(Request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'mrn'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-&gt;sex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-&gt;date_of_birth-&gt;toDateString()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-&gt;blood_group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'registered_at'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-&gt;created_at-&gt;toIso8601String()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is never included in API responses. Patient NIN and other PHI fields are omitted from list responses and included only in detail responses with appropriate ABAC checks.</w:t>
      </w:r>
    </w:p>
    <w:bookmarkEnd w:id="28"/>
    <w:bookmarkStart w:id="29" w:name="Xaf163d044267535bd8246b1c5fec2ce328ddc02"/>
    <w:p>
      <w:pPr>
        <w:pStyle w:val="Heading3"/>
      </w:pPr>
      <w:r>
        <w:t xml:space="preserve">2.4 Policies</w:t>
      </w:r>
    </w:p>
    <w:p>
      <w:pPr>
        <w:pStyle w:val="FirstParagraph"/>
      </w:pPr>
      <w:r>
        <w:t xml:space="preserve">Every model that supports authorisation has a Policy class. Policies are the single source of truth for access control: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Patient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-&gt;facility_id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-&gt;facility_id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-&gt;hasPermission(</w:t>
      </w:r>
      <w:r>
        <w:rPr>
          <w:rStyle w:val="StringTok"/>
        </w:rPr>
        <w:t xml:space="preserve">'patients.view'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viewSensitive(User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Patient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-&gt;view(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-&gt;hasAttribute(</w:t>
      </w:r>
      <w:r>
        <w:rPr>
          <w:rStyle w:val="StringTok"/>
        </w:rPr>
        <w:t xml:space="preserve">'sensitive_record_access'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Sensitive record access (HIV, mental health, reproductive health, substance abuse) uses Attribute-Based Access Control (ABAC) layered on top of RBAC (BR-DATA-001, HIGH-005).</w:t>
      </w:r>
    </w:p>
    <w:bookmarkEnd w:id="29"/>
    <w:bookmarkStart w:id="30" w:name="X77070a3f085b8f53de4663633630f5385c331ed"/>
    <w:p>
      <w:pPr>
        <w:pStyle w:val="Heading3"/>
      </w:pPr>
      <w:r>
        <w:t xml:space="preserve">2.5 Observers</w:t>
      </w:r>
    </w:p>
    <w:p>
      <w:pPr>
        <w:pStyle w:val="FirstParagraph"/>
      </w:pPr>
      <w:r>
        <w:t xml:space="preserve">Observers are used only for cross-cutting concerns that apply uniformly to a model lifecycle. Permitted uses: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AuditObserver:</w:t>
      </w:r>
      <w:r>
        <w:t xml:space="preserve"> </w:t>
      </w:r>
      <w:r>
        <w:t xml:space="preserve">logs create, update, delete events to the audit trail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CacheInvalidationObserver:</w:t>
      </w:r>
      <w:r>
        <w:t xml:space="preserve"> </w:t>
      </w:r>
      <w:r>
        <w:t xml:space="preserve">clears relevant cache keys on model changes</w:t>
      </w:r>
    </w:p>
    <w:p>
      <w:pPr>
        <w:pStyle w:val="FirstParagraph"/>
      </w:pPr>
      <w:r>
        <w:t xml:space="preserve">Observers must not contain business logic. If a model change triggers a business action (e.g., dispensing a drug triggers a billing charge), use an Event/Listener pair instead.</w:t>
      </w:r>
    </w:p>
    <w:bookmarkEnd w:id="30"/>
    <w:bookmarkStart w:id="31" w:name="Xa3bb89e980f1366324dc71de7b327636db9cfae"/>
    <w:p>
      <w:pPr>
        <w:pStyle w:val="Heading3"/>
      </w:pPr>
      <w:r>
        <w:t xml:space="preserve">2.6 Events and Listeners</w:t>
      </w:r>
    </w:p>
    <w:p>
      <w:pPr>
        <w:pStyle w:val="FirstParagraph"/>
      </w:pPr>
      <w:r>
        <w:t xml:space="preserve">Domain events are dispatched by services for significant state changes:</w:t>
      </w:r>
    </w:p>
    <w:p>
      <w:pPr>
        <w:pStyle w:val="SourceCode"/>
      </w:pPr>
      <w:r>
        <w:rPr>
          <w:rStyle w:val="CommentTok"/>
        </w:rPr>
        <w:t xml:space="preserve">// In PharmacyService::dispense()</w:t>
      </w:r>
      <w:r>
        <w:br/>
      </w:r>
      <w:r>
        <w:rPr>
          <w:rStyle w:val="NormalTok"/>
        </w:rPr>
        <w:t xml:space="preserve">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DrugDispensed(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Listeners handle cross-module side effects: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  <w:tc>
          <w:tcPr/>
          <w:p>
            <w:pPr>
              <w:pStyle w:val="Compact"/>
            </w:pPr>
            <w:r>
              <w:t xml:space="preserve">Creates billing charge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DeductStockOnDrugDispensed</w:t>
            </w:r>
          </w:p>
        </w:tc>
        <w:tc>
          <w:tcPr/>
          <w:p>
            <w:pPr>
              <w:pStyle w:val="Compact"/>
            </w:pPr>
            <w:r>
              <w:t xml:space="preserve">Reduces pharmacy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LogNarcoticOnDrugDispensed</w:t>
            </w:r>
          </w:p>
        </w:tc>
        <w:tc>
          <w:tcPr/>
          <w:p>
            <w:pPr>
              <w:pStyle w:val="Compact"/>
            </w:pPr>
            <w:r>
              <w:t xml:space="preserve">Adds narcotic register entry if controlled substance (BR-RX-001)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CheckCriticalValueOnLabResult</w:t>
            </w:r>
          </w:p>
        </w:tc>
        <w:tc>
          <w:tcPr/>
          <w:p>
            <w:pPr>
              <w:pStyle w:val="Compact"/>
            </w:pPr>
            <w:r>
              <w:t xml:space="preserve">Triggers escalation if panic threshold exceeded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RunEMPIMatchOnPatientRegistered</w:t>
            </w:r>
          </w:p>
        </w:tc>
        <w:tc>
          <w:tcPr/>
          <w:p>
            <w:pPr>
              <w:pStyle w:val="Compact"/>
            </w:pPr>
            <w:r>
              <w:t xml:space="preserve">Runs duplicate detection (BR-PID-002)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VitalSignsRecorded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CalculateNEWS2OnVitalSigns</w:t>
            </w:r>
          </w:p>
        </w:tc>
        <w:tc>
          <w:tcPr/>
          <w:p>
            <w:pPr>
              <w:pStyle w:val="Compact"/>
            </w:pPr>
            <w:r>
              <w:t xml:space="preserve">Computes Early Warning Score (BR-CLIN-007)</w:t>
            </w:r>
          </w:p>
        </w:tc>
      </w:tr>
    </w:tbl>
    <w:bookmarkEnd w:id="31"/>
    <w:bookmarkStart w:id="32" w:name="X981886be2f4fbe56b56d916a097f8701f7cbece"/>
    <w:p>
      <w:pPr>
        <w:pStyle w:val="Heading3"/>
      </w:pPr>
      <w:r>
        <w:t xml:space="preserve">2.7 Service Provider Registration</w:t>
      </w:r>
    </w:p>
    <w:p>
      <w:pPr>
        <w:pStyle w:val="Compact"/>
        <w:numPr>
          <w:ilvl w:val="0"/>
          <w:numId w:val="1005"/>
        </w:numPr>
      </w:pPr>
      <w:r>
        <w:t xml:space="preserve">Bind repository interfaces to concrete implementations in</w:t>
      </w:r>
      <w:r>
        <w:t xml:space="preserve"> </w:t>
      </w:r>
      <w:r>
        <w:rPr>
          <w:rStyle w:val="VerbatimChar"/>
        </w:rPr>
        <w:t xml:space="preserve">AppServiceProvider</w:t>
      </w:r>
    </w:p>
    <w:p>
      <w:pPr>
        <w:pStyle w:val="Compact"/>
        <w:numPr>
          <w:ilvl w:val="0"/>
          <w:numId w:val="1005"/>
        </w:numPr>
      </w:pPr>
      <w:r>
        <w:t xml:space="preserve">Register event-listener mappings in</w:t>
      </w:r>
      <w:r>
        <w:t xml:space="preserve"> </w:t>
      </w:r>
      <w:r>
        <w:rPr>
          <w:rStyle w:val="VerbatimChar"/>
        </w:rPr>
        <w:t xml:space="preserve">EventServiceProvider</w:t>
      </w:r>
    </w:p>
    <w:p>
      <w:pPr>
        <w:pStyle w:val="Compact"/>
        <w:numPr>
          <w:ilvl w:val="0"/>
          <w:numId w:val="1005"/>
        </w:numPr>
      </w:pPr>
      <w:r>
        <w:t xml:space="preserve">Register custom validation rules in</w:t>
      </w:r>
      <w:r>
        <w:t xml:space="preserve"> </w:t>
      </w:r>
      <w:r>
        <w:rPr>
          <w:rStyle w:val="VerbatimChar"/>
        </w:rPr>
        <w:t xml:space="preserve">AppServiceProvider::boot()</w:t>
      </w:r>
    </w:p>
    <w:p>
      <w:pPr>
        <w:pStyle w:val="Compact"/>
        <w:numPr>
          <w:ilvl w:val="0"/>
          <w:numId w:val="1005"/>
        </w:numPr>
      </w:pPr>
      <w:r>
        <w:t xml:space="preserve">Use contextual binding for services that vary by tenant configuration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2dabdd3892afbb9308ee1341858ef10fdea7736"/>
    <w:p>
      <w:pPr>
        <w:pStyle w:val="Heading2"/>
      </w:pPr>
      <w:r>
        <w:t xml:space="preserve">3. Healthcare-Specific Conventions</w:t>
      </w:r>
    </w:p>
    <w:bookmarkStart w:id="34" w:name="X774068290bfdec4c21c22fcdd48cabd4a5f04fe"/>
    <w:p>
      <w:pPr>
        <w:pStyle w:val="Heading3"/>
      </w:pPr>
      <w:r>
        <w:t xml:space="preserve">3.1 Tenant Context Propagation</w:t>
      </w:r>
    </w:p>
    <w:p>
      <w:pPr>
        <w:pStyle w:val="FirstParagraph"/>
      </w:pPr>
      <w:r>
        <w:t xml:space="preserve">All clinical data methods accept the facility context implicitly via the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singleton bound by</w:t>
      </w:r>
      <w:r>
        <w:t xml:space="preserve"> </w:t>
      </w:r>
      <w:r>
        <w:rPr>
          <w:rStyle w:val="VerbatimChar"/>
        </w:rPr>
        <w:t xml:space="preserve">TenantMiddleware</w:t>
      </w:r>
      <w:r>
        <w:t xml:space="preserve">. Services do not accept</w:t>
      </w:r>
      <w:r>
        <w:t xml:space="preserve"> </w:t>
      </w:r>
      <w:r>
        <w:rPr>
          <w:rStyle w:val="VerbatimChar"/>
        </w:rPr>
        <w:t xml:space="preserve">$facilityId</w:t>
      </w:r>
      <w:r>
        <w:t xml:space="preserve"> </w:t>
      </w:r>
      <w:r>
        <w:t xml:space="preserve">as a parameter on every method; instead, the repository resolves it from the bound context: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facilityId()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app(TenantContext::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)-&gt;facilityId()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scopedQuery()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-&gt;model-&gt;newQuery()-&gt;where(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operations that explicitly cross tenant boundaries (e.g., EMPI lookup, Super Admin reports), use</w:t>
      </w:r>
      <w:r>
        <w:t xml:space="preserve"> </w:t>
      </w:r>
      <w:r>
        <w:rPr>
          <w:rStyle w:val="VerbatimChar"/>
        </w:rPr>
        <w:t xml:space="preserve">TenantContext::asGlobal()</w:t>
      </w:r>
      <w:r>
        <w:t xml:space="preserve"> </w:t>
      </w:r>
      <w:r>
        <w:t xml:space="preserve">with audit logging.</w:t>
      </w:r>
    </w:p>
    <w:bookmarkEnd w:id="34"/>
    <w:bookmarkStart w:id="35" w:name="X11f18c182bbfaa1d1c3c7adc719e8c5d55f948b"/>
    <w:p>
      <w:pPr>
        <w:pStyle w:val="Heading3"/>
      </w:pPr>
      <w:r>
        <w:t xml:space="preserve">3.2 Drug Name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generic_name</w:t>
      </w:r>
      <w:r>
        <w:t xml:space="preserve"> </w:t>
      </w:r>
      <w:r>
        <w:t xml:space="preserve">(WHO International Nonproprietary Name) -- always populated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Secondary:</w:t>
      </w:r>
      <w:r>
        <w:t xml:space="preserve"> </w:t>
      </w:r>
      <w:r>
        <w:rPr>
          <w:rStyle w:val="VerbatimChar"/>
        </w:rPr>
        <w:t xml:space="preserve">brand_name</w:t>
      </w:r>
      <w:r>
        <w:t xml:space="preserve"> </w:t>
      </w:r>
      <w:r>
        <w:t xml:space="preserve">-- nullable, populated when the facility uses brand names</w:t>
      </w:r>
    </w:p>
    <w:p>
      <w:pPr>
        <w:pStyle w:val="Compact"/>
        <w:numPr>
          <w:ilvl w:val="0"/>
          <w:numId w:val="1006"/>
        </w:numPr>
      </w:pPr>
      <w:r>
        <w:t xml:space="preserve">Drug selection interfaces display:</w:t>
      </w:r>
      <w:r>
        <w:t xml:space="preserve"> </w:t>
      </w:r>
      <w:r>
        <w:rPr>
          <w:rStyle w:val="VerbatimChar"/>
        </w:rPr>
        <w:t xml:space="preserve">generic_name (brand_name)</w:t>
      </w:r>
      <w:r>
        <w:t xml:space="preserve"> </w:t>
      </w:r>
      <w:r>
        <w:t xml:space="preserve">e.g., "Amoxicillin (Amoxil)"</w:t>
      </w:r>
    </w:p>
    <w:p>
      <w:pPr>
        <w:pStyle w:val="Compact"/>
        <w:numPr>
          <w:ilvl w:val="0"/>
          <w:numId w:val="1006"/>
        </w:numPr>
      </w:pPr>
      <w:r>
        <w:t xml:space="preserve">Tall Man Lettering applied to LASA drugs in selection interfaces (BR-RX-003)</w:t>
      </w:r>
    </w:p>
    <w:bookmarkEnd w:id="35"/>
    <w:bookmarkStart w:id="36" w:name="X0867da0f7cd333a4b28cf898139bbd10ed49d0d"/>
    <w:p>
      <w:pPr>
        <w:pStyle w:val="Heading3"/>
      </w:pPr>
      <w:r>
        <w:t xml:space="preserve">3.3 ICD Code Storage</w:t>
      </w:r>
    </w:p>
    <w:p>
      <w:pPr>
        <w:pStyle w:val="FirstParagraph"/>
      </w:pPr>
      <w:r>
        <w:t xml:space="preserve">Every diagnosis stores both the code and the version: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'icd_code'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"J18.9"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-&gt;tinyInteger(</w:t>
      </w:r>
      <w:r>
        <w:rPr>
          <w:rStyle w:val="StringTok"/>
        </w:rPr>
        <w:t xml:space="preserve">'icd_version'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 or 11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'clinical_description'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"Pneumonia, unspecified organism"</w:t>
      </w:r>
    </w:p>
    <w:p>
      <w:pPr>
        <w:pStyle w:val="FirstParagraph"/>
      </w:pPr>
      <w:r>
        <w:t xml:space="preserve">Free-text diagnosis entry is not permitted (BR-DATA-006). The UI provides a searchable ICD-10/ICD-11 lookup with auto-complete.</w:t>
      </w:r>
    </w:p>
    <w:bookmarkEnd w:id="36"/>
    <w:bookmarkStart w:id="37" w:name="X5a74a6f295f98502d57dc8645cd501d5ee4436f"/>
    <w:p>
      <w:pPr>
        <w:pStyle w:val="Heading3"/>
      </w:pPr>
      <w:r>
        <w:t xml:space="preserve">3.4 Laboratory Value Storage</w:t>
      </w:r>
    </w:p>
    <w:p>
      <w:pPr>
        <w:pStyle w:val="FirstParagraph"/>
      </w:pPr>
      <w:r>
        <w:t xml:space="preserve">Lab results always store the numeric value, unit, and reference range: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'value'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"mmol/L", "g/dL", "cells/uL"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'reference_low'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'reference_high'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"H", "L", "HH" (critical high), "LL" (critical low)</w:t>
      </w:r>
    </w:p>
    <w:bookmarkEnd w:id="37"/>
    <w:bookmarkStart w:id="38" w:name="Xed56aa1894094ac5238d46b6b909c95469ae6af"/>
    <w:p>
      <w:pPr>
        <w:pStyle w:val="Heading3"/>
      </w:pPr>
      <w:r>
        <w:t xml:space="preserve">3.5 Vital Sign Standards</w:t>
      </w:r>
    </w:p>
    <w:p>
      <w:pPr>
        <w:pStyle w:val="FirstParagraph"/>
      </w:pPr>
      <w:r>
        <w:t xml:space="preserve">All vital signs are stored in metric units. Conversion happens at input if the source provides non-metric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Vital Sign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Column Type</w:t>
            </w:r>
          </w:p>
        </w:tc>
        <w:tc>
          <w:tcPr/>
          <w:p>
            <w:pPr>
              <w:pStyle w:val="Compac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Celsius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35.0 -- 42.0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 (systolic)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60 -- 250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 (diastolic)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30 -- 150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smallInteger</w:t>
            </w:r>
          </w:p>
        </w:tc>
        <w:tc>
          <w:tcPr/>
          <w:p>
            <w:pPr>
              <w:pStyle w:val="Compact"/>
            </w:pPr>
            <w:r>
              <w:t xml:space="preserve">30 -- 220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50 -- 100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0.50 -- 300.00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20.0 -- 250.0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kg/m2</w:t>
            </w:r>
          </w:p>
        </w:tc>
        <w:tc>
          <w:tcPr/>
          <w:p>
            <w:pPr>
              <w:pStyle w:val="Compact"/>
            </w:pPr>
            <w:r>
              <w:t xml:space="preserve">calculated, not stored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5.0 -- 40.0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rate</w:t>
            </w:r>
          </w:p>
        </w:tc>
        <w:tc>
          <w:tcPr/>
          <w:p>
            <w:pPr>
              <w:pStyle w:val="Compact"/>
            </w:pPr>
            <w:r>
              <w:t xml:space="preserve">breaths/min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5 -- 60</w:t>
            </w:r>
          </w:p>
        </w:tc>
      </w:tr>
    </w:tbl>
    <w:p>
      <w:pPr>
        <w:pStyle w:val="BodyText"/>
      </w:pPr>
      <w:r>
        <w:t xml:space="preserve">BMI is calculated from weight and height at query time, never stored.</w:t>
      </w:r>
    </w:p>
    <w:bookmarkEnd w:id="38"/>
    <w:bookmarkStart w:id="39" w:name="Xc5343ef5d9a6c7c440a6e3c4f5689548e21c90c"/>
    <w:p>
      <w:pPr>
        <w:pStyle w:val="Heading3"/>
      </w:pPr>
      <w:r>
        <w:t xml:space="preserve">3.6 Date and Time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All timestamps stored in UTC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Converted to the facility's configured timezone (</w:t>
      </w:r>
      <w:r>
        <w:rPr>
          <w:rStyle w:val="VerbatimChar"/>
        </w:rPr>
        <w:t xml:space="preserve">facilities.timezone</w:t>
      </w:r>
      <w:r>
        <w:t xml:space="preserve"> </w:t>
      </w:r>
      <w:r>
        <w:t xml:space="preserve">column)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Patient-facing:</w:t>
      </w:r>
      <w:r>
        <w:t xml:space="preserve"> </w:t>
      </w:r>
      <w:r>
        <w:t xml:space="preserve">Dates displayed in the facility's locale format (e.g., DD/MM/YYYY for Uganda)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responses:</w:t>
      </w:r>
      <w:r>
        <w:t xml:space="preserve"> </w:t>
      </w:r>
      <w:r>
        <w:t xml:space="preserve">ISO 8601 format (</w:t>
      </w:r>
      <w:r>
        <w:rPr>
          <w:rStyle w:val="VerbatimChar"/>
        </w:rPr>
        <w:t xml:space="preserve">2026-04-03T14:30:00Z</w:t>
      </w:r>
      <w:r>
        <w:t xml:space="preserve">)</w:t>
      </w:r>
    </w:p>
    <w:bookmarkEnd w:id="39"/>
    <w:bookmarkStart w:id="40" w:name="Xf30f407f3d92f9a85b274ab254f64f599b47f18"/>
    <w:p>
      <w:pPr>
        <w:pStyle w:val="Heading3"/>
      </w:pPr>
      <w:r>
        <w:t xml:space="preserve">3.7 Money and Currency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Always in the smallest currency unit as a</w:t>
      </w:r>
      <w:r>
        <w:t xml:space="preserve"> </w:t>
      </w:r>
      <w:r>
        <w:rPr>
          <w:rStyle w:val="VerbatimChar"/>
        </w:rPr>
        <w:t xml:space="preserve">bigInteger</w:t>
      </w:r>
    </w:p>
    <w:p>
      <w:pPr>
        <w:pStyle w:val="Compact"/>
        <w:numPr>
          <w:ilvl w:val="1"/>
          <w:numId w:val="1009"/>
        </w:numPr>
      </w:pPr>
      <w:r>
        <w:t xml:space="preserve">UGX: store as integer (1 UGX = 1 unit, no decimals)</w:t>
      </w:r>
    </w:p>
    <w:p>
      <w:pPr>
        <w:pStyle w:val="Compact"/>
        <w:numPr>
          <w:ilvl w:val="1"/>
          <w:numId w:val="1009"/>
        </w:numPr>
      </w:pPr>
      <w:r>
        <w:t xml:space="preserve">KES: store as cents (100 cents = 1 KES)</w:t>
      </w:r>
    </w:p>
    <w:p>
      <w:pPr>
        <w:pStyle w:val="Compact"/>
        <w:numPr>
          <w:ilvl w:val="1"/>
          <w:numId w:val="1009"/>
        </w:numPr>
      </w:pPr>
      <w:r>
        <w:t xml:space="preserve">USD: store as cents (100 cents = 1 USD)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Format using</w:t>
      </w:r>
      <w:r>
        <w:t xml:space="preserve"> </w:t>
      </w:r>
      <w:r>
        <w:rPr>
          <w:rStyle w:val="VerbatimChar"/>
        </w:rPr>
        <w:t xml:space="preserve">NumberFormatter</w:t>
      </w:r>
      <w:r>
        <w:t xml:space="preserve"> </w:t>
      </w:r>
      <w:r>
        <w:t xml:space="preserve">with the facility's currency locale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Arithmetic: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 </w:t>
      </w:r>
      <w:r>
        <w:t xml:space="preserve">functions for all calculations; never use floating-point arithmetic on money values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Rounding:</w:t>
      </w:r>
      <w:r>
        <w:t xml:space="preserve"> </w:t>
      </w:r>
      <w:r>
        <w:t xml:space="preserve">Round to the nearest whole unit after all calculations are complete, not during intermediate steps</w:t>
      </w:r>
    </w:p>
    <w:bookmarkEnd w:id="40"/>
    <w:bookmarkStart w:id="41" w:name="Xbeb1f3c319ca9f689a39f43a9d1d36284951a74"/>
    <w:p>
      <w:pPr>
        <w:pStyle w:val="Heading3"/>
      </w:pPr>
      <w:r>
        <w:t xml:space="preserve">3.8 Patient Age</w:t>
      </w:r>
    </w:p>
    <w:p>
      <w:pPr>
        <w:pStyle w:val="FirstParagraph"/>
      </w:pPr>
      <w:r>
        <w:t xml:space="preserve">Patient age is never stored as a database field. Always calculate from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Patient model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getAgeAttribute()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getAgeInMonthsAttribute()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-&gt;date_of_birth-&gt;diffInMonths(now())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patients where only an estimated age is known at registration, calculate and store an estimated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 </w:t>
      </w:r>
      <w:r>
        <w:t xml:space="preserve">(1 January of the estimated birth year).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2a306b1d3fd7a8403b8b851c576619e442c920f"/>
    <w:p>
      <w:pPr>
        <w:pStyle w:val="Heading2"/>
      </w:pPr>
      <w:r>
        <w:t xml:space="preserve">4. Error Handling</w:t>
      </w:r>
    </w:p>
    <w:bookmarkStart w:id="43" w:name="Xbee4797c06c3388594d6d9ea132f0bfff029809"/>
    <w:p>
      <w:pPr>
        <w:pStyle w:val="Heading3"/>
      </w:pPr>
      <w:r>
        <w:t xml:space="preserve">4.1 Typed Exceptions</w:t>
      </w:r>
    </w:p>
    <w:p>
      <w:pPr>
        <w:pStyle w:val="FirstParagraph"/>
      </w:pPr>
      <w:r>
        <w:t xml:space="preserve">Every domain-specific error has a typed exception class: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When Thrown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Patient ID does not exist in this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Encounter ID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CDSAlertException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CDS rule fired an alert requiring acknowledgement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PrescribingViolationException</w:t>
            </w:r>
          </w:p>
        </w:tc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Five Rights check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TenantViolationException</w:t>
            </w:r>
          </w:p>
        </w:tc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Cross-tenant data access attempted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ConsentRequiredException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Sensitive data access without patient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DuplicatePatientException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EMPI match exceeds 80%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InsufficientStockException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Pharmacy stock insufficient for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CriticalValueException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Lab result exceeds panic threshold (internal, triggers escalation)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DischargeIncompleteException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Discharge attempted without required documentation (BR-CLIN-009)</w:t>
            </w:r>
          </w:p>
        </w:tc>
      </w:tr>
    </w:tbl>
    <w:bookmarkEnd w:id="43"/>
    <w:bookmarkStart w:id="44" w:name="X1b5cfc761804f96abfa5741b80ca3e7be11597e"/>
    <w:p>
      <w:pPr>
        <w:pStyle w:val="Heading3"/>
      </w:pPr>
      <w:r>
        <w:t xml:space="preserve">4.2 Exception Hierarchy</w:t>
      </w:r>
    </w:p>
    <w:p>
      <w:pPr>
        <w:pStyle w:val="FirstParagraph"/>
      </w:pPr>
      <w:r>
        <w:t xml:space="preserve">All Medic8 exceptions extend a common base: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Medic8Exception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RuntimeException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is always attached for audit and debugging purposes.</w:t>
      </w:r>
    </w:p>
    <w:bookmarkEnd w:id="44"/>
    <w:bookmarkStart w:id="45" w:name="Xa0c7750871a6ff0af69082d0b093761f224f05d"/>
    <w:p>
      <w:pPr>
        <w:pStyle w:val="Heading3"/>
      </w:pPr>
      <w:r>
        <w:t xml:space="preserve">4.3 Exception Handling Rules</w:t>
      </w:r>
    </w:p>
    <w:p>
      <w:pPr>
        <w:pStyle w:val="Compact"/>
        <w:numPr>
          <w:ilvl w:val="0"/>
          <w:numId w:val="1010"/>
        </w:numPr>
      </w:pPr>
      <w:r>
        <w:t xml:space="preserve">Never catch generic</w:t>
      </w:r>
      <w:r>
        <w:t xml:space="preserve"> </w:t>
      </w:r>
      <w:r>
        <w:rPr>
          <w:rStyle w:val="VerbatimChar"/>
        </w:rPr>
        <w:t xml:space="preserve">\Exception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\Throwable</w:t>
      </w:r>
      <w:r>
        <w:t xml:space="preserve"> </w:t>
      </w:r>
      <w:r>
        <w:t xml:space="preserve">in service classes -- let exceptions propagate to the global exception handler</w:t>
      </w:r>
    </w:p>
    <w:p>
      <w:pPr>
        <w:pStyle w:val="Compact"/>
        <w:numPr>
          <w:ilvl w:val="0"/>
          <w:numId w:val="1010"/>
        </w:numPr>
      </w:pPr>
      <w:r>
        <w:t xml:space="preserve">The global exception handler (</w:t>
      </w:r>
      <w:r>
        <w:rPr>
          <w:rStyle w:val="VerbatimChar"/>
        </w:rPr>
        <w:t xml:space="preserve">app/Exceptions/Handler.php</w:t>
      </w:r>
      <w:r>
        <w:t xml:space="preserve">) maps typed exceptions to HTTP response codes and the standard envelope format</w:t>
      </w:r>
    </w:p>
    <w:p>
      <w:pPr>
        <w:pStyle w:val="Compact"/>
        <w:numPr>
          <w:ilvl w:val="0"/>
          <w:numId w:val="1010"/>
        </w:numPr>
      </w:pPr>
      <w:r>
        <w:t xml:space="preserve">Log all exceptions with facility context:</w:t>
      </w:r>
      <w:r>
        <w:t xml:space="preserve"> </w:t>
      </w:r>
      <w:r>
        <w:rPr>
          <w:rStyle w:val="VerbatimChar"/>
        </w:rPr>
        <w:t xml:space="preserve">Log::error($e-&gt;getMessage(), ['facility_id' =&gt; $e-&gt;facilityId, 'context' =&gt; $e-&gt;context])</w:t>
      </w:r>
    </w:p>
    <w:p>
      <w:pPr>
        <w:pStyle w:val="Compact"/>
        <w:numPr>
          <w:ilvl w:val="0"/>
          <w:numId w:val="1010"/>
        </w:numPr>
      </w:pPr>
      <w:r>
        <w:t xml:space="preserve">For CDS exceptions: log the alert details (drug names, interaction severity, patient weight) for clinical audit</w:t>
      </w:r>
    </w:p>
    <w:p>
      <w:pPr>
        <w:pStyle w:val="Compact"/>
        <w:numPr>
          <w:ilvl w:val="0"/>
          <w:numId w:val="1010"/>
        </w:numPr>
      </w:pPr>
      <w:r>
        <w:t xml:space="preserve">Never expose internal exception messages to API consumers in production; return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from the typed exception only</w:t>
      </w:r>
    </w:p>
    <w:bookmarkEnd w:id="45"/>
    <w:bookmarkStart w:id="46" w:name="X70bf1eddf6f870bb99447b8397cf47b35ac94ff"/>
    <w:p>
      <w:pPr>
        <w:pStyle w:val="Heading3"/>
      </w:pPr>
      <w:r>
        <w:t xml:space="preserve">4.4 Retry and Circuit Breaker</w:t>
      </w:r>
    </w:p>
    <w:p>
      <w:pPr>
        <w:pStyle w:val="FirstParagraph"/>
      </w:pPr>
      <w:r>
        <w:t xml:space="preserve">External service calls (Africa's Talking SMS, MTN MoMo, DHIS2, FHIR) use retry logic:</w:t>
      </w:r>
    </w:p>
    <w:p>
      <w:pPr>
        <w:pStyle w:val="Compact"/>
        <w:numPr>
          <w:ilvl w:val="0"/>
          <w:numId w:val="1011"/>
        </w:numPr>
      </w:pPr>
      <w:r>
        <w:t xml:space="preserve">Retry up to 3 times with exponential backoff (1s, 2s, 4s)</w:t>
      </w:r>
    </w:p>
    <w:p>
      <w:pPr>
        <w:pStyle w:val="Compact"/>
        <w:numPr>
          <w:ilvl w:val="0"/>
          <w:numId w:val="1011"/>
        </w:numPr>
      </w:pPr>
      <w:r>
        <w:t xml:space="preserve">After 3 failures, log the error and queue the operation for manual retry</w:t>
      </w:r>
    </w:p>
    <w:p>
      <w:pPr>
        <w:pStyle w:val="Compact"/>
        <w:numPr>
          <w:ilvl w:val="0"/>
          <w:numId w:val="1011"/>
        </w:numPr>
      </w:pPr>
      <w:r>
        <w:t xml:space="preserve">Circuit breaker: if an external service fails 10 consecutive times within 5 minutes, stop calling it for 30 minutes and alert the Facility Admin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52b32594419ff1137bd65b1eecbbb4653195b65"/>
    <w:p>
      <w:pPr>
        <w:pStyle w:val="Heading2"/>
      </w:pPr>
      <w:r>
        <w:t xml:space="preserve">5. Security Conventions</w:t>
      </w:r>
    </w:p>
    <w:bookmarkStart w:id="48" w:name="X306b7ce2442c5f271657874a7fa830e53c76b5d"/>
    <w:p>
      <w:pPr>
        <w:pStyle w:val="Heading3"/>
      </w:pPr>
      <w:r>
        <w:t xml:space="preserve">5.1 PHI Logging Prohibition</w:t>
      </w:r>
    </w:p>
    <w:p>
      <w:pPr>
        <w:pStyle w:val="FirstParagraph"/>
      </w:pPr>
      <w:r>
        <w:t xml:space="preserve">The following fields must never appear in application logs, error messages, or exception context:</w:t>
      </w:r>
    </w:p>
    <w:p>
      <w:pPr>
        <w:pStyle w:val="Compact"/>
        <w:numPr>
          <w:ilvl w:val="0"/>
          <w:numId w:val="1012"/>
        </w:numPr>
      </w:pPr>
      <w:r>
        <w:t xml:space="preserve">Patient name (first_name, last_name)</w:t>
      </w:r>
    </w:p>
    <w:p>
      <w:pPr>
        <w:pStyle w:val="Compact"/>
        <w:numPr>
          <w:ilvl w:val="0"/>
          <w:numId w:val="1012"/>
        </w:numPr>
      </w:pPr>
      <w:r>
        <w:t xml:space="preserve">National Identification Number (NIN)</w:t>
      </w:r>
    </w:p>
    <w:p>
      <w:pPr>
        <w:pStyle w:val="Compact"/>
        <w:numPr>
          <w:ilvl w:val="0"/>
          <w:numId w:val="1012"/>
        </w:numPr>
      </w:pPr>
      <w:r>
        <w:t xml:space="preserve">Phone number</w:t>
      </w:r>
    </w:p>
    <w:p>
      <w:pPr>
        <w:pStyle w:val="Compact"/>
        <w:numPr>
          <w:ilvl w:val="0"/>
          <w:numId w:val="1012"/>
        </w:numPr>
      </w:pPr>
      <w:r>
        <w:t xml:space="preserve">Diagnoses (ICD codes or clinical descriptions)</w:t>
      </w:r>
    </w:p>
    <w:p>
      <w:pPr>
        <w:pStyle w:val="Compact"/>
        <w:numPr>
          <w:ilvl w:val="0"/>
          <w:numId w:val="1012"/>
        </w:numPr>
      </w:pPr>
      <w:r>
        <w:t xml:space="preserve">HIV status</w:t>
      </w:r>
    </w:p>
    <w:p>
      <w:pPr>
        <w:pStyle w:val="Compact"/>
        <w:numPr>
          <w:ilvl w:val="0"/>
          <w:numId w:val="1012"/>
        </w:numPr>
      </w:pPr>
      <w:r>
        <w:t xml:space="preserve">Mental health notes</w:t>
      </w:r>
    </w:p>
    <w:p>
      <w:pPr>
        <w:pStyle w:val="Compact"/>
        <w:numPr>
          <w:ilvl w:val="0"/>
          <w:numId w:val="1012"/>
        </w:numPr>
      </w:pPr>
      <w:r>
        <w:t xml:space="preserve">Prescriptions and medication lists</w:t>
      </w:r>
    </w:p>
    <w:p>
      <w:pPr>
        <w:pStyle w:val="FirstParagraph"/>
      </w:pPr>
      <w:r>
        <w:t xml:space="preserve">Log the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(integer) instead. A developer or support engineer can look up the patient by ID through the application with appropriate ABAC permissions.</w:t>
      </w:r>
    </w:p>
    <w:p>
      <w:pPr>
        <w:pStyle w:val="SourceCode"/>
      </w:pPr>
      <w:r>
        <w:rPr>
          <w:rStyle w:val="CommentTok"/>
        </w:rPr>
        <w:t xml:space="preserve">// WRONG -- logs PHI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"Registered patient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-&gt;first_name}</w:t>
      </w:r>
      <w:r>
        <w:rPr>
          <w:rStyle w:val="StringTok"/>
        </w:rPr>
        <w:t xml:space="preserve">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-&gt;last_name}</w:t>
      </w:r>
      <w:r>
        <w:rPr>
          <w:rStyle w:val="StringTok"/>
        </w:rPr>
        <w:t xml:space="preserve">, NIN: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-&gt;nin}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 -- logs reference only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"Patient registered"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8"/>
    <w:bookmarkStart w:id="49" w:name="X7c360119815c37c0ec637a6ecc3f422aa1935aa"/>
    <w:p>
      <w:pPr>
        <w:pStyle w:val="Heading3"/>
      </w:pPr>
      <w:r>
        <w:t xml:space="preserve">5.2 Tenant Isolation in Code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 </w:t>
      </w:r>
      <w:r>
        <w:t xml:space="preserve">in application code outside of</w:t>
      </w:r>
      <w:r>
        <w:t xml:space="preserve"> </w:t>
      </w:r>
      <w:r>
        <w:rPr>
          <w:rStyle w:val="VerbatimChar"/>
        </w:rPr>
        <w:t xml:space="preserve">database/migrations/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DB::raw()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without explicit tenant scope</w:t>
      </w:r>
    </w:p>
    <w:p>
      <w:pPr>
        <w:pStyle w:val="Compact"/>
        <w:numPr>
          <w:ilvl w:val="0"/>
          <w:numId w:val="101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Model::withoutGlobalScopes()</w:t>
      </w:r>
      <w:r>
        <w:t xml:space="preserve"> </w:t>
      </w:r>
      <w:r>
        <w:t xml:space="preserve">in production code -- only in tests or admin tooling with audit</w:t>
      </w:r>
    </w:p>
    <w:p>
      <w:pPr>
        <w:pStyle w:val="Compact"/>
        <w:numPr>
          <w:ilvl w:val="0"/>
          <w:numId w:val="1013"/>
        </w:numPr>
      </w:pPr>
      <w:r>
        <w:t xml:space="preserve">Always access data through the repository layer, which enforces</w:t>
      </w:r>
      <w:r>
        <w:t xml:space="preserve"> </w:t>
      </w:r>
      <w:r>
        <w:rPr>
          <w:rStyle w:val="VerbatimChar"/>
        </w:rPr>
        <w:t xml:space="preserve">WHERE facility_id = ?</w:t>
      </w:r>
    </w:p>
    <w:p>
      <w:pPr>
        <w:pStyle w:val="SourceCode"/>
      </w:pPr>
      <w:r>
        <w:rPr>
          <w:rStyle w:val="CommentTok"/>
        </w:rPr>
        <w:t xml:space="preserve">// WRONG -- bypasses tenant scope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'patients'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WRONG -- removes tenant safety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Patient::withoutGlobalScopes()-&gt;where(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 -- repository enforces tenant scope</w:t>
      </w:r>
      <w:r>
        <w:br/>
      </w:r>
      <w:r>
        <w:rPr>
          <w:rStyle w:val="VariableTok"/>
        </w:rPr>
        <w:t xml:space="preserve">$patients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-&gt;patientRepository-&gt;searchByLastName(</w:t>
      </w:r>
      <w:r>
        <w:rPr>
          <w:rStyle w:val="StringTok"/>
        </w:rPr>
        <w:t xml:space="preserve">'Nakamya'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9"/>
    <w:bookmarkStart w:id="50" w:name="X237860e59daa51380c684395d9c4337af2ef700"/>
    <w:p>
      <w:pPr>
        <w:pStyle w:val="Heading3"/>
      </w:pPr>
      <w:r>
        <w:t xml:space="preserve">5.3 API Response Security</w:t>
      </w:r>
    </w:p>
    <w:p>
      <w:pPr>
        <w:pStyle w:val="Compact"/>
        <w:numPr>
          <w:ilvl w:val="0"/>
          <w:numId w:val="1014"/>
        </w:numPr>
      </w:pPr>
      <w:r>
        <w:t xml:space="preserve">Never expose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in API responses -- clients do not need to know their tenant ID</w:t>
      </w:r>
    </w:p>
    <w:p>
      <w:pPr>
        <w:pStyle w:val="Compact"/>
        <w:numPr>
          <w:ilvl w:val="0"/>
          <w:numId w:val="1014"/>
        </w:numPr>
      </w:pPr>
      <w:r>
        <w:t xml:space="preserve">Never expose database IDs for cross-resource references in public-facing APIs; use UUIDs for patient-facing endpoints (patient portal, mobile app)</w:t>
      </w:r>
    </w:p>
    <w:p>
      <w:pPr>
        <w:pStyle w:val="Compact"/>
        <w:numPr>
          <w:ilvl w:val="0"/>
          <w:numId w:val="1014"/>
        </w:numPr>
      </w:pPr>
      <w:r>
        <w:t xml:space="preserve">Never return full stack traces in production error responses</w:t>
      </w:r>
    </w:p>
    <w:p>
      <w:pPr>
        <w:pStyle w:val="Compact"/>
        <w:numPr>
          <w:ilvl w:val="0"/>
          <w:numId w:val="1014"/>
        </w:numPr>
      </w:pPr>
      <w:r>
        <w:t xml:space="preserve">Strip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headers at the web server level</w:t>
      </w:r>
    </w:p>
    <w:bookmarkEnd w:id="50"/>
    <w:bookmarkStart w:id="51" w:name="Xc0edb84d8a9b0f670c743b2360710510f771e3b"/>
    <w:p>
      <w:pPr>
        <w:pStyle w:val="Heading3"/>
      </w:pPr>
      <w:r>
        <w:t xml:space="preserve">5.4 File Upload Security</w:t>
      </w:r>
    </w:p>
    <w:p>
      <w:pPr>
        <w:pStyle w:val="FirstParagraph"/>
      </w:pPr>
      <w:r>
        <w:t xml:space="preserve">All file uploads (clinical documents, medical images, patient photos) are validated: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MIME type whitelist: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application/dicom</w:t>
      </w:r>
      <w:r>
        <w:t xml:space="preserve"> </w:t>
      </w:r>
      <w:r>
        <w:t xml:space="preserve">(configurable per upload context)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Maximum size:</w:t>
      </w:r>
      <w:r>
        <w:t xml:space="preserve"> </w:t>
      </w:r>
      <w:r>
        <w:t xml:space="preserve">10 MB for documents, 50 MB for DICOM images, 2 MB for patient photos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Malware scan:</w:t>
      </w:r>
      <w:r>
        <w:t xml:space="preserve"> </w:t>
      </w:r>
      <w:r>
        <w:t xml:space="preserve">ClamAV scan before storing to S3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uploaded to S3 with a randomised key (</w:t>
      </w:r>
      <w:r>
        <w:rPr>
          <w:rStyle w:val="VerbatimChar"/>
        </w:rPr>
        <w:t xml:space="preserve">{facilityId}/{uuid}.{ext}</w:t>
      </w:r>
      <w:r>
        <w:t xml:space="preserve">); never stored in the public web root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served through a signed URL with 15-minute expiry, not through a public URL</w:t>
      </w:r>
    </w:p>
    <w:bookmarkEnd w:id="51"/>
    <w:bookmarkStart w:id="52" w:name="Xb5990c804ce4e3ba0bc283c50dbce6f1710058a"/>
    <w:p>
      <w:pPr>
        <w:pStyle w:val="Heading3"/>
      </w:pPr>
      <w:r>
        <w:t xml:space="preserve">5.5 SQL Injection Prevention</w:t>
      </w:r>
    </w:p>
    <w:p>
      <w:pPr>
        <w:pStyle w:val="Compact"/>
        <w:numPr>
          <w:ilvl w:val="0"/>
          <w:numId w:val="1016"/>
        </w:numPr>
      </w:pPr>
      <w:r>
        <w:t xml:space="preserve">All queries use parameterised bindings via Eloquent or Query Builder</w:t>
      </w:r>
    </w:p>
    <w:p>
      <w:pPr>
        <w:pStyle w:val="Compact"/>
        <w:numPr>
          <w:ilvl w:val="0"/>
          <w:numId w:val="1016"/>
        </w:numPr>
      </w:pPr>
      <w:r>
        <w:t xml:space="preserve">String interpolation in SQL is prohibited</w:t>
      </w:r>
    </w:p>
    <w:p>
      <w:pPr>
        <w:pStyle w:val="Compact"/>
        <w:numPr>
          <w:ilvl w:val="0"/>
          <w:numId w:val="1016"/>
        </w:numPr>
      </w:pPr>
      <w:r>
        <w:t xml:space="preserve">CI scans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for patterns:</w:t>
      </w:r>
      <w:r>
        <w:t xml:space="preserve"> </w:t>
      </w:r>
      <w:r>
        <w:rPr>
          <w:rStyle w:val="VerbatimChar"/>
        </w:rPr>
        <w:t xml:space="preserve">DB::raw(".*\$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-&gt;whereRaw(".*\$</w:t>
      </w:r>
      <w:r>
        <w:t xml:space="preserve">,</w:t>
      </w:r>
      <w:r>
        <w:t xml:space="preserve"> </w:t>
      </w:r>
      <w:r>
        <w:rPr>
          <w:rStyle w:val="VerbatimChar"/>
        </w:rPr>
        <w:t xml:space="preserve">DB::statement(".*\$</w:t>
      </w:r>
      <w:r>
        <w:t xml:space="preserve"> </w:t>
      </w:r>
      <w:r>
        <w:t xml:space="preserve">and fails on matches</w:t>
      </w:r>
    </w:p>
    <w:bookmarkEnd w:id="52"/>
    <w:bookmarkStart w:id="53" w:name="X6504eee92e855b10228e2554b850f2bf1fa6f92"/>
    <w:p>
      <w:pPr>
        <w:pStyle w:val="Heading3"/>
      </w:pPr>
      <w:r>
        <w:t xml:space="preserve">5.6 XSS Prevention</w:t>
      </w:r>
    </w:p>
    <w:p>
      <w:pPr>
        <w:pStyle w:val="Compact"/>
        <w:numPr>
          <w:ilvl w:val="0"/>
          <w:numId w:val="1017"/>
        </w:numPr>
      </w:pPr>
      <w:r>
        <w:t xml:space="preserve">All Blade output uses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(escaped). The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syntax is prohibited except for:</w:t>
      </w:r>
    </w:p>
    <w:p>
      <w:pPr>
        <w:pStyle w:val="Compact"/>
        <w:numPr>
          <w:ilvl w:val="1"/>
          <w:numId w:val="1018"/>
        </w:numPr>
      </w:pPr>
      <w:r>
        <w:t xml:space="preserve">FHIR narrative HTML (sanitised through HTMLPurifier before rendering)</w:t>
      </w:r>
    </w:p>
    <w:p>
      <w:pPr>
        <w:pStyle w:val="Compact"/>
        <w:numPr>
          <w:ilvl w:val="1"/>
          <w:numId w:val="1018"/>
        </w:numPr>
      </w:pPr>
      <w:r>
        <w:t xml:space="preserve">Rich-text clinical notes (sanitised through HTMLPurifier with a medical whitelist: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&lt;th&gt;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JavaScript: no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assignments;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for dynamic text insertion</w:t>
      </w:r>
    </w:p>
    <w:p>
      <w:pPr>
        <w:pStyle w:val="Compact"/>
        <w:numPr>
          <w:ilvl w:val="0"/>
          <w:numId w:val="1017"/>
        </w:numPr>
      </w:pPr>
      <w:r>
        <w:t xml:space="preserve">API responses: JSON-encoded (inherently XSS-safe when consumed by JavaScript)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b833b1ad9ac2c634f004033a9538ebea1c92bfc"/>
    <w:p>
      <w:pPr>
        <w:pStyle w:val="Heading2"/>
      </w:pPr>
      <w:r>
        <w:t xml:space="preserve">6. Queue and Job Conventions</w:t>
      </w:r>
    </w:p>
    <w:bookmarkStart w:id="55" w:name="X3cf9f3e8659f08af4a87219d3510593a4520357"/>
    <w:p>
      <w:pPr>
        <w:pStyle w:val="Heading3"/>
      </w:pPr>
      <w:r>
        <w:t xml:space="preserve">6.1 TenantAwareJob Base Class</w:t>
      </w:r>
    </w:p>
    <w:p>
      <w:pPr>
        <w:pStyle w:val="FirstParagraph"/>
      </w:pPr>
      <w:r>
        <w:t xml:space="preserve">All queued jobs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, which serialises and restores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context: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app(TenantContext::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)-&gt;set(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Xd7b6c0339d260b3d5e671aac0dc0ffc771f3987"/>
    <w:p>
      <w:pPr>
        <w:pStyle w:val="Heading3"/>
      </w:pPr>
      <w:r>
        <w:t xml:space="preserve">6.2 Queue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Standard async operations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CDS alerts, critical value escalation</w:t>
            </w:r>
          </w:p>
        </w:tc>
        <w:tc>
          <w:tcPr/>
          <w:p>
            <w:pPr>
              <w:pStyle w:val="Compact"/>
            </w:pPr>
            <w:r>
              <w:t xml:space="preserve">4 (higher priority)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Auto-billing, insurance claim generation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HMIS report generation, DHIS2 push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SMS, email, WebSocket push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Legacy data migration imports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6"/>
    <w:bookmarkStart w:id="57" w:name="Xe41ddce4b79f24532ecf9352adfbedf5b0e398c"/>
    <w:p>
      <w:pPr>
        <w:pStyle w:val="Heading3"/>
      </w:pPr>
      <w:r>
        <w:t xml:space="preserve">6.3 Job Failure Handling</w:t>
      </w:r>
    </w:p>
    <w:p>
      <w:pPr>
        <w:pStyle w:val="Compact"/>
        <w:numPr>
          <w:ilvl w:val="0"/>
          <w:numId w:val="1019"/>
        </w:numPr>
      </w:pPr>
      <w:r>
        <w:t xml:space="preserve">Failed jobs are logged to the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table with full payload and exception</w:t>
      </w:r>
    </w:p>
    <w:p>
      <w:pPr>
        <w:pStyle w:val="Compact"/>
        <w:numPr>
          <w:ilvl w:val="0"/>
          <w:numId w:val="1019"/>
        </w:numPr>
      </w:pPr>
      <w:r>
        <w:t xml:space="preserve">Critical jobs (CDS alerts, critical lab values) retry immediately up to 3 times</w:t>
      </w:r>
    </w:p>
    <w:p>
      <w:pPr>
        <w:pStyle w:val="Compact"/>
        <w:numPr>
          <w:ilvl w:val="0"/>
          <w:numId w:val="1019"/>
        </w:numPr>
      </w:pPr>
      <w:r>
        <w:t xml:space="preserve">Non-critical jobs (SMS, report generation) retry with exponential backoff</w:t>
      </w:r>
    </w:p>
    <w:p>
      <w:pPr>
        <w:pStyle w:val="Compact"/>
        <w:numPr>
          <w:ilvl w:val="0"/>
          <w:numId w:val="1019"/>
        </w:numPr>
      </w:pPr>
      <w:r>
        <w:t xml:space="preserve">Failed notification jobs are surfaced on the Facility Admin dashboard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81eaf0fa1b01594b35940ce4a1ab676a8846d6a"/>
    <w:p>
      <w:pPr>
        <w:pStyle w:val="Heading2"/>
      </w:pPr>
      <w:r>
        <w:t xml:space="preserve">7. Caching Conventions</w:t>
      </w:r>
    </w:p>
    <w:bookmarkStart w:id="59" w:name="Xa6230c0d7c8211b334926e51ddfed695cac6f5e"/>
    <w:p>
      <w:pPr>
        <w:pStyle w:val="Heading3"/>
      </w:pPr>
      <w:r>
        <w:t xml:space="preserve">7.1 Cache Key Naming</w:t>
      </w:r>
    </w:p>
    <w:p>
      <w:pPr>
        <w:pStyle w:val="FirstParagraph"/>
      </w:pPr>
      <w:r>
        <w:t xml:space="preserve">Cache keys follow the pattern:</w:t>
      </w:r>
      <w:r>
        <w:t xml:space="preserve"> </w:t>
      </w:r>
      <w:r>
        <w:rPr>
          <w:rStyle w:val="VerbatimChar"/>
        </w:rPr>
        <w:t xml:space="preserve">{facilityId}:{entity}:{identifier}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Patient cache</w:t>
      </w:r>
      <w:r>
        <w:br/>
      </w:r>
      <w:r>
        <w:rPr>
          <w:rStyle w:val="StringTok"/>
        </w:rPr>
        <w:t xml:space="preserve">"42:patient:1205"</w:t>
      </w:r>
      <w:r>
        <w:br/>
      </w:r>
      <w:r>
        <w:br/>
      </w:r>
      <w:r>
        <w:rPr>
          <w:rStyle w:val="CommentTok"/>
        </w:rPr>
        <w:t xml:space="preserve">// Facility-wide cache</w:t>
      </w:r>
      <w:r>
        <w:br/>
      </w:r>
      <w:r>
        <w:rPr>
          <w:rStyle w:val="StringTok"/>
        </w:rPr>
        <w:t xml:space="preserve">"42:price_list:current"</w:t>
      </w:r>
      <w:r>
        <w:br/>
      </w:r>
      <w:r>
        <w:rPr>
          <w:rStyle w:val="StringTok"/>
        </w:rPr>
        <w:t xml:space="preserve">"42:formulary:active"</w:t>
      </w:r>
      <w:r>
        <w:br/>
      </w:r>
      <w:r>
        <w:br/>
      </w:r>
      <w:r>
        <w:rPr>
          <w:rStyle w:val="CommentTok"/>
        </w:rPr>
        <w:t xml:space="preserve">// Global cache (no facility prefix)</w:t>
      </w:r>
      <w:r>
        <w:br/>
      </w:r>
      <w:r>
        <w:rPr>
          <w:rStyle w:val="StringTok"/>
        </w:rPr>
        <w:t xml:space="preserve">"global:icd10:index"</w:t>
      </w:r>
      <w:r>
        <w:br/>
      </w:r>
      <w:r>
        <w:rPr>
          <w:rStyle w:val="StringTok"/>
        </w:rPr>
        <w:t xml:space="preserve">"global:drug_interactions:version"</w:t>
      </w:r>
    </w:p>
    <w:bookmarkEnd w:id="59"/>
    <w:bookmarkStart w:id="60" w:name="X9291a926d633c7fab622394828985465068dd14"/>
    <w:p>
      <w:pPr>
        <w:pStyle w:val="Heading3"/>
      </w:pPr>
      <w:r>
        <w:t xml:space="preserve">7.2 Cache TTL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demographics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Changes infrequently; stale data acceptable briefly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Changes require admin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Changes require pharmacy lead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 code index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Static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 database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Updated 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form mappings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Static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 data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Matches session timeout</w:t>
            </w:r>
          </w:p>
        </w:tc>
      </w:tr>
    </w:tbl>
    <w:bookmarkEnd w:id="60"/>
    <w:bookmarkStart w:id="61" w:name="X571aafcb395e1dc00b6e0e7855a398db914ac84"/>
    <w:p>
      <w:pPr>
        <w:pStyle w:val="Heading3"/>
      </w:pPr>
      <w:r>
        <w:t xml:space="preserve">7.3 Cache Invalidation</w:t>
      </w:r>
    </w:p>
    <w:p>
      <w:pPr>
        <w:pStyle w:val="Compact"/>
        <w:numPr>
          <w:ilvl w:val="0"/>
          <w:numId w:val="1020"/>
        </w:numPr>
      </w:pPr>
      <w:r>
        <w:t xml:space="preserve">Model observers invalidate cache keys on create, update, and delete</w:t>
      </w:r>
    </w:p>
    <w:p>
      <w:pPr>
        <w:pStyle w:val="Compact"/>
        <w:numPr>
          <w:ilvl w:val="0"/>
          <w:numId w:val="1020"/>
        </w:numPr>
      </w:pPr>
      <w:r>
        <w:t xml:space="preserve">Price list and formulary changes broadcast a cache-clear event to all Horizon workers</w:t>
      </w:r>
    </w:p>
    <w:p>
      <w:pPr>
        <w:pStyle w:val="Compact"/>
        <w:numPr>
          <w:ilvl w:val="0"/>
          <w:numId w:val="1020"/>
        </w:numPr>
      </w:pPr>
      <w:r>
        <w:t xml:space="preserve">Never rely on TTL alone for clinical data; always invalidate on write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a82d0dfb60d4dbd5a924766fdc71b2de0c48ac6"/>
    <w:p>
      <w:pPr>
        <w:pStyle w:val="Heading2"/>
      </w:pPr>
      <w:r>
        <w:t xml:space="preserve">8. Logging Standards</w:t>
      </w:r>
    </w:p>
    <w:bookmarkStart w:id="63" w:name="X17e08b243515a49bb0ed1087fb388087a41d34d"/>
    <w:p>
      <w:pPr>
        <w:pStyle w:val="Heading3"/>
      </w:pPr>
      <w:r>
        <w:t xml:space="preserve">8.1 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Database connection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 clinical event</w:t>
            </w:r>
          </w:p>
        </w:tc>
        <w:tc>
          <w:tcPr/>
          <w:p>
            <w:pPr>
              <w:pStyle w:val="Compact"/>
            </w:pPr>
            <w:r>
              <w:t xml:space="preserve">CDS Tier 4 alert fired, critical lab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Runtime error</w:t>
            </w:r>
          </w:p>
        </w:tc>
        <w:tc>
          <w:tcPr/>
          <w:p>
            <w:pPr>
              <w:pStyle w:val="Compact"/>
            </w:pPr>
            <w:r>
              <w:t xml:space="preserve">External API failure, unhandled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Abnormal but handled</w:t>
            </w:r>
          </w:p>
        </w:tc>
        <w:tc>
          <w:tcPr/>
          <w:p>
            <w:pPr>
              <w:pStyle w:val="Compact"/>
            </w:pPr>
            <w:r>
              <w:t xml:space="preserve">MTN MoMo timeout (retrying), stock below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Significant business event</w:t>
            </w:r>
          </w:p>
        </w:tc>
        <w:tc>
          <w:tcPr/>
          <w:p>
            <w:pPr>
              <w:pStyle w:val="Compact"/>
            </w:pPr>
            <w:r>
              <w:t xml:space="preserve">Patient registered, drug dispensed, HMIS report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diagnostics</w:t>
            </w:r>
          </w:p>
        </w:tc>
        <w:tc>
          <w:tcPr/>
          <w:p>
            <w:pPr>
              <w:pStyle w:val="Compact"/>
            </w:pPr>
            <w:r>
              <w:t xml:space="preserve">Query execution time, cache hit/miss (disabled in production)</w:t>
            </w:r>
          </w:p>
        </w:tc>
      </w:tr>
    </w:tbl>
    <w:bookmarkEnd w:id="63"/>
    <w:bookmarkStart w:id="64" w:name="Xba118dc6c3cc05837541c2df1b28e0735b43db2"/>
    <w:p>
      <w:pPr>
        <w:pStyle w:val="Heading3"/>
      </w:pPr>
      <w:r>
        <w:t xml:space="preserve">8.2 Structured Logging</w:t>
      </w:r>
    </w:p>
    <w:p>
      <w:pPr>
        <w:pStyle w:val="FirstParagraph"/>
      </w:pPr>
      <w:r>
        <w:t xml:space="preserve">All log entries include structured context: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'Drug dispensed'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'prescription_id'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'dispenser_id'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Never log PHI (Section 5.1). Never log raw SQL queries in production. Never log request/response bodies that contain clinical data.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92a3a78e694663fb8dbff929798d7575b4f10af"/>
    <w:p>
      <w:pPr>
        <w:pStyle w:val="Heading2"/>
      </w:pPr>
      <w:r>
        <w:t xml:space="preserve">9. Code Review Checklist</w:t>
      </w:r>
    </w:p>
    <w:p>
      <w:pPr>
        <w:pStyle w:val="FirstParagraph"/>
      </w:pPr>
      <w:r>
        <w:t xml:space="preserve">Every pull request is reviewed against the following checklist, including the AI and i18n rules defined in Section 10: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t xml:space="preserve">Does every query go through the repository layer? Is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scoped?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Type safety:</w:t>
      </w:r>
      <w:r>
        <w:t xml:space="preserve"> </w:t>
      </w:r>
      <w:r>
        <w:t xml:space="preserve">Are all parameters and return types declared? Is</w:t>
      </w:r>
      <w:r>
        <w:t xml:space="preserve"> </w:t>
      </w:r>
      <w:r>
        <w:rPr>
          <w:rStyle w:val="VerbatimChar"/>
        </w:rPr>
        <w:t xml:space="preserve">strict_types</w:t>
      </w:r>
      <w:r>
        <w:t xml:space="preserve"> </w:t>
      </w:r>
      <w:r>
        <w:t xml:space="preserve">present?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PHI exposure:</w:t>
      </w:r>
      <w:r>
        <w:t xml:space="preserve"> </w:t>
      </w:r>
      <w:r>
        <w:t xml:space="preserve">Does the code log, expose in API responses, or display any PHI inappropriately?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Business logic placement:</w:t>
      </w:r>
      <w:r>
        <w:t xml:space="preserve"> </w:t>
      </w:r>
      <w:r>
        <w:t xml:space="preserve">Is logic in the service layer, not in controllers or models?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Are domain-specific exceptions used? Is</w:t>
      </w:r>
      <w:r>
        <w:t xml:space="preserve"> </w:t>
      </w:r>
      <w:r>
        <w:rPr>
          <w:rStyle w:val="VerbatimChar"/>
        </w:rPr>
        <w:t xml:space="preserve">\Exception</w:t>
      </w:r>
      <w:r>
        <w:t xml:space="preserve"> </w:t>
      </w:r>
      <w:r>
        <w:t xml:space="preserve">caught generically?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 coverage:</w:t>
      </w:r>
      <w:r>
        <w:t xml:space="preserve"> </w:t>
      </w:r>
      <w:r>
        <w:t xml:space="preserve">Are services tested? Are CDS rules tested at 100%? Are boundary cases covered?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Naming:</w:t>
      </w:r>
      <w:r>
        <w:t xml:space="preserve"> </w:t>
      </w:r>
      <w:r>
        <w:t xml:space="preserve">Do class, method, and variable names follow the conventions in Section 1.3?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Are file uploads validated? Are queries parameterised? Is output escaped?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Events:</w:t>
      </w:r>
      <w:r>
        <w:t xml:space="preserve"> </w:t>
      </w:r>
      <w:r>
        <w:t xml:space="preserve">Are state changes on clinical data emitting domain events?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Do public methods have PHPDoc? Are non-obvious algorithms commented?</w:t>
      </w:r>
    </w:p>
    <w:p>
      <w:r>
        <w:pict>
          <v:rect style="width:0;height:1.5pt" o:hralign="center" o:hrstd="t" o:hr="t"/>
        </w:pict>
      </w:r>
    </w:p>
    <w:bookmarkEnd w:id="66"/>
    <w:bookmarkStart w:id="70" w:name="X24728ce9ad01156bffd331758b0138776a01a73"/>
    <w:p>
      <w:pPr>
        <w:pStyle w:val="Heading2"/>
      </w:pPr>
      <w:r>
        <w:t xml:space="preserve">10. AI Intelligence Coding Rules</w:t>
      </w:r>
    </w:p>
    <w:bookmarkStart w:id="67" w:name="no-auto-save-of-ai-output"/>
    <w:p>
      <w:pPr>
        <w:pStyle w:val="Heading3"/>
      </w:pPr>
      <w:r>
        <w:t xml:space="preserve">No Auto-Save of AI Output</w:t>
      </w:r>
    </w:p>
    <w:p>
      <w:pPr>
        <w:pStyle w:val="FirstParagraph"/>
      </w:pPr>
      <w:r>
        <w:t xml:space="preserve">Any code path that writes AI-generated clinical content (SOAP notes, discharge summaries, differential diagnoses) to the patient record MUST first check for an explicit approval flag. The approval flag is set only by a clinician action (clicking</w:t>
      </w:r>
      <w:r>
        <w:t xml:space="preserve"> </w:t>
      </w:r>
      <w:r>
        <w:rPr>
          <w:b/>
          <w:bCs/>
        </w:rPr>
        <w:t xml:space="preserve">Approve Draft</w:t>
      </w:r>
      <w:r>
        <w:t xml:space="preserve"> </w:t>
      </w:r>
      <w:r>
        <w:t xml:space="preserve">in the UI).</w:t>
      </w:r>
    </w:p>
    <w:p>
      <w:pPr>
        <w:pStyle w:val="BodyText"/>
      </w:pPr>
      <w:r>
        <w:t xml:space="preserve">Pull request rejection criterion: any PR where an AI capability endpoint writes to the patient record without reading</w:t>
      </w:r>
      <w:r>
        <w:t xml:space="preserve"> </w:t>
      </w:r>
      <w:r>
        <w:rPr>
          <w:rStyle w:val="VerbatimChar"/>
        </w:rPr>
        <w:t xml:space="preserve">approved = true</w:t>
      </w:r>
      <w:r>
        <w:t xml:space="preserve"> </w:t>
      </w:r>
      <w:r>
        <w:t xml:space="preserve">from the request payload or session state.</w:t>
      </w:r>
    </w:p>
    <w:p>
      <w:pPr>
        <w:pStyle w:val="BodyText"/>
      </w:pPr>
      <w:r>
        <w:t xml:space="preserve">Implementation pattern: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$draft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$patientRecord</w:t>
      </w:r>
      <w:r>
        <w:rPr>
          <w:rStyle w:val="NormalTok"/>
        </w:rPr>
        <w:t xml:space="preserve">-&gt;clinicalNotes()-&gt;create([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$draft</w:t>
      </w:r>
      <w:r>
        <w:rPr>
          <w:rStyle w:val="NormalTok"/>
        </w:rPr>
        <w:t xml:space="preserve">-&gt;content])</w:t>
      </w:r>
      <w:r>
        <w:rPr>
          <w:rStyle w:val="OtherTok"/>
        </w:rPr>
        <w:t xml:space="preserve">;</w:t>
      </w:r>
    </w:p>
    <w:bookmarkEnd w:id="67"/>
    <w:bookmarkStart w:id="68" w:name="no-pii-in-ai-prompts"/>
    <w:p>
      <w:pPr>
        <w:pStyle w:val="Heading3"/>
      </w:pPr>
      <w:r>
        <w:t xml:space="preserve">No PII in AI Prompts</w:t>
      </w:r>
    </w:p>
    <w:p>
      <w:pPr>
        <w:pStyle w:val="FirstParagraph"/>
      </w:pPr>
      <w:r>
        <w:t xml:space="preserve">Prompts sent to AI provider APIs MUST NOT contain:</w:t>
      </w:r>
    </w:p>
    <w:p>
      <w:pPr>
        <w:pStyle w:val="Compact"/>
        <w:numPr>
          <w:ilvl w:val="0"/>
          <w:numId w:val="1022"/>
        </w:numPr>
      </w:pPr>
      <w:r>
        <w:t xml:space="preserve">Patient full legal name</w:t>
      </w:r>
    </w:p>
    <w:p>
      <w:pPr>
        <w:pStyle w:val="Compact"/>
        <w:numPr>
          <w:ilvl w:val="0"/>
          <w:numId w:val="1022"/>
        </w:numPr>
      </w:pPr>
      <w:r>
        <w:t xml:space="preserve">National Identification Number (NIN)</w:t>
      </w:r>
    </w:p>
    <w:p>
      <w:pPr>
        <w:pStyle w:val="Compact"/>
        <w:numPr>
          <w:ilvl w:val="0"/>
          <w:numId w:val="1022"/>
        </w:numPr>
      </w:pPr>
      <w:r>
        <w:t xml:space="preserve">Date of birth</w:t>
      </w:r>
    </w:p>
    <w:p>
      <w:pPr>
        <w:pStyle w:val="Compact"/>
        <w:numPr>
          <w:ilvl w:val="0"/>
          <w:numId w:val="1022"/>
        </w:numPr>
      </w:pPr>
      <w:r>
        <w:t xml:space="preserve">Physical address</w:t>
      </w:r>
    </w:p>
    <w:p>
      <w:pPr>
        <w:pStyle w:val="FirstParagraph"/>
      </w:pPr>
      <w:r>
        <w:t xml:space="preserve">Permitted in prompts: ICD codes, vitals (numeric values only), medication names, procedure codes, encounter ID.</w:t>
      </w:r>
    </w:p>
    <w:p>
      <w:pPr>
        <w:pStyle w:val="BodyText"/>
      </w:pPr>
      <w:r>
        <w:t xml:space="preserve">Pull request rejection criterion: any PR where a string interpolated into an AI prompt includes a field from the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table that is classified as PII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).</w:t>
      </w:r>
    </w:p>
    <w:bookmarkEnd w:id="68"/>
    <w:bookmarkStart w:id="69" w:name="no-hardcoded-ui-strings"/>
    <w:p>
      <w:pPr>
        <w:pStyle w:val="Heading3"/>
      </w:pPr>
      <w:r>
        <w:t xml:space="preserve">No Hardcoded UI Strings</w:t>
      </w:r>
    </w:p>
    <w:p>
      <w:pPr>
        <w:pStyle w:val="FirstParagraph"/>
      </w:pPr>
      <w:r>
        <w:t xml:space="preserve">All user-visible text in any UI layer (PHP Blade templates, Android Kotlin/Compose, iOS Swift/SwiftUI) MUST be retrieved via the localisation helper. Hardcoded English strings in UI files are a pull request rejection criterion.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CommentTok"/>
        </w:rPr>
        <w:t xml:space="preserve">// PHP</w:t>
      </w:r>
      <w:r>
        <w:br/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'opd.triage.blood_pressure_label'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Android</w:t>
      </w:r>
      <w:r>
        <w:br/>
      </w:r>
      <w:r>
        <w:rPr>
          <w:rStyle w:val="NormalTok"/>
        </w:rPr>
        <w:t xml:space="preserve">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opd_triage_blood_pressure_label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iOS</w:t>
      </w:r>
      <w:r>
        <w:br/>
      </w:r>
      <w:r>
        <w:rPr>
          <w:rStyle w:val="NormalTok"/>
        </w:rPr>
        <w:t xml:space="preserve">NSLocalizedString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"opd.triage.blood_pressure_label"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Incorrect (rejected):</w:t>
      </w:r>
    </w:p>
    <w:p>
      <w:pPr>
        <w:pStyle w:val="SourceCode"/>
      </w:pPr>
      <w:r>
        <w:rPr>
          <w:rStyle w:val="CommentTok"/>
        </w:rPr>
        <w:t xml:space="preserve">// WRONG — hardcoded string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Pressure"</w:t>
      </w:r>
      <w:r>
        <w:rPr>
          <w:rStyle w:val="OtherTok"/>
        </w:rPr>
        <w:t xml:space="preserve">;</w:t>
      </w:r>
    </w:p>
    <w:bookmarkEnd w:id="69"/>
    <w:bookmarkEnd w:id="70"/>
    <w:bookmarkEnd w:id="71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2026-04-17T07:18:27Z</dcterms:created>
  <dcterms:modified xsi:type="dcterms:W3CDTF">2026-04-17T07:18:27Z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