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2" w:name="X441ae2f3309e98a9cef6766402cd2a52acb9edd"/>
    <w:p>
      <w:pPr>
        <w:pStyle w:val="Heading1"/>
      </w:pPr>
      <w:r>
        <w:t xml:space="preserve">Regulatory Compliance Documentation -- Medic8</w:t>
      </w:r>
    </w:p>
    <w:p>
      <w:pPr>
        <w:pStyle w:val="FirstParagraph"/>
      </w:pPr>
      <w:r>
        <w:rPr>
          <w:b/>
          <w:bCs/>
        </w:rPr>
        <w:t xml:space="preserve">Document ID:</w:t>
      </w:r>
      <w:r>
        <w:t xml:space="preserve"> </w:t>
      </w:r>
      <w:r>
        <w:t xml:space="preserve">Medic8-COMP-001</w:t>
      </w:r>
      <w:r>
        <w:t xml:space="preserve"> </w:t>
      </w:r>
      <w:r>
        <w:rPr>
          <w:b/>
          <w:bCs/>
        </w:rPr>
        <w:t xml:space="preserve">Version:</w:t>
      </w:r>
      <w:r>
        <w:t xml:space="preserve"> </w:t>
      </w:r>
      <w:r>
        <w:t xml:space="preserve">1.0</w:t>
      </w:r>
      <w:r>
        <w:t xml:space="preserve"> </w:t>
      </w:r>
      <w:r>
        <w:rPr>
          <w:b/>
          <w:bCs/>
        </w:rPr>
        <w:t xml:space="preserve">Date:</w:t>
      </w:r>
      <w:r>
        <w:t xml:space="preserve"> </w:t>
      </w:r>
      <w:r>
        <w:t xml:space="preserve">2026-04-03</w:t>
      </w:r>
      <w:r>
        <w:t xml:space="preserve"> </w:t>
      </w:r>
      <w:r>
        <w:rPr>
          <w:b/>
          <w:bCs/>
        </w:rPr>
        <w:t xml:space="preserve">Author:</w:t>
      </w:r>
      <w:r>
        <w:t xml:space="preserve"> </w:t>
      </w:r>
      <w:r>
        <w:t xml:space="preserve">Peter Bamuhigire</w:t>
      </w:r>
      <w:r>
        <w:t xml:space="preserve"> </w:t>
      </w:r>
      <w:r>
        <w:rPr>
          <w:b/>
          <w:bCs/>
        </w:rPr>
        <w:t xml:space="preserve">Standards:</w:t>
      </w:r>
      <w:r>
        <w:t xml:space="preserve"> </w:t>
      </w:r>
      <w:r>
        <w:t xml:space="preserve">Uganda PDPA 2019, HIV/AIDS Prevention and Control Act 2014, Uganda MoH HMIS Standards, IEEE 1012-2016</w:t>
      </w:r>
    </w:p>
    <w:p>
      <w:r>
        <w:pict>
          <v:rect style="width:0;height:1.5pt" o:hralign="center" o:hrstd="t" o:hr="t"/>
        </w:pict>
      </w:r>
    </w:p>
    <w:bookmarkStart w:id="12" w:name="X68ff921f9d5092890d29370a2e626bb07757f33"/>
    <w:p>
      <w:pPr>
        <w:pStyle w:val="Heading2"/>
      </w:pPr>
      <w:r>
        <w:t xml:space="preserve">1. Uganda Data Protection and Privacy Act 2019 (PDPA) Compliance</w:t>
      </w:r>
    </w:p>
    <w:p>
      <w:pPr>
        <w:pStyle w:val="FirstParagraph"/>
      </w:pPr>
      <w:r>
        <w:t xml:space="preserve">The Medic8 system processes patient health information classified as sensitive personal data under the Uganda Data Protection and Privacy Act 2019. This section maps each applicable PDPA section to the Medic8 implementation controls.</w:t>
      </w:r>
    </w:p>
    <w:bookmarkStart w:id="9" w:name="Xf52ce7ba948e318efcacc7ef1b75cd62a06617a"/>
    <w:p>
      <w:pPr>
        <w:pStyle w:val="Heading3"/>
      </w:pPr>
      <w:r>
        <w:t xml:space="preserve">1.1 PDPA Compliance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PDPA Section</w:t>
            </w:r>
          </w:p>
        </w:tc>
        <w:tc>
          <w:tcPr/>
          <w:p>
            <w:pPr>
              <w:pStyle w:val="Compact"/>
            </w:pPr>
            <w:r>
              <w:t xml:space="preserve">Requirement</w:t>
            </w:r>
          </w:p>
        </w:tc>
        <w:tc>
          <w:tcPr/>
          <w:p>
            <w:pPr>
              <w:pStyle w:val="Compact"/>
            </w:pPr>
            <w:r>
              <w:t xml:space="preserve">Medic8 Implementation</w:t>
            </w:r>
          </w:p>
        </w:tc>
        <w:tc>
          <w:tcPr/>
          <w:p>
            <w:pPr>
              <w:pStyle w:val="Compact"/>
            </w:pPr>
            <w:r>
              <w:t xml:space="preserve">NFR/FR Reference</w:t>
            </w:r>
          </w:p>
        </w:tc>
        <w:tc>
          <w:tcPr/>
          <w:p>
            <w:pPr>
              <w:pStyle w:val="Compact"/>
            </w:pPr>
            <w:r>
              <w:t xml:space="preserve">Status</w:t>
            </w:r>
          </w:p>
        </w:tc>
      </w:tr>
      <w:tr>
        <w:tc>
          <w:tcPr/>
          <w:p>
            <w:pPr>
              <w:pStyle w:val="Compact"/>
            </w:pPr>
            <w:r>
              <w:rPr>
                <w:b/>
                <w:bCs/>
              </w:rPr>
              <w:t xml:space="preserve">Section 5</w:t>
            </w:r>
            <w:r>
              <w:t xml:space="preserve"> </w:t>
            </w:r>
            <w:r>
              <w:t xml:space="preserve">-- Principles of Data Processing</w:t>
            </w:r>
          </w:p>
        </w:tc>
        <w:tc>
          <w:tcPr/>
          <w:p>
            <w:pPr>
              <w:pStyle w:val="Compact"/>
            </w:pPr>
            <w:r>
              <w:t xml:space="preserve">Personal data shall be processed lawfully, fairly, and in a transparent manner. Data shall be collected for specified, explicit, and legitimate purposes and not further processed in a manner incompatible with those purposes.</w:t>
            </w:r>
          </w:p>
        </w:tc>
        <w:tc>
          <w:tcPr/>
          <w:p>
            <w:pPr>
              <w:pStyle w:val="Compact"/>
            </w:pPr>
            <w:r>
              <w:t xml:space="preserve">Medic8 collects patient data solely for the purpose of clinical care delivery, billing, and mandatory public health reporting (HMIS, IDSR). Each data collection point displays a purpose statement. Data is not used for marketing, research, or secondary purposes without explicit consent. The consent engine records the specific purpose for which consent was granted.</w:t>
            </w:r>
          </w:p>
        </w:tc>
        <w:tc>
          <w:tcPr/>
          <w:p>
            <w:pPr>
              <w:pStyle w:val="Compact"/>
            </w:pPr>
            <w:r>
              <w:t xml:space="preserve">NFR-HC-001, FR-REG-001</w:t>
            </w:r>
          </w:p>
        </w:tc>
        <w:tc>
          <w:tcPr/>
          <w:p>
            <w:pPr>
              <w:pStyle w:val="Compact"/>
            </w:pPr>
            <w:r>
              <w:t xml:space="preserve">Designed</w:t>
            </w:r>
          </w:p>
        </w:tc>
      </w:tr>
      <w:tr>
        <w:tc>
          <w:tcPr/>
          <w:p>
            <w:pPr>
              <w:pStyle w:val="Compact"/>
            </w:pPr>
            <w:r>
              <w:rPr>
                <w:b/>
                <w:bCs/>
              </w:rPr>
              <w:t xml:space="preserve">Section 10</w:t>
            </w:r>
            <w:r>
              <w:t xml:space="preserve"> </w:t>
            </w:r>
            <w:r>
              <w:t xml:space="preserve">-- Consent Requirements</w:t>
            </w:r>
          </w:p>
        </w:tc>
        <w:tc>
          <w:tcPr/>
          <w:p>
            <w:pPr>
              <w:pStyle w:val="Compact"/>
            </w:pPr>
            <w:r>
              <w:t xml:space="preserve">Processing of personal data requires the informed, specific, and freely given consent of the data subject, unless an exemption applies (e.g., medical emergency, public health).</w:t>
            </w:r>
          </w:p>
        </w:tc>
        <w:tc>
          <w:tcPr/>
          <w:p>
            <w:pPr>
              <w:pStyle w:val="Compact"/>
            </w:pPr>
            <w:r>
              <w:t xml:space="preserve">Medic8 implements a configurable consent engine per jurisdiction. At patient registration (FR-REG-001), the system records consent for: routine clinical data processing, cross-facility identity sharing, emergency data access, and HIV status disclosure during emergencies. Consent is revocable. Emergency exemptions are logged per BR-DATA-002 with mandatory post-hoc review.</w:t>
            </w:r>
          </w:p>
        </w:tc>
        <w:tc>
          <w:tcPr/>
          <w:p>
            <w:pPr>
              <w:pStyle w:val="Compact"/>
            </w:pPr>
            <w:r>
              <w:t xml:space="preserve">FR-REG-001, FR-RBAC-006, BR-DATA-002</w:t>
            </w:r>
          </w:p>
        </w:tc>
        <w:tc>
          <w:tcPr/>
          <w:p>
            <w:pPr>
              <w:pStyle w:val="Compact"/>
            </w:pPr>
            <w:r>
              <w:t xml:space="preserve">Designed</w:t>
            </w:r>
          </w:p>
        </w:tc>
      </w:tr>
      <w:tr>
        <w:tc>
          <w:tcPr/>
          <w:p>
            <w:pPr>
              <w:pStyle w:val="Compact"/>
            </w:pPr>
            <w:r>
              <w:rPr>
                <w:b/>
                <w:bCs/>
              </w:rPr>
              <w:t xml:space="preserve">Section 16</w:t>
            </w:r>
            <w:r>
              <w:t xml:space="preserve"> </w:t>
            </w:r>
            <w:r>
              <w:t xml:space="preserve">-- Rights of Data Subjects</w:t>
            </w:r>
          </w:p>
        </w:tc>
        <w:tc>
          <w:tcPr/>
          <w:p>
            <w:pPr>
              <w:pStyle w:val="Compact"/>
            </w:pPr>
            <w:r>
              <w:t xml:space="preserve">Data subjects have the right to: access their personal data, request correction, request deletion (subject to retention obligations), and obtain a copy in a portable format.</w:t>
            </w:r>
          </w:p>
        </w:tc>
        <w:tc>
          <w:tcPr/>
          <w:p>
            <w:pPr>
              <w:pStyle w:val="Compact"/>
            </w:pPr>
            <w:r>
              <w:t xml:space="preserve">The patient portal (Role 17: Patient/Client) provides: read-only access to own medical records, lab results, prescriptions, and billing history. Patients may request data correction through the portal (flagged for Records Officer review). Data export is available in PDF and FHIR R4 Patient resource format. Deletion requests are subject to the 10-year MoH retention policy (NFR-HC-007).</w:t>
            </w:r>
          </w:p>
        </w:tc>
        <w:tc>
          <w:tcPr/>
          <w:p>
            <w:pPr>
              <w:pStyle w:val="Compact"/>
            </w:pPr>
            <w:r>
              <w:t xml:space="preserve">NFR-HC-007, NFR-HC-014</w:t>
            </w:r>
          </w:p>
        </w:tc>
        <w:tc>
          <w:tcPr/>
          <w:p>
            <w:pPr>
              <w:pStyle w:val="Compact"/>
            </w:pPr>
            <w:r>
              <w:t xml:space="preserve">Designed</w:t>
            </w:r>
          </w:p>
        </w:tc>
      </w:tr>
      <w:tr>
        <w:tc>
          <w:tcPr/>
          <w:p>
            <w:pPr>
              <w:pStyle w:val="Compact"/>
            </w:pPr>
            <w:r>
              <w:rPr>
                <w:b/>
                <w:bCs/>
              </w:rPr>
              <w:t xml:space="preserve">Section 22</w:t>
            </w:r>
            <w:r>
              <w:t xml:space="preserve"> </w:t>
            </w:r>
            <w:r>
              <w:t xml:space="preserve">-- Security of Personal Data</w:t>
            </w:r>
          </w:p>
        </w:tc>
        <w:tc>
          <w:tcPr/>
          <w:p>
            <w:pPr>
              <w:pStyle w:val="Compact"/>
            </w:pPr>
            <w:r>
              <w:t xml:space="preserve">The data controller shall implement appropriate technical and organisational measures to ensure a level of security appropriate to the risk, including encryption and access controls.</w:t>
            </w:r>
          </w:p>
        </w:tc>
        <w:tc>
          <w:tcPr/>
          <w:p>
            <w:pPr>
              <w:pStyle w:val="Compact"/>
            </w:pPr>
            <w:r>
              <w:t xml:space="preserve">Medic8 implements: AES-256-GCM encryption at rest for all patient health data (NFR-HC-002). TLS 1.2+ encryption in transit on all endpoints (NFR-HC-003). Role-based access control with 18 defined roles (FR-RBAC-001). Attribute-based access control for sensitive records -- HIV, mental health, substance abuse, reproductive health (NFR-HC-010, FR-RBAC-003). 15-minute session timeout (NFR-HC-004). MFA for privileged roles (NFR-HC-005).</w:t>
            </w:r>
          </w:p>
        </w:tc>
        <w:tc>
          <w:tcPr/>
          <w:p>
            <w:pPr>
              <w:pStyle w:val="Compact"/>
            </w:pPr>
            <w:r>
              <w:t xml:space="preserve">NFR-HC-002, NFR-HC-003, NFR-HC-004, NFR-HC-005, NFR-HC-010, FR-RBAC-001, FR-RBAC-003</w:t>
            </w:r>
          </w:p>
        </w:tc>
        <w:tc>
          <w:tcPr/>
          <w:p>
            <w:pPr>
              <w:pStyle w:val="Compact"/>
            </w:pPr>
            <w:r>
              <w:t xml:space="preserve">Designed</w:t>
            </w:r>
          </w:p>
        </w:tc>
      </w:tr>
      <w:tr>
        <w:tc>
          <w:tcPr/>
          <w:p>
            <w:pPr>
              <w:pStyle w:val="Compact"/>
            </w:pPr>
            <w:r>
              <w:rPr>
                <w:b/>
                <w:bCs/>
              </w:rPr>
              <w:t xml:space="preserve">Section 24</w:t>
            </w:r>
            <w:r>
              <w:t xml:space="preserve"> </w:t>
            </w:r>
            <w:r>
              <w:t xml:space="preserve">-- Record of Processing Activities</w:t>
            </w:r>
          </w:p>
        </w:tc>
        <w:tc>
          <w:tcPr/>
          <w:p>
            <w:pPr>
              <w:pStyle w:val="Compact"/>
            </w:pPr>
            <w:r>
              <w:t xml:space="preserve">The data controller shall maintain a record of processing activities, including the categories of data processed, the purposes, and the recipients.</w:t>
            </w:r>
          </w:p>
        </w:tc>
        <w:tc>
          <w:tcPr/>
          <w:p>
            <w:pPr>
              <w:pStyle w:val="Compact"/>
            </w:pPr>
            <w:r>
              <w:t xml:space="preserve">Medic8 maintains a complete, tamper-proof audit trail of all create, read, update, and delete operations on patient health records (NFR-HC-001). Every audit log entry records:</w:t>
            </w:r>
            <w:r>
              <w:t xml:space="preserve"> </w:t>
            </w:r>
            <w:r>
              <w:rPr>
                <w:rStyle w:val="VerbatimChar"/>
              </w:rPr>
              <w:t xml:space="preserve">user_id</w:t>
            </w:r>
            <w:r>
              <w:t xml:space="preserve">,</w:t>
            </w:r>
            <w:r>
              <w:t xml:space="preserve"> </w:t>
            </w:r>
            <w:r>
              <w:rPr>
                <w:rStyle w:val="VerbatimChar"/>
              </w:rPr>
              <w:t xml:space="preserve">timestamp</w:t>
            </w:r>
            <w:r>
              <w:t xml:space="preserve"> </w:t>
            </w:r>
            <w:r>
              <w:t xml:space="preserve">(UTC),</w:t>
            </w:r>
            <w:r>
              <w:t xml:space="preserve"> </w:t>
            </w:r>
            <w:r>
              <w:rPr>
                <w:rStyle w:val="VerbatimChar"/>
              </w:rPr>
              <w:t xml:space="preserve">action</w:t>
            </w:r>
            <w:r>
              <w:t xml:space="preserve">,</w:t>
            </w:r>
            <w:r>
              <w:t xml:space="preserve"> </w:t>
            </w:r>
            <w:r>
              <w:rPr>
                <w:rStyle w:val="VerbatimChar"/>
              </w:rPr>
              <w:t xml:space="preserve">resource_type</w:t>
            </w:r>
            <w:r>
              <w:t xml:space="preserve">,</w:t>
            </w:r>
            <w:r>
              <w:t xml:space="preserve"> </w:t>
            </w:r>
            <w:r>
              <w:rPr>
                <w:rStyle w:val="VerbatimChar"/>
              </w:rPr>
              <w:t xml:space="preserve">resource_id</w:t>
            </w:r>
            <w:r>
              <w:t xml:space="preserve">,</w:t>
            </w:r>
            <w:r>
              <w:t xml:space="preserve"> </w:t>
            </w:r>
            <w:r>
              <w:rPr>
                <w:rStyle w:val="VerbatimChar"/>
              </w:rPr>
              <w:t xml:space="preserve">facility_id</w:t>
            </w:r>
            <w:r>
              <w:t xml:space="preserve">,</w:t>
            </w:r>
            <w:r>
              <w:t xml:space="preserve"> </w:t>
            </w:r>
            <w:r>
              <w:rPr>
                <w:rStyle w:val="VerbatimChar"/>
              </w:rPr>
              <w:t xml:space="preserve">ip_address</w:t>
            </w:r>
            <w:r>
              <w:t xml:space="preserve">, and</w:t>
            </w:r>
            <w:r>
              <w:t xml:space="preserve"> </w:t>
            </w:r>
            <w:r>
              <w:rPr>
                <w:rStyle w:val="VerbatimChar"/>
              </w:rPr>
              <w:t xml:space="preserve">outcome</w:t>
            </w:r>
            <w:r>
              <w:t xml:space="preserve">. The audit log is append-only; no role, including Super Admin, can modify or delete entries.</w:t>
            </w:r>
          </w:p>
        </w:tc>
        <w:tc>
          <w:tcPr/>
          <w:p>
            <w:pPr>
              <w:pStyle w:val="Compact"/>
            </w:pPr>
            <w:r>
              <w:t xml:space="preserve">NFR-HC-001, FR-RBAC-005</w:t>
            </w:r>
          </w:p>
        </w:tc>
        <w:tc>
          <w:tcPr/>
          <w:p>
            <w:pPr>
              <w:pStyle w:val="Compact"/>
            </w:pPr>
            <w:r>
              <w:t xml:space="preserve">Designed</w:t>
            </w:r>
          </w:p>
        </w:tc>
      </w:tr>
      <w:tr>
        <w:tc>
          <w:tcPr/>
          <w:p>
            <w:pPr>
              <w:pStyle w:val="Compact"/>
            </w:pPr>
            <w:r>
              <w:rPr>
                <w:b/>
                <w:bCs/>
              </w:rPr>
              <w:t xml:space="preserve">Section 31</w:t>
            </w:r>
            <w:r>
              <w:t xml:space="preserve"> </w:t>
            </w:r>
            <w:r>
              <w:t xml:space="preserve">-- Breach Notification</w:t>
            </w:r>
          </w:p>
        </w:tc>
        <w:tc>
          <w:tcPr/>
          <w:p>
            <w:pPr>
              <w:pStyle w:val="Compact"/>
            </w:pPr>
            <w:r>
              <w:t xml:space="preserve">The data controller shall notify the Personal Data Protection Office (PDPO) within 72 hours of becoming aware of a data breach and shall notify affected data subjects without undue delay.</w:t>
            </w:r>
          </w:p>
        </w:tc>
        <w:tc>
          <w:tcPr/>
          <w:p>
            <w:pPr>
              <w:pStyle w:val="Compact"/>
            </w:pPr>
            <w:r>
              <w:t xml:space="preserve">Medic8 provides breach notification tooling (NFR-HC-008) that: identifies all affected patient records within 72 hours of breach confirmation, generates a breach impact report (affected count, data categories, timeline, facility identifiers), supports immediate notification to the PDPO, and generates SMS notification drafts for affected patients.</w:t>
            </w:r>
          </w:p>
        </w:tc>
        <w:tc>
          <w:tcPr/>
          <w:p>
            <w:pPr>
              <w:pStyle w:val="Compact"/>
            </w:pPr>
            <w:r>
              <w:t xml:space="preserve">NFR-HC-008</w:t>
            </w:r>
          </w:p>
        </w:tc>
        <w:tc>
          <w:tcPr/>
          <w:p>
            <w:pPr>
              <w:pStyle w:val="Compact"/>
            </w:pPr>
            <w:r>
              <w:t xml:space="preserve">Designed</w:t>
            </w:r>
          </w:p>
        </w:tc>
      </w:tr>
      <w:tr>
        <w:tc>
          <w:tcPr/>
          <w:p>
            <w:pPr>
              <w:pStyle w:val="Compact"/>
            </w:pPr>
            <w:r>
              <w:rPr>
                <w:b/>
                <w:bCs/>
              </w:rPr>
              <w:t xml:space="preserve">Section 34</w:t>
            </w:r>
            <w:r>
              <w:t xml:space="preserve"> </w:t>
            </w:r>
            <w:r>
              <w:t xml:space="preserve">-- Cross-Border Transfer of Personal Data</w:t>
            </w:r>
          </w:p>
        </w:tc>
        <w:tc>
          <w:tcPr/>
          <w:p>
            <w:pPr>
              <w:pStyle w:val="Compact"/>
            </w:pPr>
            <w:r>
              <w:t xml:space="preserve">Personal data shall not be transferred to a country outside Uganda unless that country has adequate data protection laws or the data subject has consented.</w:t>
            </w:r>
          </w:p>
        </w:tc>
        <w:tc>
          <w:tcPr/>
          <w:p>
            <w:pPr>
              <w:pStyle w:val="Compact"/>
            </w:pPr>
            <w:r>
              <w:t xml:space="preserve">Medic8 enforces data residency per country configuration (NFR-HC-019). Patient data resides in-country unless the regulatory profile explicitly permits cross-border transfer. Cross-border transfer requests via FHIR API or DHIS2 export are validated against the active regulatory profile before execution. Transfers to non-permitted destinations are blocked and logged.</w:t>
            </w:r>
          </w:p>
        </w:tc>
        <w:tc>
          <w:tcPr/>
          <w:p>
            <w:pPr>
              <w:pStyle w:val="Compact"/>
            </w:pPr>
            <w:r>
              <w:t xml:space="preserve">NFR-HC-019</w:t>
            </w:r>
          </w:p>
        </w:tc>
        <w:tc>
          <w:tcPr/>
          <w:p>
            <w:pPr>
              <w:pStyle w:val="Compact"/>
            </w:pPr>
            <w:r>
              <w:t xml:space="preserve">Designed</w:t>
            </w:r>
          </w:p>
        </w:tc>
      </w:tr>
    </w:tbl>
    <w:bookmarkEnd w:id="9"/>
    <w:bookmarkStart w:id="10" w:name="Xfeec4dcc83b535293bda7ddcd4599096ac63eb5"/>
    <w:p>
      <w:pPr>
        <w:pStyle w:val="Heading3"/>
      </w:pPr>
      <w:r>
        <w:t xml:space="preserve">1.2 Consent Categories</w:t>
      </w:r>
    </w:p>
    <w:p>
      <w:pPr>
        <w:pStyle w:val="FirstParagraph"/>
      </w:pPr>
      <w:r>
        <w:t xml:space="preserve">Medic8 manages consent at a granular level per data sensitivity tier: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Consent Category</w:t>
            </w:r>
          </w:p>
        </w:tc>
        <w:tc>
          <w:tcPr/>
          <w:p>
            <w:pPr>
              <w:pStyle w:val="Compact"/>
            </w:pPr>
            <w:r>
              <w:t xml:space="preserve">Data Type</w:t>
            </w:r>
          </w:p>
        </w:tc>
        <w:tc>
          <w:tcPr/>
          <w:p>
            <w:pPr>
              <w:pStyle w:val="Compact"/>
            </w:pPr>
            <w:r>
              <w:t xml:space="preserve">Default</w:t>
            </w:r>
          </w:p>
        </w:tc>
        <w:tc>
          <w:tcPr/>
          <w:p>
            <w:pPr>
              <w:pStyle w:val="Compact"/>
            </w:pPr>
            <w:r>
              <w:t xml:space="preserve">Revocable</w:t>
            </w:r>
          </w:p>
        </w:tc>
        <w:tc>
          <w:tcPr/>
          <w:p>
            <w:pPr>
              <w:pStyle w:val="Compact"/>
            </w:pPr>
            <w:r>
              <w:t xml:space="preserve">Legal Basis</w:t>
            </w:r>
          </w:p>
        </w:tc>
      </w:tr>
      <w:tr>
        <w:tc>
          <w:tcPr/>
          <w:p>
            <w:pPr>
              <w:pStyle w:val="Compact"/>
            </w:pPr>
            <w:r>
              <w:t xml:space="preserve">Routine clinical processing</w:t>
            </w:r>
          </w:p>
        </w:tc>
        <w:tc>
          <w:tcPr/>
          <w:p>
            <w:pPr>
              <w:pStyle w:val="Compact"/>
            </w:pPr>
            <w:r>
              <w:t xml:space="preserve">Demographics, vitals, diagnoses, prescriptions, lab results</w:t>
            </w:r>
          </w:p>
        </w:tc>
        <w:tc>
          <w:tcPr/>
          <w:p>
            <w:pPr>
              <w:pStyle w:val="Compact"/>
            </w:pPr>
            <w:r>
              <w:t xml:space="preserve">Opt-in at registration</w:t>
            </w:r>
          </w:p>
        </w:tc>
        <w:tc>
          <w:tcPr/>
          <w:p>
            <w:pPr>
              <w:pStyle w:val="Compact"/>
            </w:pPr>
            <w:r>
              <w:t xml:space="preserve">Yes (subject to retention period)</w:t>
            </w:r>
          </w:p>
        </w:tc>
        <w:tc>
          <w:tcPr/>
          <w:p>
            <w:pPr>
              <w:pStyle w:val="Compact"/>
            </w:pPr>
            <w:r>
              <w:t xml:space="preserve">PDPA Section 10; Medical treatment necessity</w:t>
            </w:r>
          </w:p>
        </w:tc>
      </w:tr>
      <w:tr>
        <w:tc>
          <w:tcPr/>
          <w:p>
            <w:pPr>
              <w:pStyle w:val="Compact"/>
            </w:pPr>
            <w:r>
              <w:t xml:space="preserve">Cross-facility identity sharing</w:t>
            </w:r>
          </w:p>
        </w:tc>
        <w:tc>
          <w:tcPr/>
          <w:p>
            <w:pPr>
              <w:pStyle w:val="Compact"/>
            </w:pPr>
            <w:r>
              <w:t xml:space="preserve">Patient name, age, sex, identifiers</w:t>
            </w:r>
          </w:p>
        </w:tc>
        <w:tc>
          <w:tcPr/>
          <w:p>
            <w:pPr>
              <w:pStyle w:val="Compact"/>
            </w:pPr>
            <w:r>
              <w:t xml:space="preserve">Opt-in at registration</w:t>
            </w:r>
          </w:p>
        </w:tc>
        <w:tc>
          <w:tcPr/>
          <w:p>
            <w:pPr>
              <w:pStyle w:val="Compact"/>
            </w:pPr>
            <w:r>
              <w:t xml:space="preserve">Yes</w:t>
            </w:r>
          </w:p>
        </w:tc>
        <w:tc>
          <w:tcPr/>
          <w:p>
            <w:pPr>
              <w:pStyle w:val="Compact"/>
            </w:pPr>
            <w:r>
              <w:t xml:space="preserve">PDPA Section 10</w:t>
            </w:r>
          </w:p>
        </w:tc>
      </w:tr>
      <w:tr>
        <w:tc>
          <w:tcPr/>
          <w:p>
            <w:pPr>
              <w:pStyle w:val="Compact"/>
            </w:pPr>
            <w:r>
              <w:t xml:space="preserve">Emergency clinical data access</w:t>
            </w:r>
          </w:p>
        </w:tc>
        <w:tc>
          <w:tcPr/>
          <w:p>
            <w:pPr>
              <w:pStyle w:val="Compact"/>
            </w:pPr>
            <w:r>
              <w:t xml:space="preserve">Allergies, medications, blood group, last 3 diagnoses</w:t>
            </w:r>
          </w:p>
        </w:tc>
        <w:tc>
          <w:tcPr/>
          <w:p>
            <w:pPr>
              <w:pStyle w:val="Compact"/>
            </w:pPr>
            <w:r>
              <w:t xml:space="preserve">Opt-in at registration</w:t>
            </w:r>
          </w:p>
        </w:tc>
        <w:tc>
          <w:tcPr/>
          <w:p>
            <w:pPr>
              <w:pStyle w:val="Compact"/>
            </w:pPr>
            <w:r>
              <w:t xml:space="preserve">Yes</w:t>
            </w:r>
          </w:p>
        </w:tc>
        <w:tc>
          <w:tcPr/>
          <w:p>
            <w:pPr>
              <w:pStyle w:val="Compact"/>
            </w:pPr>
            <w:r>
              <w:t xml:space="preserve">PDPA Section 10; Medical emergency exemption</w:t>
            </w:r>
          </w:p>
        </w:tc>
      </w:tr>
      <w:tr>
        <w:tc>
          <w:tcPr/>
          <w:p>
            <w:pPr>
              <w:pStyle w:val="Compact"/>
            </w:pPr>
            <w:r>
              <w:t xml:space="preserve">HIV status emergency disclosure</w:t>
            </w:r>
          </w:p>
        </w:tc>
        <w:tc>
          <w:tcPr/>
          <w:p>
            <w:pPr>
              <w:pStyle w:val="Compact"/>
            </w:pPr>
            <w:r>
              <w:t xml:space="preserve">HIV status during emergency access</w:t>
            </w:r>
          </w:p>
        </w:tc>
        <w:tc>
          <w:tcPr/>
          <w:p>
            <w:pPr>
              <w:pStyle w:val="Compact"/>
            </w:pPr>
            <w:r>
              <w:t xml:space="preserve">Explicit opt-in (separate consent)</w:t>
            </w:r>
          </w:p>
        </w:tc>
        <w:tc>
          <w:tcPr/>
          <w:p>
            <w:pPr>
              <w:pStyle w:val="Compact"/>
            </w:pPr>
            <w:r>
              <w:t xml:space="preserve">Yes</w:t>
            </w:r>
          </w:p>
        </w:tc>
        <w:tc>
          <w:tcPr/>
          <w:p>
            <w:pPr>
              <w:pStyle w:val="Compact"/>
            </w:pPr>
            <w:r>
              <w:t xml:space="preserve">HIV/AIDS Act Section 18; PDPA Section 10</w:t>
            </w:r>
          </w:p>
        </w:tc>
      </w:tr>
      <w:tr>
        <w:tc>
          <w:tcPr/>
          <w:p>
            <w:pPr>
              <w:pStyle w:val="Compact"/>
            </w:pPr>
            <w:r>
              <w:t xml:space="preserve">HMIS aggregate reporting</w:t>
            </w:r>
          </w:p>
        </w:tc>
        <w:tc>
          <w:tcPr/>
          <w:p>
            <w:pPr>
              <w:pStyle w:val="Compact"/>
            </w:pPr>
            <w:r>
              <w:t xml:space="preserve">De-identified aggregate data</w:t>
            </w:r>
          </w:p>
        </w:tc>
        <w:tc>
          <w:tcPr/>
          <w:p>
            <w:pPr>
              <w:pStyle w:val="Compact"/>
            </w:pPr>
            <w:r>
              <w:t xml:space="preserve">Mandatory (statutory obligation)</w:t>
            </w:r>
          </w:p>
        </w:tc>
        <w:tc>
          <w:tcPr/>
          <w:p>
            <w:pPr>
              <w:pStyle w:val="Compact"/>
            </w:pPr>
            <w:r>
              <w:t xml:space="preserve">No</w:t>
            </w:r>
          </w:p>
        </w:tc>
        <w:tc>
          <w:tcPr/>
          <w:p>
            <w:pPr>
              <w:pStyle w:val="Compact"/>
            </w:pPr>
            <w:r>
              <w:t xml:space="preserve">Public Health Act; MoH HMIS directive</w:t>
            </w:r>
          </w:p>
        </w:tc>
      </w:tr>
      <w:tr>
        <w:tc>
          <w:tcPr/>
          <w:p>
            <w:pPr>
              <w:pStyle w:val="Compact"/>
            </w:pPr>
            <w:r>
              <w:t xml:space="preserve">PEPFAR MER reporting</w:t>
            </w:r>
          </w:p>
        </w:tc>
        <w:tc>
          <w:tcPr/>
          <w:p>
            <w:pPr>
              <w:pStyle w:val="Compact"/>
            </w:pPr>
            <w:r>
              <w:t xml:space="preserve">De-identified programme data</w:t>
            </w:r>
          </w:p>
        </w:tc>
        <w:tc>
          <w:tcPr/>
          <w:p>
            <w:pPr>
              <w:pStyle w:val="Compact"/>
            </w:pPr>
            <w:r>
              <w:t xml:space="preserve">Mandatory for PEPFAR facilities</w:t>
            </w:r>
          </w:p>
        </w:tc>
        <w:tc>
          <w:tcPr/>
          <w:p>
            <w:pPr>
              <w:pStyle w:val="Compact"/>
            </w:pPr>
            <w:r>
              <w:t xml:space="preserve">No</w:t>
            </w:r>
          </w:p>
        </w:tc>
        <w:tc>
          <w:tcPr/>
          <w:p>
            <w:pPr>
              <w:pStyle w:val="Compact"/>
            </w:pPr>
            <w:r>
              <w:t xml:space="preserve">PEPFAR reporting agreement</w:t>
            </w:r>
          </w:p>
        </w:tc>
      </w:tr>
      <w:tr>
        <w:tc>
          <w:tcPr/>
          <w:p>
            <w:pPr>
              <w:pStyle w:val="Compact"/>
            </w:pPr>
            <w:r>
              <w:t xml:space="preserve">Research data sharing</w:t>
            </w:r>
          </w:p>
        </w:tc>
        <w:tc>
          <w:tcPr/>
          <w:p>
            <w:pPr>
              <w:pStyle w:val="Compact"/>
            </w:pPr>
            <w:r>
              <w:t xml:space="preserve">Anonymised data sets</w:t>
            </w:r>
          </w:p>
        </w:tc>
        <w:tc>
          <w:tcPr/>
          <w:p>
            <w:pPr>
              <w:pStyle w:val="Compact"/>
            </w:pPr>
            <w:r>
              <w:t xml:space="preserve">Explicit opt-in per study</w:t>
            </w:r>
          </w:p>
        </w:tc>
        <w:tc>
          <w:tcPr/>
          <w:p>
            <w:pPr>
              <w:pStyle w:val="Compact"/>
            </w:pPr>
            <w:r>
              <w:t xml:space="preserve">Yes</w:t>
            </w:r>
          </w:p>
        </w:tc>
        <w:tc>
          <w:tcPr/>
          <w:p>
            <w:pPr>
              <w:pStyle w:val="Compact"/>
            </w:pPr>
            <w:r>
              <w:t xml:space="preserve">PDPA Section 10; Research ethics board approval required</w:t>
            </w:r>
          </w:p>
        </w:tc>
      </w:tr>
    </w:tbl>
    <w:bookmarkEnd w:id="10"/>
    <w:bookmarkStart w:id="11" w:name="Xb4c91f47647a9bd7ccdede090c55667f125a8d8"/>
    <w:p>
      <w:pPr>
        <w:pStyle w:val="Heading3"/>
      </w:pPr>
      <w:r>
        <w:t xml:space="preserve">1.3 Data Retention Schedule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Category</w:t>
            </w:r>
          </w:p>
        </w:tc>
        <w:tc>
          <w:tcPr/>
          <w:p>
            <w:pPr>
              <w:pStyle w:val="Compact"/>
            </w:pPr>
            <w:r>
              <w:t xml:space="preserve">Retention Period</w:t>
            </w:r>
          </w:p>
        </w:tc>
        <w:tc>
          <w:tcPr/>
          <w:p>
            <w:pPr>
              <w:pStyle w:val="Compact"/>
            </w:pPr>
            <w:r>
              <w:t xml:space="preserve">Legal Basis</w:t>
            </w:r>
          </w:p>
        </w:tc>
        <w:tc>
          <w:tcPr/>
          <w:p>
            <w:pPr>
              <w:pStyle w:val="Compact"/>
            </w:pPr>
            <w:r>
              <w:t xml:space="preserve">Post-Retention Action</w:t>
            </w:r>
          </w:p>
        </w:tc>
      </w:tr>
      <w:tr>
        <w:tc>
          <w:tcPr/>
          <w:p>
            <w:pPr>
              <w:pStyle w:val="Compact"/>
            </w:pPr>
            <w:r>
              <w:t xml:space="preserve">Patient clinical records</w:t>
            </w:r>
          </w:p>
        </w:tc>
        <w:tc>
          <w:tcPr/>
          <w:p>
            <w:pPr>
              <w:pStyle w:val="Compact"/>
            </w:pPr>
            <w:r>
              <w:t xml:space="preserve">10 years from last encounter</w:t>
            </w:r>
          </w:p>
        </w:tc>
        <w:tc>
          <w:tcPr/>
          <w:p>
            <w:pPr>
              <w:pStyle w:val="Compact"/>
            </w:pPr>
            <w:r>
              <w:t xml:space="preserve">Uganda MoH policy</w:t>
            </w:r>
          </w:p>
        </w:tc>
        <w:tc>
          <w:tcPr/>
          <w:p>
            <w:pPr>
              <w:pStyle w:val="Compact"/>
            </w:pPr>
            <w:r>
              <w:t xml:space="preserve">Archive (not delete); accessible on request</w:t>
            </w:r>
          </w:p>
        </w:tc>
      </w:tr>
      <w:tr>
        <w:tc>
          <w:tcPr/>
          <w:p>
            <w:pPr>
              <w:pStyle w:val="Compact"/>
            </w:pPr>
            <w:r>
              <w:t xml:space="preserve">Audit logs</w:t>
            </w:r>
          </w:p>
        </w:tc>
        <w:tc>
          <w:tcPr/>
          <w:p>
            <w:pPr>
              <w:pStyle w:val="Compact"/>
            </w:pPr>
            <w:r>
              <w:t xml:space="preserve">10 years from creation</w:t>
            </w:r>
          </w:p>
        </w:tc>
        <w:tc>
          <w:tcPr/>
          <w:p>
            <w:pPr>
              <w:pStyle w:val="Compact"/>
            </w:pPr>
            <w:r>
              <w:t xml:space="preserve">PDPA Section 24</w:t>
            </w:r>
          </w:p>
        </w:tc>
        <w:tc>
          <w:tcPr/>
          <w:p>
            <w:pPr>
              <w:pStyle w:val="Compact"/>
            </w:pPr>
            <w:r>
              <w:t xml:space="preserve">Archive</w:t>
            </w:r>
          </w:p>
        </w:tc>
      </w:tr>
      <w:tr>
        <w:tc>
          <w:tcPr/>
          <w:p>
            <w:pPr>
              <w:pStyle w:val="Compact"/>
            </w:pPr>
            <w:r>
              <w:t xml:space="preserve">Financial records</w:t>
            </w:r>
          </w:p>
        </w:tc>
        <w:tc>
          <w:tcPr/>
          <w:p>
            <w:pPr>
              <w:pStyle w:val="Compact"/>
            </w:pPr>
            <w:r>
              <w:t xml:space="preserve">7 years from transaction</w:t>
            </w:r>
          </w:p>
        </w:tc>
        <w:tc>
          <w:tcPr/>
          <w:p>
            <w:pPr>
              <w:pStyle w:val="Compact"/>
            </w:pPr>
            <w:r>
              <w:t xml:space="preserve">Uganda Income Tax Act</w:t>
            </w:r>
          </w:p>
        </w:tc>
        <w:tc>
          <w:tcPr/>
          <w:p>
            <w:pPr>
              <w:pStyle w:val="Compact"/>
            </w:pPr>
            <w:r>
              <w:t xml:space="preserve">Archive</w:t>
            </w:r>
          </w:p>
        </w:tc>
      </w:tr>
      <w:tr>
        <w:tc>
          <w:tcPr/>
          <w:p>
            <w:pPr>
              <w:pStyle w:val="Compact"/>
            </w:pPr>
            <w:r>
              <w:t xml:space="preserve">HMIS submissions</w:t>
            </w:r>
          </w:p>
        </w:tc>
        <w:tc>
          <w:tcPr/>
          <w:p>
            <w:pPr>
              <w:pStyle w:val="Compact"/>
            </w:pPr>
            <w:r>
              <w:t xml:space="preserve">10 years from reporting period</w:t>
            </w:r>
          </w:p>
        </w:tc>
        <w:tc>
          <w:tcPr/>
          <w:p>
            <w:pPr>
              <w:pStyle w:val="Compact"/>
            </w:pPr>
            <w:r>
              <w:t xml:space="preserve">MoH HMIS directive</w:t>
            </w:r>
          </w:p>
        </w:tc>
        <w:tc>
          <w:tcPr/>
          <w:p>
            <w:pPr>
              <w:pStyle w:val="Compact"/>
            </w:pPr>
            <w:r>
              <w:t xml:space="preserve">Archive</w:t>
            </w:r>
          </w:p>
        </w:tc>
      </w:tr>
      <w:tr>
        <w:tc>
          <w:tcPr/>
          <w:p>
            <w:pPr>
              <w:pStyle w:val="Compact"/>
            </w:pPr>
            <w:r>
              <w:t xml:space="preserve">Consent records</w:t>
            </w:r>
          </w:p>
        </w:tc>
        <w:tc>
          <w:tcPr/>
          <w:p>
            <w:pPr>
              <w:pStyle w:val="Compact"/>
            </w:pPr>
            <w:r>
              <w:t xml:space="preserve">Duration of patient relationship + 10 years</w:t>
            </w:r>
          </w:p>
        </w:tc>
        <w:tc>
          <w:tcPr/>
          <w:p>
            <w:pPr>
              <w:pStyle w:val="Compact"/>
            </w:pPr>
            <w:r>
              <w:t xml:space="preserve">PDPA Section 10</w:t>
            </w:r>
          </w:p>
        </w:tc>
        <w:tc>
          <w:tcPr/>
          <w:p>
            <w:pPr>
              <w:pStyle w:val="Compact"/>
            </w:pPr>
            <w:r>
              <w:t xml:space="preserve">Archive</w:t>
            </w:r>
          </w:p>
        </w:tc>
      </w:tr>
      <w:tr>
        <w:tc>
          <w:tcPr/>
          <w:p>
            <w:pPr>
              <w:pStyle w:val="Compact"/>
            </w:pPr>
            <w:r>
              <w:t xml:space="preserve">Narcotic register</w:t>
            </w:r>
          </w:p>
        </w:tc>
        <w:tc>
          <w:tcPr/>
          <w:p>
            <w:pPr>
              <w:pStyle w:val="Compact"/>
            </w:pPr>
            <w:r>
              <w:t xml:space="preserve">Permanent</w:t>
            </w:r>
          </w:p>
        </w:tc>
        <w:tc>
          <w:tcPr/>
          <w:p>
            <w:pPr>
              <w:pStyle w:val="Compact"/>
            </w:pPr>
            <w:r>
              <w:t xml:space="preserve">NDA regulations</w:t>
            </w:r>
          </w:p>
        </w:tc>
        <w:tc>
          <w:tcPr/>
          <w:p>
            <w:pPr>
              <w:pStyle w:val="Compact"/>
            </w:pPr>
            <w:r>
              <w:t xml:space="preserve">No deletion permitted</w:t>
            </w:r>
          </w:p>
        </w:tc>
      </w:tr>
      <w:tr>
        <w:tc>
          <w:tcPr/>
          <w:p>
            <w:pPr>
              <w:pStyle w:val="Compact"/>
            </w:pPr>
            <w:r>
              <w:t xml:space="preserve">Breach notification records</w:t>
            </w:r>
          </w:p>
        </w:tc>
        <w:tc>
          <w:tcPr/>
          <w:p>
            <w:pPr>
              <w:pStyle w:val="Compact"/>
            </w:pPr>
            <w:r>
              <w:t xml:space="preserve">10 years from incident</w:t>
            </w:r>
          </w:p>
        </w:tc>
        <w:tc>
          <w:tcPr/>
          <w:p>
            <w:pPr>
              <w:pStyle w:val="Compact"/>
            </w:pPr>
            <w:r>
              <w:t xml:space="preserve">PDPA Section 31</w:t>
            </w:r>
          </w:p>
        </w:tc>
        <w:tc>
          <w:tcPr/>
          <w:p>
            <w:pPr>
              <w:pStyle w:val="Compact"/>
            </w:pPr>
            <w:r>
              <w:t xml:space="preserve">Archive</w:t>
            </w:r>
          </w:p>
        </w:tc>
      </w:tr>
    </w:tbl>
    <w:p>
      <w:r>
        <w:pict>
          <v:rect style="width:0;height:1.5pt" o:hralign="center" o:hrstd="t" o:hr="t"/>
        </w:pict>
      </w:r>
    </w:p>
    <w:bookmarkEnd w:id="11"/>
    <w:bookmarkEnd w:id="12"/>
    <w:bookmarkStart w:id="16" w:name="X427a96da7f9053caa4e8fd2bb816bb22926ff1a"/>
    <w:p>
      <w:pPr>
        <w:pStyle w:val="Heading2"/>
      </w:pPr>
      <w:r>
        <w:t xml:space="preserve">2. HIV/AIDS Prevention and Control Act 2014</w:t>
      </w:r>
    </w:p>
    <w:bookmarkStart w:id="13" w:name="X9a5cbae854bbd58a8c057fc7e630deb52fd6b61"/>
    <w:p>
      <w:pPr>
        <w:pStyle w:val="Heading3"/>
      </w:pPr>
      <w:r>
        <w:t xml:space="preserve">2.1 Section 18: Mandatory Confidentiality of HIV Test Results</w:t>
      </w:r>
    </w:p>
    <w:p>
      <w:pPr>
        <w:pStyle w:val="FirstParagraph"/>
      </w:pPr>
      <w:r>
        <w:t xml:space="preserve">The HIV/AIDS Prevention and Control Act 2014 Section 18 mandates that HIV test results shall be kept confidential and shall not be disclosed without the informed consent of the person tested, except in limited circumstances defined by law.</w:t>
      </w:r>
    </w:p>
    <w:bookmarkEnd w:id="13"/>
    <w:bookmarkStart w:id="14" w:name="X716078ae1fb5f06e30a1fbf9e01fd7f677dc9f9"/>
    <w:p>
      <w:pPr>
        <w:pStyle w:val="Heading3"/>
      </w:pPr>
      <w:r>
        <w:t xml:space="preserve">2.2 Implementation Controls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Control</w:t>
            </w:r>
          </w:p>
        </w:tc>
        <w:tc>
          <w:tcPr/>
          <w:p>
            <w:pPr>
              <w:pStyle w:val="Compact"/>
            </w:pPr>
            <w:r>
              <w:t xml:space="preserve">Implementation</w:t>
            </w:r>
          </w:p>
        </w:tc>
        <w:tc>
          <w:tcPr/>
          <w:p>
            <w:pPr>
              <w:pStyle w:val="Compact"/>
            </w:pPr>
            <w:r>
              <w:t xml:space="preserve">Reference</w:t>
            </w:r>
          </w:p>
        </w:tc>
      </w:tr>
      <w:tr>
        <w:tc>
          <w:tcPr/>
          <w:p>
            <w:pPr>
              <w:pStyle w:val="Compact"/>
            </w:pPr>
            <w:r>
              <w:rPr>
                <w:b/>
                <w:bCs/>
              </w:rPr>
              <w:t xml:space="preserve">Access restriction</w:t>
            </w:r>
          </w:p>
        </w:tc>
        <w:tc>
          <w:tcPr/>
          <w:p>
            <w:pPr>
              <w:pStyle w:val="Compact"/>
            </w:pPr>
            <w:r>
              <w:t xml:space="preserve">HIV status is classified as a sensitive record. Only clinicians who hold an explicit "HIV programme" permission AND have an active treatment relationship with the patient can view HIV status. All other users see</w:t>
            </w:r>
            <w:r>
              <w:t xml:space="preserve"> </w:t>
            </w:r>
            <w:r>
              <w:rPr>
                <w:rStyle w:val="VerbatimChar"/>
              </w:rPr>
              <w:t xml:space="preserve">[Restricted]</w:t>
            </w:r>
            <w:r>
              <w:t xml:space="preserve"> </w:t>
            </w:r>
            <w:r>
              <w:t xml:space="preserve">in place of the field value.</w:t>
            </w:r>
          </w:p>
        </w:tc>
        <w:tc>
          <w:tcPr/>
          <w:p>
            <w:pPr>
              <w:pStyle w:val="Compact"/>
            </w:pPr>
            <w:r>
              <w:t xml:space="preserve">NFR-HC-010, FR-RBAC-003</w:t>
            </w:r>
          </w:p>
        </w:tc>
      </w:tr>
      <w:tr>
        <w:tc>
          <w:tcPr/>
          <w:p>
            <w:pPr>
              <w:pStyle w:val="Compact"/>
            </w:pPr>
            <w:r>
              <w:rPr>
                <w:b/>
                <w:bCs/>
              </w:rPr>
              <w:t xml:space="preserve">ABAC enforcement</w:t>
            </w:r>
          </w:p>
        </w:tc>
        <w:tc>
          <w:tcPr/>
          <w:p>
            <w:pPr>
              <w:pStyle w:val="Compact"/>
            </w:pPr>
            <w:r>
              <w:t xml:space="preserve">Attribute-based access control (ABAC) evaluates 3 attributes before granting access: (1) user holds "sensitive record" permission, (2) user has an active treatment relationship with the patient, (3) data category matches user's approved sensitive categories. All 3 must be true.</w:t>
            </w:r>
          </w:p>
        </w:tc>
        <w:tc>
          <w:tcPr/>
          <w:p>
            <w:pPr>
              <w:pStyle w:val="Compact"/>
            </w:pPr>
            <w:r>
              <w:t xml:space="preserve">NFR-HC-010, FR-RBAC-003</w:t>
            </w:r>
          </w:p>
        </w:tc>
      </w:tr>
      <w:tr>
        <w:tc>
          <w:tcPr/>
          <w:p>
            <w:pPr>
              <w:pStyle w:val="Compact"/>
            </w:pPr>
            <w:r>
              <w:rPr>
                <w:b/>
                <w:bCs/>
              </w:rPr>
              <w:t xml:space="preserve">Cross-facility restriction</w:t>
            </w:r>
          </w:p>
        </w:tc>
        <w:tc>
          <w:tcPr/>
          <w:p>
            <w:pPr>
              <w:pStyle w:val="Compact"/>
            </w:pPr>
            <w:r>
              <w:t xml:space="preserve">HIV status is excluded from cross-facility patient lookup results (FR-REG-010) unless the patient has granted explicit emergency HIV disclosure consent.</w:t>
            </w:r>
          </w:p>
        </w:tc>
        <w:tc>
          <w:tcPr/>
          <w:p>
            <w:pPr>
              <w:pStyle w:val="Compact"/>
            </w:pPr>
            <w:r>
              <w:t xml:space="preserve">FR-REG-010, BR-DATA-002</w:t>
            </w:r>
          </w:p>
        </w:tc>
      </w:tr>
      <w:tr>
        <w:tc>
          <w:tcPr/>
          <w:p>
            <w:pPr>
              <w:pStyle w:val="Compact"/>
            </w:pPr>
            <w:r>
              <w:rPr>
                <w:b/>
                <w:bCs/>
              </w:rPr>
              <w:t xml:space="preserve">Emergency access</w:t>
            </w:r>
          </w:p>
        </w:tc>
        <w:tc>
          <w:tcPr/>
          <w:p>
            <w:pPr>
              <w:pStyle w:val="Compact"/>
            </w:pPr>
            <w:r>
              <w:t xml:space="preserve">Break-the-glass access may reveal HIV status only if the patient has previously consented to emergency HIV disclosure. Emergency access requires two-factor patient confirmation (name + date of birth), expires after 24 hours, and triggers an immediate SMS notification to the patient.</w:t>
            </w:r>
          </w:p>
        </w:tc>
        <w:tc>
          <w:tcPr/>
          <w:p>
            <w:pPr>
              <w:pStyle w:val="Compact"/>
            </w:pPr>
            <w:r>
              <w:t xml:space="preserve">FR-RBAC-006, FR-RBAC-007, BR-DATA-002</w:t>
            </w:r>
          </w:p>
        </w:tc>
      </w:tr>
      <w:tr>
        <w:tc>
          <w:tcPr/>
          <w:p>
            <w:pPr>
              <w:pStyle w:val="Compact"/>
            </w:pPr>
            <w:r>
              <w:rPr>
                <w:b/>
                <w:bCs/>
              </w:rPr>
              <w:t xml:space="preserve">Audit trail</w:t>
            </w:r>
          </w:p>
        </w:tc>
        <w:tc>
          <w:tcPr/>
          <w:p>
            <w:pPr>
              <w:pStyle w:val="Compact"/>
            </w:pPr>
            <w:r>
              <w:t xml:space="preserve">All access to HIV records, whether granted or denied, is logged with: viewer identity, timestamp, facility, patient ID, access outcome (granted/denied), and justification.</w:t>
            </w:r>
          </w:p>
        </w:tc>
        <w:tc>
          <w:tcPr/>
          <w:p>
            <w:pPr>
              <w:pStyle w:val="Compact"/>
            </w:pPr>
            <w:r>
              <w:t xml:space="preserve">NFR-HC-001, NFR-HC-010</w:t>
            </w:r>
          </w:p>
        </w:tc>
      </w:tr>
      <w:tr>
        <w:tc>
          <w:tcPr/>
          <w:p>
            <w:pPr>
              <w:pStyle w:val="Compact"/>
            </w:pPr>
            <w:r>
              <w:rPr>
                <w:b/>
                <w:bCs/>
              </w:rPr>
              <w:t xml:space="preserve">Post-access review</w:t>
            </w:r>
          </w:p>
        </w:tc>
        <w:tc>
          <w:tcPr/>
          <w:p>
            <w:pPr>
              <w:pStyle w:val="Compact"/>
            </w:pPr>
            <w:r>
              <w:t xml:space="preserve">Break-the-glass access to HIV records triggers a mandatory post-access review by the Facility Admin within 48 hours. The review confirms the access was clinically justified.</w:t>
            </w:r>
          </w:p>
        </w:tc>
        <w:tc>
          <w:tcPr/>
          <w:p>
            <w:pPr>
              <w:pStyle w:val="Compact"/>
            </w:pPr>
            <w:r>
              <w:t xml:space="preserve">FR-RBAC-007</w:t>
            </w:r>
          </w:p>
        </w:tc>
      </w:tr>
    </w:tbl>
    <w:bookmarkEnd w:id="14"/>
    <w:bookmarkStart w:id="15" w:name="X8d11cc27d5a497522e506a4e305e6c2c7229272"/>
    <w:p>
      <w:pPr>
        <w:pStyle w:val="Heading3"/>
      </w:pPr>
      <w:r>
        <w:t xml:space="preserve">2.3 Mental Health, Reproductive Health, and Substance Abuse Records</w:t>
      </w:r>
    </w:p>
    <w:p>
      <w:pPr>
        <w:pStyle w:val="FirstParagraph"/>
      </w:pPr>
      <w:r>
        <w:t xml:space="preserve">The same ABAC access tier applies to:</w:t>
      </w:r>
    </w:p>
    <w:p>
      <w:pPr>
        <w:pStyle w:val="Compact"/>
        <w:numPr>
          <w:ilvl w:val="0"/>
          <w:numId w:val="1001"/>
        </w:numPr>
      </w:pPr>
      <w:r>
        <w:t xml:space="preserve">Mental health diagnoses and treatment records</w:t>
      </w:r>
    </w:p>
    <w:p>
      <w:pPr>
        <w:pStyle w:val="Compact"/>
        <w:numPr>
          <w:ilvl w:val="0"/>
          <w:numId w:val="1001"/>
        </w:numPr>
      </w:pPr>
      <w:r>
        <w:t xml:space="preserve">Reproductive health records (contraception, termination of pregnancy, STI treatment)</w:t>
      </w:r>
    </w:p>
    <w:p>
      <w:pPr>
        <w:pStyle w:val="Compact"/>
        <w:numPr>
          <w:ilvl w:val="0"/>
          <w:numId w:val="1001"/>
        </w:numPr>
      </w:pPr>
      <w:r>
        <w:t xml:space="preserve">Substance abuse records</w:t>
      </w:r>
    </w:p>
    <w:p>
      <w:pPr>
        <w:pStyle w:val="FirstParagraph"/>
      </w:pPr>
      <w:r>
        <w:t xml:space="preserve">Each category has its own permission flag, allowing facilities to grant clinicians access to specific sensitive categories without exposing others.</w:t>
      </w:r>
    </w:p>
    <w:p>
      <w:r>
        <w:pict>
          <v:rect style="width:0;height:1.5pt" o:hralign="center" o:hrstd="t" o:hr="t"/>
        </w:pict>
      </w:r>
    </w:p>
    <w:bookmarkEnd w:id="15"/>
    <w:bookmarkEnd w:id="16"/>
    <w:bookmarkStart w:id="20" w:name="X0709a16f29624e46baf4c0375c84918220b8a38"/>
    <w:p>
      <w:pPr>
        <w:pStyle w:val="Heading2"/>
      </w:pPr>
      <w:r>
        <w:t xml:space="preserve">3. Uganda HMIS Compliance</w:t>
      </w:r>
    </w:p>
    <w:bookmarkStart w:id="17" w:name="Xaae16d6b887c781c559fc776c93dfada76bcc99"/>
    <w:p>
      <w:pPr>
        <w:pStyle w:val="Heading3"/>
      </w:pPr>
      <w:r>
        <w:t xml:space="preserve">3.1 Mandatory Reporting Forms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HMIS Form</w:t>
            </w:r>
          </w:p>
        </w:tc>
        <w:tc>
          <w:tcPr/>
          <w:p>
            <w:pPr>
              <w:pStyle w:val="Compact"/>
            </w:pPr>
            <w:r>
              <w:t xml:space="preserve">Title</w:t>
            </w:r>
          </w:p>
        </w:tc>
        <w:tc>
          <w:tcPr/>
          <w:p>
            <w:pPr>
              <w:pStyle w:val="Compact"/>
            </w:pPr>
            <w:r>
              <w:t xml:space="preserve">Frequency</w:t>
            </w:r>
          </w:p>
        </w:tc>
        <w:tc>
          <w:tcPr/>
          <w:p>
            <w:pPr>
              <w:pStyle w:val="Compact"/>
            </w:pPr>
            <w:r>
              <w:t xml:space="preserve">Data Source</w:t>
            </w:r>
          </w:p>
        </w:tc>
        <w:tc>
          <w:tcPr/>
          <w:p>
            <w:pPr>
              <w:pStyle w:val="Compact"/>
            </w:pPr>
            <w:r>
              <w:t xml:space="preserve">Auto-Population</w:t>
            </w:r>
          </w:p>
        </w:tc>
        <w:tc>
          <w:tcPr/>
          <w:p>
            <w:pPr>
              <w:pStyle w:val="Compact"/>
            </w:pPr>
            <w:r>
              <w:t xml:space="preserve">Reference</w:t>
            </w:r>
          </w:p>
        </w:tc>
      </w:tr>
      <w:tr>
        <w:tc>
          <w:tcPr/>
          <w:p>
            <w:pPr>
              <w:pStyle w:val="Compact"/>
            </w:pPr>
            <w:r>
              <w:t xml:space="preserve">HMIS 105</w:t>
            </w:r>
          </w:p>
        </w:tc>
        <w:tc>
          <w:tcPr/>
          <w:p>
            <w:pPr>
              <w:pStyle w:val="Compact"/>
            </w:pPr>
            <w:r>
              <w:t xml:space="preserve">Outpatient Monthly Report</w:t>
            </w:r>
          </w:p>
        </w:tc>
        <w:tc>
          <w:tcPr/>
          <w:p>
            <w:pPr>
              <w:pStyle w:val="Compact"/>
            </w:pPr>
            <w:r>
              <w:t xml:space="preserve">Monthly</w:t>
            </w:r>
          </w:p>
        </w:tc>
        <w:tc>
          <w:tcPr/>
          <w:p>
            <w:pPr>
              <w:pStyle w:val="Compact"/>
            </w:pPr>
            <w:r>
              <w:t xml:space="preserve">OPD encounters, lab tests, radiology, maternity, immunisation</w:t>
            </w:r>
          </w:p>
        </w:tc>
        <w:tc>
          <w:tcPr/>
          <w:p>
            <w:pPr>
              <w:pStyle w:val="Compact"/>
            </w:pPr>
            <w:r>
              <w:t xml:space="preserve">Section 1: diagnoses by age/sex from ICD-10 coded visits. Section 2: lab test tallies. Section 3: radiology tallies. Section 4: maternity tallies. Section 5: HIV/AIDS services. Section 6: immunisation. Section 7: dental. Section 8: eye.</w:t>
            </w:r>
          </w:p>
        </w:tc>
        <w:tc>
          <w:tcPr/>
          <w:p>
            <w:pPr>
              <w:pStyle w:val="Compact"/>
            </w:pPr>
            <w:r>
              <w:t xml:space="preserve">BR-HMIS-001, NFR-HC-009</w:t>
            </w:r>
          </w:p>
        </w:tc>
      </w:tr>
      <w:tr>
        <w:tc>
          <w:tcPr/>
          <w:p>
            <w:pPr>
              <w:pStyle w:val="Compact"/>
            </w:pPr>
            <w:r>
              <w:t xml:space="preserve">HMIS 108</w:t>
            </w:r>
          </w:p>
        </w:tc>
        <w:tc>
          <w:tcPr/>
          <w:p>
            <w:pPr>
              <w:pStyle w:val="Compact"/>
            </w:pPr>
            <w:r>
              <w:t xml:space="preserve">Inpatient Monthly Report</w:t>
            </w:r>
          </w:p>
        </w:tc>
        <w:tc>
          <w:tcPr/>
          <w:p>
            <w:pPr>
              <w:pStyle w:val="Compact"/>
            </w:pPr>
            <w:r>
              <w:t xml:space="preserve">Monthly</w:t>
            </w:r>
          </w:p>
        </w:tc>
        <w:tc>
          <w:tcPr/>
          <w:p>
            <w:pPr>
              <w:pStyle w:val="Compact"/>
            </w:pPr>
            <w:r>
              <w:t xml:space="preserve">IPD admissions, discharges, deaths, theatre records</w:t>
            </w:r>
          </w:p>
        </w:tc>
        <w:tc>
          <w:tcPr/>
          <w:p>
            <w:pPr>
              <w:pStyle w:val="Compact"/>
            </w:pPr>
            <w:r>
              <w:t xml:space="preserve">Admissions, discharges, and deaths by diagnosis, age, sex. Bed occupancy rates. Surgical operations.</w:t>
            </w:r>
          </w:p>
        </w:tc>
        <w:tc>
          <w:tcPr/>
          <w:p>
            <w:pPr>
              <w:pStyle w:val="Compact"/>
            </w:pPr>
            <w:r>
              <w:t xml:space="preserve">BR-HMIS-002, NFR-HC-009</w:t>
            </w:r>
          </w:p>
        </w:tc>
      </w:tr>
      <w:tr>
        <w:tc>
          <w:tcPr/>
          <w:p>
            <w:pPr>
              <w:pStyle w:val="Compact"/>
            </w:pPr>
            <w:r>
              <w:t xml:space="preserve">HMIS 033b</w:t>
            </w:r>
          </w:p>
        </w:tc>
        <w:tc>
          <w:tcPr/>
          <w:p>
            <w:pPr>
              <w:pStyle w:val="Compact"/>
            </w:pPr>
            <w:r>
              <w:t xml:space="preserve">Weekly Epidemiological Surveillance Report</w:t>
            </w:r>
          </w:p>
        </w:tc>
        <w:tc>
          <w:tcPr/>
          <w:p>
            <w:pPr>
              <w:pStyle w:val="Compact"/>
            </w:pPr>
            <w:r>
              <w:t xml:space="preserve">Weekly</w:t>
            </w:r>
          </w:p>
        </w:tc>
        <w:tc>
          <w:tcPr/>
          <w:p>
            <w:pPr>
              <w:pStyle w:val="Compact"/>
            </w:pPr>
            <w:r>
              <w:t xml:space="preserve">OPD diagnoses matching 27 IDSR priority disease codes</w:t>
            </w:r>
          </w:p>
        </w:tc>
        <w:tc>
          <w:tcPr/>
          <w:p>
            <w:pPr>
              <w:pStyle w:val="Compact"/>
            </w:pPr>
            <w:r>
              <w:t xml:space="preserve">Auto-tallies from weekly OPD diagnoses.</w:t>
            </w:r>
          </w:p>
        </w:tc>
        <w:tc>
          <w:tcPr/>
          <w:p>
            <w:pPr>
              <w:pStyle w:val="Compact"/>
            </w:pPr>
            <w:r>
              <w:t xml:space="preserve">BR-HMIS-003, NFR-HC-009</w:t>
            </w:r>
          </w:p>
        </w:tc>
      </w:tr>
    </w:tbl>
    <w:bookmarkEnd w:id="17"/>
    <w:bookmarkStart w:id="18" w:name="X3096e1be3bcd2b035eec1f51d62e0c75ed94551"/>
    <w:p>
      <w:pPr>
        <w:pStyle w:val="Heading3"/>
      </w:pPr>
      <w:r>
        <w:t xml:space="preserve">3.2 DHIS2 Integration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Implementation</w:t>
            </w:r>
          </w:p>
        </w:tc>
        <w:tc>
          <w:tcPr/>
          <w:p>
            <w:pPr>
              <w:pStyle w:val="Compact"/>
            </w:pPr>
            <w:r>
              <w:t xml:space="preserve">Reference</w:t>
            </w:r>
          </w:p>
        </w:tc>
      </w:tr>
      <w:tr>
        <w:tc>
          <w:tcPr/>
          <w:p>
            <w:pPr>
              <w:pStyle w:val="Compact"/>
            </w:pPr>
            <w:r>
              <w:rPr>
                <w:b/>
                <w:bCs/>
              </w:rPr>
              <w:t xml:space="preserve">Data format</w:t>
            </w:r>
          </w:p>
        </w:tc>
        <w:tc>
          <w:tcPr/>
          <w:p>
            <w:pPr>
              <w:pStyle w:val="Compact"/>
            </w:pPr>
            <w:r>
              <w:t xml:space="preserve">HMIS data exported in DHIS2 ADX/JSON format compatible with the Uganda eHMIS instance (hmis2.health.go.ug)</w:t>
            </w:r>
          </w:p>
        </w:tc>
        <w:tc>
          <w:tcPr/>
          <w:p>
            <w:pPr>
              <w:pStyle w:val="Compact"/>
            </w:pPr>
            <w:r>
              <w:t xml:space="preserve">BR-HMIS-004, NFR-HC-009</w:t>
            </w:r>
          </w:p>
        </w:tc>
      </w:tr>
      <w:tr>
        <w:tc>
          <w:tcPr/>
          <w:p>
            <w:pPr>
              <w:pStyle w:val="Compact"/>
            </w:pPr>
            <w:r>
              <w:rPr>
                <w:b/>
                <w:bCs/>
              </w:rPr>
              <w:t xml:space="preserve">API push</w:t>
            </w:r>
          </w:p>
        </w:tc>
        <w:tc>
          <w:tcPr/>
          <w:p>
            <w:pPr>
              <w:pStyle w:val="Compact"/>
            </w:pPr>
            <w:r>
              <w:t xml:space="preserve">Direct API push to DHIS2 when internet connectivity is available</w:t>
            </w:r>
          </w:p>
        </w:tc>
        <w:tc>
          <w:tcPr/>
          <w:p>
            <w:pPr>
              <w:pStyle w:val="Compact"/>
            </w:pPr>
            <w:r>
              <w:t xml:space="preserve">BR-HMIS-004</w:t>
            </w:r>
          </w:p>
        </w:tc>
      </w:tr>
      <w:tr>
        <w:tc>
          <w:tcPr/>
          <w:p>
            <w:pPr>
              <w:pStyle w:val="Compact"/>
            </w:pPr>
            <w:r>
              <w:rPr>
                <w:b/>
                <w:bCs/>
              </w:rPr>
              <w:t xml:space="preserve">Submission tracking</w:t>
            </w:r>
          </w:p>
        </w:tc>
        <w:tc>
          <w:tcPr/>
          <w:p>
            <w:pPr>
              <w:pStyle w:val="Compact"/>
            </w:pPr>
            <w:r>
              <w:t xml:space="preserve">The system tracks which reporting periods have been submitted and which are pending</w:t>
            </w:r>
          </w:p>
        </w:tc>
        <w:tc>
          <w:tcPr/>
          <w:p>
            <w:pPr>
              <w:pStyle w:val="Compact"/>
            </w:pPr>
            <w:r>
              <w:t xml:space="preserve">NFR-HC-009</w:t>
            </w:r>
          </w:p>
        </w:tc>
      </w:tr>
      <w:tr>
        <w:tc>
          <w:tcPr/>
          <w:p>
            <w:pPr>
              <w:pStyle w:val="Compact"/>
            </w:pPr>
            <w:r>
              <w:rPr>
                <w:b/>
                <w:bCs/>
              </w:rPr>
              <w:t xml:space="preserve">Offline fallback</w:t>
            </w:r>
          </w:p>
        </w:tc>
        <w:tc>
          <w:tcPr/>
          <w:p>
            <w:pPr>
              <w:pStyle w:val="Compact"/>
            </w:pPr>
            <w:r>
              <w:t xml:space="preserve">When internet is unavailable, HMIS data is queued locally and submitted when connectivity resumes</w:t>
            </w:r>
          </w:p>
        </w:tc>
        <w:tc>
          <w:tcPr/>
          <w:p>
            <w:pPr>
              <w:pStyle w:val="Compact"/>
            </w:pPr>
            <w:r>
              <w:t xml:space="preserve">NFR-HC-013</w:t>
            </w:r>
          </w:p>
        </w:tc>
      </w:tr>
    </w:tbl>
    <w:bookmarkEnd w:id="18"/>
    <w:bookmarkStart w:id="19" w:name="X2d70c4fb581688b96cdc4ec7dd234998f4e3273"/>
    <w:p>
      <w:pPr>
        <w:pStyle w:val="Heading3"/>
      </w:pPr>
      <w:r>
        <w:t xml:space="preserve">3.3 HMIS Form Version Management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Control</w:t>
            </w:r>
          </w:p>
        </w:tc>
        <w:tc>
          <w:tcPr/>
          <w:p>
            <w:pPr>
              <w:pStyle w:val="Compact"/>
            </w:pPr>
            <w:r>
              <w:t xml:space="preserve">Implementation</w:t>
            </w:r>
          </w:p>
        </w:tc>
        <w:tc>
          <w:tcPr/>
          <w:p>
            <w:pPr>
              <w:pStyle w:val="Compact"/>
            </w:pPr>
            <w:r>
              <w:t xml:space="preserve">Reference</w:t>
            </w:r>
          </w:p>
        </w:tc>
      </w:tr>
      <w:tr>
        <w:tc>
          <w:tcPr/>
          <w:p>
            <w:pPr>
              <w:pStyle w:val="Compact"/>
            </w:pPr>
            <w:r>
              <w:rPr>
                <w:b/>
                <w:bCs/>
              </w:rPr>
              <w:t xml:space="preserve">Version control</w:t>
            </w:r>
          </w:p>
        </w:tc>
        <w:tc>
          <w:tcPr/>
          <w:p>
            <w:pPr>
              <w:pStyle w:val="Compact"/>
            </w:pPr>
            <w:r>
              <w:t xml:space="preserve">HMIS form mappings are stored in configuration tables, not hardcoded</w:t>
            </w:r>
          </w:p>
        </w:tc>
        <w:tc>
          <w:tcPr/>
          <w:p>
            <w:pPr>
              <w:pStyle w:val="Compact"/>
            </w:pPr>
            <w:r>
              <w:t xml:space="preserve">NFR-HC-009, Gap Analysis HIGH-007</w:t>
            </w:r>
          </w:p>
        </w:tc>
      </w:tr>
      <w:tr>
        <w:tc>
          <w:tcPr/>
          <w:p>
            <w:pPr>
              <w:pStyle w:val="Compact"/>
            </w:pPr>
            <w:r>
              <w:rPr>
                <w:b/>
                <w:bCs/>
              </w:rPr>
              <w:t xml:space="preserve">Update process</w:t>
            </w:r>
          </w:p>
        </w:tc>
        <w:tc>
          <w:tcPr/>
          <w:p>
            <w:pPr>
              <w:pStyle w:val="Compact"/>
            </w:pPr>
            <w:r>
              <w:t xml:space="preserve">Subscribe to hmis2.health.go.ug notices for form version changes</w:t>
            </w:r>
          </w:p>
        </w:tc>
        <w:tc>
          <w:tcPr/>
          <w:p>
            <w:pPr>
              <w:pStyle w:val="Compact"/>
            </w:pPr>
            <w:r>
              <w:t xml:space="preserve">Gap Analysis HIGH-007</w:t>
            </w:r>
          </w:p>
        </w:tc>
      </w:tr>
      <w:tr>
        <w:tc>
          <w:tcPr/>
          <w:p>
            <w:pPr>
              <w:pStyle w:val="Compact"/>
            </w:pPr>
            <w:r>
              <w:rPr>
                <w:b/>
                <w:bCs/>
              </w:rPr>
              <w:t xml:space="preserve">Turnaround</w:t>
            </w:r>
          </w:p>
        </w:tc>
        <w:tc>
          <w:tcPr/>
          <w:p>
            <w:pPr>
              <w:pStyle w:val="Compact"/>
            </w:pPr>
            <w:r>
              <w:t xml:space="preserve">Maximum 30-day turnaround for updating mappings after MoH publishes a new form version</w:t>
            </w:r>
          </w:p>
        </w:tc>
        <w:tc>
          <w:tcPr/>
          <w:p>
            <w:pPr>
              <w:pStyle w:val="Compact"/>
            </w:pPr>
            <w:r>
              <w:t xml:space="preserve">Gap Analysis HIGH-007</w:t>
            </w:r>
          </w:p>
        </w:tc>
      </w:tr>
      <w:tr>
        <w:tc>
          <w:tcPr/>
          <w:p>
            <w:pPr>
              <w:pStyle w:val="Compact"/>
            </w:pPr>
            <w:r>
              <w:rPr>
                <w:b/>
                <w:bCs/>
              </w:rPr>
              <w:t xml:space="preserve">Fallback</w:t>
            </w:r>
          </w:p>
        </w:tc>
        <w:tc>
          <w:tcPr/>
          <w:p>
            <w:pPr>
              <w:pStyle w:val="Compact"/>
            </w:pPr>
            <w:r>
              <w:t xml:space="preserve">If a new form version is not yet mapped, export data in the previous version with a warning flag</w:t>
            </w:r>
          </w:p>
        </w:tc>
        <w:tc>
          <w:tcPr/>
          <w:p>
            <w:pPr>
              <w:pStyle w:val="Compact"/>
            </w:pPr>
            <w:r>
              <w:t xml:space="preserve">Gap Analysis HIGH-007</w:t>
            </w:r>
          </w:p>
        </w:tc>
      </w:tr>
    </w:tbl>
    <w:p>
      <w:r>
        <w:pict>
          <v:rect style="width:0;height:1.5pt" o:hralign="center" o:hrstd="t" o:hr="t"/>
        </w:pict>
      </w:r>
    </w:p>
    <w:bookmarkEnd w:id="19"/>
    <w:bookmarkEnd w:id="20"/>
    <w:bookmarkStart w:id="26" w:name="X1724da36cfaf8435f508fa8b4854cf7ac99c3de"/>
    <w:p>
      <w:pPr>
        <w:pStyle w:val="Heading2"/>
      </w:pPr>
      <w:r>
        <w:t xml:space="preserve">4. Clinical Safety Compliance</w:t>
      </w:r>
    </w:p>
    <w:bookmarkStart w:id="21" w:name="X217f05e20103e1105190a504f82d3a70df2b5e6"/>
    <w:p>
      <w:pPr>
        <w:pStyle w:val="Heading3"/>
      </w:pPr>
      <w:r>
        <w:t xml:space="preserve">4.1 Drug Interaction Database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Control</w:t>
            </w:r>
          </w:p>
        </w:tc>
        <w:tc>
          <w:tcPr/>
          <w:p>
            <w:pPr>
              <w:pStyle w:val="Compact"/>
            </w:pPr>
            <w:r>
              <w:t xml:space="preserve">Implementation</w:t>
            </w:r>
          </w:p>
        </w:tc>
        <w:tc>
          <w:tcPr/>
          <w:p>
            <w:pPr>
              <w:pStyle w:val="Compact"/>
            </w:pPr>
            <w:r>
              <w:t xml:space="preserve">Reference</w:t>
            </w:r>
          </w:p>
        </w:tc>
      </w:tr>
      <w:tr>
        <w:tc>
          <w:tcPr/>
          <w:p>
            <w:pPr>
              <w:pStyle w:val="Compact"/>
            </w:pPr>
            <w:r>
              <w:rPr>
                <w:b/>
                <w:bCs/>
              </w:rPr>
              <w:t xml:space="preserve">Database source</w:t>
            </w:r>
          </w:p>
        </w:tc>
        <w:tc>
          <w:tcPr/>
          <w:p>
            <w:pPr>
              <w:pStyle w:val="Compact"/>
            </w:pPr>
            <w:r>
              <w:t xml:space="preserve">Licensed third-party drug interaction database (DrugBank, RxNorm/NLM, or Uganda NDA formulary). The database shall NOT be built in-house.</w:t>
            </w:r>
          </w:p>
        </w:tc>
        <w:tc>
          <w:tcPr/>
          <w:p>
            <w:pPr>
              <w:pStyle w:val="Compact"/>
            </w:pPr>
            <w:r>
              <w:t xml:space="preserve">Gap Analysis HIGH-001</w:t>
            </w:r>
          </w:p>
        </w:tc>
      </w:tr>
      <w:tr>
        <w:tc>
          <w:tcPr/>
          <w:p>
            <w:pPr>
              <w:pStyle w:val="Compact"/>
            </w:pPr>
            <w:r>
              <w:rPr>
                <w:b/>
                <w:bCs/>
              </w:rPr>
              <w:t xml:space="preserve">Update frequency</w:t>
            </w:r>
          </w:p>
        </w:tc>
        <w:tc>
          <w:tcPr/>
          <w:p>
            <w:pPr>
              <w:pStyle w:val="Compact"/>
            </w:pPr>
            <w:r>
              <w:t xml:space="preserve">Database updates applied within 30 days of publication by the source authority</w:t>
            </w:r>
          </w:p>
        </w:tc>
        <w:tc>
          <w:tcPr/>
          <w:p>
            <w:pPr>
              <w:pStyle w:val="Compact"/>
            </w:pPr>
            <w:r>
              <w:t xml:space="preserve">Gap Analysis HIGH-001</w:t>
            </w:r>
          </w:p>
        </w:tc>
      </w:tr>
      <w:tr>
        <w:tc>
          <w:tcPr/>
          <w:p>
            <w:pPr>
              <w:pStyle w:val="Compact"/>
            </w:pPr>
            <w:r>
              <w:rPr>
                <w:b/>
                <w:bCs/>
              </w:rPr>
              <w:t xml:space="preserve">Coverage</w:t>
            </w:r>
          </w:p>
        </w:tc>
        <w:tc>
          <w:tcPr/>
          <w:p>
            <w:pPr>
              <w:pStyle w:val="Compact"/>
            </w:pPr>
            <w:r>
              <w:t xml:space="preserve">Interactions, contraindications, allergy-prescription conflicts, pregnancy/lactation warnings</w:t>
            </w:r>
          </w:p>
        </w:tc>
        <w:tc>
          <w:tcPr/>
          <w:p>
            <w:pPr>
              <w:pStyle w:val="Compact"/>
            </w:pPr>
            <w:r>
              <w:t xml:space="preserve">BR-CLIN-004, FR-OPD-008</w:t>
            </w:r>
          </w:p>
        </w:tc>
      </w:tr>
      <w:tr>
        <w:tc>
          <w:tcPr/>
          <w:p>
            <w:pPr>
              <w:pStyle w:val="Compact"/>
            </w:pPr>
            <w:r>
              <w:rPr>
                <w:b/>
                <w:bCs/>
              </w:rPr>
              <w:t xml:space="preserve">Liability</w:t>
            </w:r>
          </w:p>
        </w:tc>
        <w:tc>
          <w:tcPr/>
          <w:p>
            <w:pPr>
              <w:pStyle w:val="Compact"/>
            </w:pPr>
            <w:r>
              <w:t xml:space="preserve">Database vendor assumes data accuracy liability per licensing agreement</w:t>
            </w:r>
          </w:p>
        </w:tc>
        <w:tc>
          <w:tcPr/>
          <w:p>
            <w:pPr>
              <w:pStyle w:val="Compact"/>
            </w:pPr>
            <w:r>
              <w:t xml:space="preserve">Gap Analysis HIGH-001, HIGH-004</w:t>
            </w:r>
          </w:p>
        </w:tc>
      </w:tr>
    </w:tbl>
    <w:bookmarkEnd w:id="21"/>
    <w:bookmarkStart w:id="22" w:name="X69ee7af0a13f0e1a0990410686f3014a4422c21"/>
    <w:p>
      <w:pPr>
        <w:pStyle w:val="Heading3"/>
      </w:pPr>
      <w:r>
        <w:t xml:space="preserve">4.2 Clinical Decision Support (CDS)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Control</w:t>
            </w:r>
          </w:p>
        </w:tc>
        <w:tc>
          <w:tcPr/>
          <w:p>
            <w:pPr>
              <w:pStyle w:val="Compact"/>
            </w:pPr>
            <w:r>
              <w:t xml:space="preserve">Implementation</w:t>
            </w:r>
          </w:p>
        </w:tc>
        <w:tc>
          <w:tcPr/>
          <w:p>
            <w:pPr>
              <w:pStyle w:val="Compact"/>
            </w:pPr>
            <w:r>
              <w:t xml:space="preserve">Reference</w:t>
            </w:r>
          </w:p>
        </w:tc>
      </w:tr>
      <w:tr>
        <w:tc>
          <w:tcPr/>
          <w:p>
            <w:pPr>
              <w:pStyle w:val="Compact"/>
            </w:pPr>
            <w:r>
              <w:rPr>
                <w:b/>
                <w:bCs/>
              </w:rPr>
              <w:t xml:space="preserve">CDS classification</w:t>
            </w:r>
          </w:p>
        </w:tc>
        <w:tc>
          <w:tcPr/>
          <w:p>
            <w:pPr>
              <w:pStyle w:val="Compact"/>
            </w:pPr>
            <w:r>
              <w:t xml:space="preserve">Medic8 CDS is decision support only, not decision making. Clinical liability remains with the prescribing clinician.</w:t>
            </w:r>
          </w:p>
        </w:tc>
        <w:tc>
          <w:tcPr/>
          <w:p>
            <w:pPr>
              <w:pStyle w:val="Compact"/>
            </w:pPr>
            <w:r>
              <w:t xml:space="preserve">Gap Analysis HIGH-004</w:t>
            </w:r>
          </w:p>
        </w:tc>
      </w:tr>
      <w:tr>
        <w:tc>
          <w:tcPr/>
          <w:p>
            <w:pPr>
              <w:pStyle w:val="Compact"/>
            </w:pPr>
            <w:r>
              <w:rPr>
                <w:b/>
                <w:bCs/>
              </w:rPr>
              <w:t xml:space="preserve">Terms of Service</w:t>
            </w:r>
          </w:p>
        </w:tc>
        <w:tc>
          <w:tcPr/>
          <w:p>
            <w:pPr>
              <w:pStyle w:val="Compact"/>
            </w:pPr>
            <w:r>
              <w:t xml:space="preserve">The Medic8 Terms of Service explicitly disclaim clinical liability. CDS alerts are advisory; the clinician retains full prescribing authority and responsibility.</w:t>
            </w:r>
          </w:p>
        </w:tc>
        <w:tc>
          <w:tcPr/>
          <w:p>
            <w:pPr>
              <w:pStyle w:val="Compact"/>
            </w:pPr>
            <w:r>
              <w:t xml:space="preserve">Gap Analysis HIGH-004</w:t>
            </w:r>
          </w:p>
        </w:tc>
      </w:tr>
      <w:tr>
        <w:tc>
          <w:tcPr/>
          <w:p>
            <w:pPr>
              <w:pStyle w:val="Compact"/>
            </w:pPr>
            <w:r>
              <w:rPr>
                <w:b/>
                <w:bCs/>
              </w:rPr>
              <w:t xml:space="preserve">Alert configuration</w:t>
            </w:r>
          </w:p>
        </w:tc>
        <w:tc>
          <w:tcPr/>
          <w:p>
            <w:pPr>
              <w:pStyle w:val="Compact"/>
            </w:pPr>
            <w:r>
              <w:t xml:space="preserve">CDS rules are data-driven (configuration table, not hardcoded). Alert types: Info, Warning (overridable), Serious (overridable with documented reason), Fatal (not overridable by prescriber).</w:t>
            </w:r>
          </w:p>
        </w:tc>
        <w:tc>
          <w:tcPr/>
          <w:p>
            <w:pPr>
              <w:pStyle w:val="Compact"/>
            </w:pPr>
            <w:r>
              <w:t xml:space="preserve">BR-CLIN-004, NFR-HC-012</w:t>
            </w:r>
          </w:p>
        </w:tc>
      </w:tr>
      <w:tr>
        <w:tc>
          <w:tcPr/>
          <w:p>
            <w:pPr>
              <w:pStyle w:val="Compact"/>
            </w:pPr>
            <w:r>
              <w:rPr>
                <w:b/>
                <w:bCs/>
              </w:rPr>
              <w:t xml:space="preserve">Override audit</w:t>
            </w:r>
          </w:p>
        </w:tc>
        <w:tc>
          <w:tcPr/>
          <w:p>
            <w:pPr>
              <w:pStyle w:val="Compact"/>
            </w:pPr>
            <w:r>
              <w:t xml:space="preserve">Every alert fired and every override action is audited with: clinician ID, timestamp, reason text, patient ID, alert ID.</w:t>
            </w:r>
          </w:p>
        </w:tc>
        <w:tc>
          <w:tcPr/>
          <w:p>
            <w:pPr>
              <w:pStyle w:val="Compact"/>
            </w:pPr>
            <w:r>
              <w:t xml:space="preserve">NFR-HC-012</w:t>
            </w:r>
          </w:p>
        </w:tc>
      </w:tr>
      <w:tr>
        <w:tc>
          <w:tcPr/>
          <w:p>
            <w:pPr>
              <w:pStyle w:val="Compact"/>
            </w:pPr>
            <w:r>
              <w:rPr>
                <w:b/>
                <w:bCs/>
              </w:rPr>
              <w:t xml:space="preserve">Override monitoring</w:t>
            </w:r>
          </w:p>
        </w:tc>
        <w:tc>
          <w:tcPr/>
          <w:p>
            <w:pPr>
              <w:pStyle w:val="Compact"/>
            </w:pPr>
            <w:r>
              <w:t xml:space="preserve">Override rates are tracked per facility for quality monitoring.</w:t>
            </w:r>
          </w:p>
        </w:tc>
        <w:tc>
          <w:tcPr/>
          <w:p>
            <w:pPr>
              <w:pStyle w:val="Compact"/>
            </w:pPr>
            <w:r>
              <w:t xml:space="preserve">NFR-HC-012</w:t>
            </w:r>
          </w:p>
        </w:tc>
      </w:tr>
      <w:tr>
        <w:tc>
          <w:tcPr/>
          <w:p>
            <w:pPr>
              <w:pStyle w:val="Compact"/>
            </w:pPr>
            <w:r>
              <w:rPr>
                <w:b/>
                <w:bCs/>
              </w:rPr>
              <w:t xml:space="preserve">Clinical validation</w:t>
            </w:r>
          </w:p>
        </w:tc>
        <w:tc>
          <w:tcPr/>
          <w:p>
            <w:pPr>
              <w:pStyle w:val="Compact"/>
            </w:pPr>
            <w:r>
              <w:t xml:space="preserve">A practising clinician shall validate alert categories and thresholds before production deployment.</w:t>
            </w:r>
          </w:p>
        </w:tc>
        <w:tc>
          <w:tcPr/>
          <w:p>
            <w:pPr>
              <w:pStyle w:val="Compact"/>
            </w:pPr>
            <w:r>
              <w:t xml:space="preserve">Gap Analysis HIGH-004</w:t>
            </w:r>
          </w:p>
        </w:tc>
      </w:tr>
    </w:tbl>
    <w:bookmarkEnd w:id="22"/>
    <w:bookmarkStart w:id="23" w:name="X06968f2cff8df77c39974fe37441dbddda7c23f"/>
    <w:p>
      <w:pPr>
        <w:pStyle w:val="Heading3"/>
      </w:pPr>
      <w:r>
        <w:t xml:space="preserve">4.3 Medication Error Prevention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Control</w:t>
            </w:r>
          </w:p>
        </w:tc>
        <w:tc>
          <w:tcPr/>
          <w:p>
            <w:pPr>
              <w:pStyle w:val="Compact"/>
            </w:pPr>
            <w:r>
              <w:t xml:space="preserve">Implementation</w:t>
            </w:r>
          </w:p>
        </w:tc>
        <w:tc>
          <w:tcPr/>
          <w:p>
            <w:pPr>
              <w:pStyle w:val="Compact"/>
            </w:pPr>
            <w:r>
              <w:t xml:space="preserve">Reference</w:t>
            </w:r>
          </w:p>
        </w:tc>
      </w:tr>
      <w:tr>
        <w:tc>
          <w:tcPr/>
          <w:p>
            <w:pPr>
              <w:pStyle w:val="Compact"/>
            </w:pPr>
            <w:r>
              <w:rPr>
                <w:b/>
                <w:bCs/>
              </w:rPr>
              <w:t xml:space="preserve">Five Rights CPOE</w:t>
            </w:r>
          </w:p>
        </w:tc>
        <w:tc>
          <w:tcPr/>
          <w:p>
            <w:pPr>
              <w:pStyle w:val="Compact"/>
            </w:pPr>
            <w:r>
              <w:t xml:space="preserve">Every prescription validates: right patient, right drug, right dose, right route, right time. Failure blocks submission.</w:t>
            </w:r>
          </w:p>
        </w:tc>
        <w:tc>
          <w:tcPr/>
          <w:p>
            <w:pPr>
              <w:pStyle w:val="Compact"/>
            </w:pPr>
            <w:r>
              <w:t xml:space="preserve">BR-CLIN-008, FR-OPD-015</w:t>
            </w:r>
          </w:p>
        </w:tc>
      </w:tr>
      <w:tr>
        <w:tc>
          <w:tcPr/>
          <w:p>
            <w:pPr>
              <w:pStyle w:val="Compact"/>
            </w:pPr>
            <w:r>
              <w:rPr>
                <w:b/>
                <w:bCs/>
              </w:rPr>
              <w:t xml:space="preserve">Paediatric dosing</w:t>
            </w:r>
          </w:p>
        </w:tc>
        <w:tc>
          <w:tcPr/>
          <w:p>
            <w:pPr>
              <w:pStyle w:val="Compact"/>
            </w:pPr>
            <w:r>
              <w:t xml:space="preserve">Weight-based dosing (mg/kg) for patients under 12. Adult ceiling dose cap. 10x deviation decimal error flag. No weight within 24 hours blocks prescription.</w:t>
            </w:r>
          </w:p>
        </w:tc>
        <w:tc>
          <w:tcPr/>
          <w:p>
            <w:pPr>
              <w:pStyle w:val="Compact"/>
            </w:pPr>
            <w:r>
              <w:t xml:space="preserve">BR-CLIN-006, NFR-HC-011, FR-PHR-014</w:t>
            </w:r>
          </w:p>
        </w:tc>
      </w:tr>
      <w:tr>
        <w:tc>
          <w:tcPr/>
          <w:p>
            <w:pPr>
              <w:pStyle w:val="Compact"/>
            </w:pPr>
            <w:r>
              <w:rPr>
                <w:b/>
                <w:bCs/>
              </w:rPr>
              <w:t xml:space="preserve">Tall Man Lettering</w:t>
            </w:r>
          </w:p>
        </w:tc>
        <w:tc>
          <w:tcPr/>
          <w:p>
            <w:pPr>
              <w:pStyle w:val="Compact"/>
            </w:pPr>
            <w:r>
              <w:t xml:space="preserve">LASA drug names display differentiating letters in uppercase (e.g., hydrOXYzine vs hydrALAZINE).</w:t>
            </w:r>
          </w:p>
        </w:tc>
        <w:tc>
          <w:tcPr/>
          <w:p>
            <w:pPr>
              <w:pStyle w:val="Compact"/>
            </w:pPr>
            <w:r>
              <w:t xml:space="preserve">BR-RX-003, FR-PHR-013</w:t>
            </w:r>
          </w:p>
        </w:tc>
      </w:tr>
      <w:tr>
        <w:tc>
          <w:tcPr/>
          <w:p>
            <w:pPr>
              <w:pStyle w:val="Compact"/>
            </w:pPr>
            <w:r>
              <w:rPr>
                <w:b/>
                <w:bCs/>
              </w:rPr>
              <w:t xml:space="preserve">Stock-aware prescribing</w:t>
            </w:r>
          </w:p>
        </w:tc>
        <w:tc>
          <w:tcPr/>
          <w:p>
            <w:pPr>
              <w:pStyle w:val="Compact"/>
            </w:pPr>
            <w:r>
              <w:t xml:space="preserve">Zero-stock warning at prescribing point with therapeutic alternatives.</w:t>
            </w:r>
          </w:p>
        </w:tc>
        <w:tc>
          <w:tcPr/>
          <w:p>
            <w:pPr>
              <w:pStyle w:val="Compact"/>
            </w:pPr>
            <w:r>
              <w:t xml:space="preserve">BR-RX-002, FR-OPD-007</w:t>
            </w:r>
          </w:p>
        </w:tc>
      </w:tr>
      <w:tr>
        <w:tc>
          <w:tcPr/>
          <w:p>
            <w:pPr>
              <w:pStyle w:val="Compact"/>
            </w:pPr>
            <w:r>
              <w:rPr>
                <w:b/>
                <w:bCs/>
              </w:rPr>
              <w:t xml:space="preserve">Controlled substances</w:t>
            </w:r>
          </w:p>
        </w:tc>
        <w:tc>
          <w:tcPr/>
          <w:p>
            <w:pPr>
              <w:pStyle w:val="Compact"/>
            </w:pPr>
            <w:r>
              <w:t xml:space="preserve">Narcotic register with running balance, witness requirement, discrepancy alert.</w:t>
            </w:r>
          </w:p>
        </w:tc>
        <w:tc>
          <w:tcPr/>
          <w:p>
            <w:pPr>
              <w:pStyle w:val="Compact"/>
            </w:pPr>
            <w:r>
              <w:t xml:space="preserve">BR-RX-001, FR-PHR-011</w:t>
            </w:r>
          </w:p>
        </w:tc>
      </w:tr>
    </w:tbl>
    <w:bookmarkEnd w:id="23"/>
    <w:bookmarkStart w:id="24" w:name="X585b99f7e93d809ecc77425d62e7f5c89e87f23"/>
    <w:p>
      <w:pPr>
        <w:pStyle w:val="Heading3"/>
      </w:pPr>
      <w:r>
        <w:t xml:space="preserve">4.4 Incident Reporting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Control</w:t>
            </w:r>
          </w:p>
        </w:tc>
        <w:tc>
          <w:tcPr/>
          <w:p>
            <w:pPr>
              <w:pStyle w:val="Compact"/>
            </w:pPr>
            <w:r>
              <w:t xml:space="preserve">Implementation</w:t>
            </w:r>
          </w:p>
        </w:tc>
        <w:tc>
          <w:tcPr/>
          <w:p>
            <w:pPr>
              <w:pStyle w:val="Compact"/>
            </w:pPr>
            <w:r>
              <w:t xml:space="preserve">Reference</w:t>
            </w:r>
          </w:p>
        </w:tc>
      </w:tr>
      <w:tr>
        <w:tc>
          <w:tcPr/>
          <w:p>
            <w:pPr>
              <w:pStyle w:val="Compact"/>
            </w:pPr>
            <w:r>
              <w:rPr>
                <w:b/>
                <w:bCs/>
              </w:rPr>
              <w:t xml:space="preserve">Medication error reporting</w:t>
            </w:r>
          </w:p>
        </w:tc>
        <w:tc>
          <w:tcPr/>
          <w:p>
            <w:pPr>
              <w:pStyle w:val="Compact"/>
            </w:pPr>
            <w:r>
              <w:t xml:space="preserve">Incident module for reporting medication errors, near-misses, and adverse drug reactions.</w:t>
            </w:r>
          </w:p>
        </w:tc>
        <w:tc>
          <w:tcPr/>
          <w:p>
            <w:pPr>
              <w:pStyle w:val="Compact"/>
            </w:pPr>
            <w:r>
              <w:t xml:space="preserve">Gap Analysis HIGH-004</w:t>
            </w:r>
          </w:p>
        </w:tc>
      </w:tr>
      <w:tr>
        <w:tc>
          <w:tcPr/>
          <w:p>
            <w:pPr>
              <w:pStyle w:val="Compact"/>
            </w:pPr>
            <w:r>
              <w:rPr>
                <w:b/>
                <w:bCs/>
              </w:rPr>
              <w:t xml:space="preserve">Clinical safety officer</w:t>
            </w:r>
          </w:p>
        </w:tc>
        <w:tc>
          <w:tcPr/>
          <w:p>
            <w:pPr>
              <w:pStyle w:val="Compact"/>
            </w:pPr>
            <w:r>
              <w:t xml:space="preserve">Each facility shall designate a Clinical Safety Officer responsible for reviewing CDS override patterns, medication error reports, and critical value escalation compliance.</w:t>
            </w:r>
          </w:p>
        </w:tc>
        <w:tc>
          <w:tcPr/>
          <w:p>
            <w:pPr>
              <w:pStyle w:val="Compact"/>
            </w:pPr>
            <w:r>
              <w:t xml:space="preserve">Operational Governance</w:t>
            </w:r>
          </w:p>
        </w:tc>
      </w:tr>
      <w:tr>
        <w:tc>
          <w:tcPr/>
          <w:p>
            <w:pPr>
              <w:pStyle w:val="Compact"/>
            </w:pPr>
            <w:r>
              <w:rPr>
                <w:b/>
                <w:bCs/>
              </w:rPr>
              <w:t xml:space="preserve">Investigation workflow</w:t>
            </w:r>
          </w:p>
        </w:tc>
        <w:tc>
          <w:tcPr/>
          <w:p>
            <w:pPr>
              <w:pStyle w:val="Compact"/>
            </w:pPr>
            <w:r>
              <w:t xml:space="preserve">Reported incidents trigger a structured investigation: root cause analysis, corrective action, preventive action, and closure with sign-off.</w:t>
            </w:r>
          </w:p>
        </w:tc>
        <w:tc>
          <w:tcPr/>
          <w:p>
            <w:pPr>
              <w:pStyle w:val="Compact"/>
            </w:pPr>
            <w:r>
              <w:t xml:space="preserve">Operational Governance</w:t>
            </w:r>
          </w:p>
        </w:tc>
      </w:tr>
    </w:tbl>
    <w:bookmarkEnd w:id="24"/>
    <w:bookmarkStart w:id="25" w:name="Xd2b2e7ee3da6f37ead3e6628f3aad19d018984b"/>
    <w:p>
      <w:pPr>
        <w:pStyle w:val="Heading3"/>
      </w:pPr>
      <w:r>
        <w:t xml:space="preserve">4.5 Clinical Safety Framework Alignment</w:t>
      </w:r>
    </w:p>
    <w:p>
      <w:pPr>
        <w:pStyle w:val="FirstParagraph"/>
      </w:pPr>
      <w:r>
        <w:t xml:space="preserve">The following 45-point clinical safety framework (adapted from Rowlands) is applied to the Medic8 system: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Domain</w:t>
            </w:r>
          </w:p>
        </w:tc>
        <w:tc>
          <w:tcPr/>
          <w:p>
            <w:pPr>
              <w:pStyle w:val="Compact"/>
            </w:pPr>
            <w:r>
              <w:t xml:space="preserve">Control Area</w:t>
            </w:r>
          </w:p>
        </w:tc>
        <w:tc>
          <w:tcPr/>
          <w:p>
            <w:pPr>
              <w:pStyle w:val="Compact"/>
            </w:pPr>
            <w:r>
              <w:t xml:space="preserve">Medic8 Implementation</w:t>
            </w:r>
          </w:p>
        </w:tc>
      </w:tr>
      <w:tr>
        <w:tc>
          <w:tcPr/>
          <w:p>
            <w:pPr>
              <w:pStyle w:val="Compact"/>
            </w:pPr>
            <w:r>
              <w:t xml:space="preserve">1</w:t>
            </w:r>
          </w:p>
        </w:tc>
        <w:tc>
          <w:tcPr/>
          <w:p>
            <w:pPr>
              <w:pStyle w:val="Compact"/>
            </w:pPr>
            <w:r>
              <w:t xml:space="preserve">Governance</w:t>
            </w:r>
          </w:p>
        </w:tc>
        <w:tc>
          <w:tcPr/>
          <w:p>
            <w:pPr>
              <w:pStyle w:val="Compact"/>
            </w:pPr>
            <w:r>
              <w:t xml:space="preserve">Clinical safety officer designated per facility</w:t>
            </w:r>
          </w:p>
        </w:tc>
        <w:tc>
          <w:tcPr/>
          <w:p>
            <w:pPr>
              <w:pStyle w:val="Compact"/>
            </w:pPr>
            <w:r>
              <w:t xml:space="preserve">Operational requirement; enforced during facility onboarding</w:t>
            </w:r>
          </w:p>
        </w:tc>
      </w:tr>
      <w:tr>
        <w:tc>
          <w:tcPr/>
          <w:p>
            <w:pPr>
              <w:pStyle w:val="Compact"/>
            </w:pPr>
            <w:r>
              <w:t xml:space="preserve">2</w:t>
            </w:r>
          </w:p>
        </w:tc>
        <w:tc>
          <w:tcPr/>
          <w:p>
            <w:pPr>
              <w:pStyle w:val="Compact"/>
            </w:pPr>
            <w:r>
              <w:t xml:space="preserve">Governance</w:t>
            </w:r>
          </w:p>
        </w:tc>
        <w:tc>
          <w:tcPr/>
          <w:p>
            <w:pPr>
              <w:pStyle w:val="Compact"/>
            </w:pPr>
            <w:r>
              <w:t xml:space="preserve">Clinical safety incident reporting process</w:t>
            </w:r>
          </w:p>
        </w:tc>
        <w:tc>
          <w:tcPr/>
          <w:p>
            <w:pPr>
              <w:pStyle w:val="Compact"/>
            </w:pPr>
            <w:r>
              <w:t xml:space="preserve">Incident module with structured investigation workflow</w:t>
            </w:r>
          </w:p>
        </w:tc>
      </w:tr>
      <w:tr>
        <w:tc>
          <w:tcPr/>
          <w:p>
            <w:pPr>
              <w:pStyle w:val="Compact"/>
            </w:pPr>
            <w:r>
              <w:t xml:space="preserve">3</w:t>
            </w:r>
          </w:p>
        </w:tc>
        <w:tc>
          <w:tcPr/>
          <w:p>
            <w:pPr>
              <w:pStyle w:val="Compact"/>
            </w:pPr>
            <w:r>
              <w:t xml:space="preserve">Governance</w:t>
            </w:r>
          </w:p>
        </w:tc>
        <w:tc>
          <w:tcPr/>
          <w:p>
            <w:pPr>
              <w:pStyle w:val="Compact"/>
            </w:pPr>
            <w:r>
              <w:t xml:space="preserve">Clinical safety risk register maintained</w:t>
            </w:r>
          </w:p>
        </w:tc>
        <w:tc>
          <w:tcPr/>
          <w:p>
            <w:pPr>
              <w:pStyle w:val="Compact"/>
            </w:pPr>
            <w:r>
              <w:t xml:space="preserve">Risk assessment document (Medic8-RISK-001)</w:t>
            </w:r>
          </w:p>
        </w:tc>
      </w:tr>
      <w:tr>
        <w:tc>
          <w:tcPr/>
          <w:p>
            <w:pPr>
              <w:pStyle w:val="Compact"/>
            </w:pPr>
            <w:r>
              <w:t xml:space="preserve">4</w:t>
            </w:r>
          </w:p>
        </w:tc>
        <w:tc>
          <w:tcPr/>
          <w:p>
            <w:pPr>
              <w:pStyle w:val="Compact"/>
            </w:pPr>
            <w:r>
              <w:t xml:space="preserve">Governance</w:t>
            </w:r>
          </w:p>
        </w:tc>
        <w:tc>
          <w:tcPr/>
          <w:p>
            <w:pPr>
              <w:pStyle w:val="Compact"/>
            </w:pPr>
            <w:r>
              <w:t xml:space="preserve">Clinical safety policy published</w:t>
            </w:r>
          </w:p>
        </w:tc>
        <w:tc>
          <w:tcPr/>
          <w:p>
            <w:pPr>
              <w:pStyle w:val="Compact"/>
            </w:pPr>
            <w:r>
              <w:t xml:space="preserve">Facility-level policy template provided</w:t>
            </w:r>
          </w:p>
        </w:tc>
      </w:tr>
      <w:tr>
        <w:tc>
          <w:tcPr/>
          <w:p>
            <w:pPr>
              <w:pStyle w:val="Compact"/>
            </w:pPr>
            <w:r>
              <w:t xml:space="preserve">5</w:t>
            </w:r>
          </w:p>
        </w:tc>
        <w:tc>
          <w:tcPr/>
          <w:p>
            <w:pPr>
              <w:pStyle w:val="Compact"/>
            </w:pPr>
            <w:r>
              <w:t xml:space="preserve">Governance</w:t>
            </w:r>
          </w:p>
        </w:tc>
        <w:tc>
          <w:tcPr/>
          <w:p>
            <w:pPr>
              <w:pStyle w:val="Compact"/>
            </w:pPr>
            <w:r>
              <w:t xml:space="preserve">Clinical safety training for all clinical users</w:t>
            </w:r>
          </w:p>
        </w:tc>
        <w:tc>
          <w:tcPr/>
          <w:p>
            <w:pPr>
              <w:pStyle w:val="Compact"/>
            </w:pPr>
            <w:r>
              <w:t xml:space="preserve">Training materials requirement (Phase 1 onboarding)</w:t>
            </w:r>
          </w:p>
        </w:tc>
      </w:tr>
      <w:tr>
        <w:tc>
          <w:tcPr/>
          <w:p>
            <w:pPr>
              <w:pStyle w:val="Compact"/>
            </w:pPr>
            <w:r>
              <w:t xml:space="preserve">6</w:t>
            </w:r>
          </w:p>
        </w:tc>
        <w:tc>
          <w:tcPr/>
          <w:p>
            <w:pPr>
              <w:pStyle w:val="Compact"/>
            </w:pPr>
            <w:r>
              <w:t xml:space="preserve">Prescribing</w:t>
            </w:r>
          </w:p>
        </w:tc>
        <w:tc>
          <w:tcPr/>
          <w:p>
            <w:pPr>
              <w:pStyle w:val="Compact"/>
            </w:pPr>
            <w:r>
              <w:t xml:space="preserve">Drug interaction checking (4 tiers)</w:t>
            </w:r>
          </w:p>
        </w:tc>
        <w:tc>
          <w:tcPr/>
          <w:p>
            <w:pPr>
              <w:pStyle w:val="Compact"/>
            </w:pPr>
            <w:r>
              <w:t xml:space="preserve">FR-OPD-008, NFR-HC-012, BR-CLIN-004</w:t>
            </w:r>
          </w:p>
        </w:tc>
      </w:tr>
      <w:tr>
        <w:tc>
          <w:tcPr/>
          <w:p>
            <w:pPr>
              <w:pStyle w:val="Compact"/>
            </w:pPr>
            <w:r>
              <w:t xml:space="preserve">7</w:t>
            </w:r>
          </w:p>
        </w:tc>
        <w:tc>
          <w:tcPr/>
          <w:p>
            <w:pPr>
              <w:pStyle w:val="Compact"/>
            </w:pPr>
            <w:r>
              <w:t xml:space="preserve">Prescribing</w:t>
            </w:r>
          </w:p>
        </w:tc>
        <w:tc>
          <w:tcPr/>
          <w:p>
            <w:pPr>
              <w:pStyle w:val="Compact"/>
            </w:pPr>
            <w:r>
              <w:t xml:space="preserve">Allergy-prescription conflict detection</w:t>
            </w:r>
          </w:p>
        </w:tc>
        <w:tc>
          <w:tcPr/>
          <w:p>
            <w:pPr>
              <w:pStyle w:val="Compact"/>
            </w:pPr>
            <w:r>
              <w:t xml:space="preserve">FR-OPD-008, Gap Analysis HIGH-001</w:t>
            </w:r>
          </w:p>
        </w:tc>
      </w:tr>
      <w:tr>
        <w:tc>
          <w:tcPr/>
          <w:p>
            <w:pPr>
              <w:pStyle w:val="Compact"/>
            </w:pPr>
            <w:r>
              <w:t xml:space="preserve">8</w:t>
            </w:r>
          </w:p>
        </w:tc>
        <w:tc>
          <w:tcPr/>
          <w:p>
            <w:pPr>
              <w:pStyle w:val="Compact"/>
            </w:pPr>
            <w:r>
              <w:t xml:space="preserve">Prescribing</w:t>
            </w:r>
          </w:p>
        </w:tc>
        <w:tc>
          <w:tcPr/>
          <w:p>
            <w:pPr>
              <w:pStyle w:val="Compact"/>
            </w:pPr>
            <w:r>
              <w:t xml:space="preserve">Paediatric dosing safeguards</w:t>
            </w:r>
          </w:p>
        </w:tc>
        <w:tc>
          <w:tcPr/>
          <w:p>
            <w:pPr>
              <w:pStyle w:val="Compact"/>
            </w:pPr>
            <w:r>
              <w:t xml:space="preserve">FR-PHR-014, NFR-HC-011, BR-CLIN-006</w:t>
            </w:r>
          </w:p>
        </w:tc>
      </w:tr>
      <w:tr>
        <w:tc>
          <w:tcPr/>
          <w:p>
            <w:pPr>
              <w:pStyle w:val="Compact"/>
            </w:pPr>
            <w:r>
              <w:t xml:space="preserve">9</w:t>
            </w:r>
          </w:p>
        </w:tc>
        <w:tc>
          <w:tcPr/>
          <w:p>
            <w:pPr>
              <w:pStyle w:val="Compact"/>
            </w:pPr>
            <w:r>
              <w:t xml:space="preserve">Prescribing</w:t>
            </w:r>
          </w:p>
        </w:tc>
        <w:tc>
          <w:tcPr/>
          <w:p>
            <w:pPr>
              <w:pStyle w:val="Compact"/>
            </w:pPr>
            <w:r>
              <w:t xml:space="preserve">Prescribing authority enforcement</w:t>
            </w:r>
          </w:p>
        </w:tc>
        <w:tc>
          <w:tcPr/>
          <w:p>
            <w:pPr>
              <w:pStyle w:val="Compact"/>
            </w:pPr>
            <w:r>
              <w:t xml:space="preserve">NFR-HC-024, BR-CLIN-002</w:t>
            </w:r>
          </w:p>
        </w:tc>
      </w:tr>
      <w:tr>
        <w:tc>
          <w:tcPr/>
          <w:p>
            <w:pPr>
              <w:pStyle w:val="Compact"/>
            </w:pPr>
            <w:r>
              <w:t xml:space="preserve">10</w:t>
            </w:r>
          </w:p>
        </w:tc>
        <w:tc>
          <w:tcPr/>
          <w:p>
            <w:pPr>
              <w:pStyle w:val="Compact"/>
            </w:pPr>
            <w:r>
              <w:t xml:space="preserve">Prescribing</w:t>
            </w:r>
          </w:p>
        </w:tc>
        <w:tc>
          <w:tcPr/>
          <w:p>
            <w:pPr>
              <w:pStyle w:val="Compact"/>
            </w:pPr>
            <w:r>
              <w:t xml:space="preserve">Five Rights CPOE validation</w:t>
            </w:r>
          </w:p>
        </w:tc>
        <w:tc>
          <w:tcPr/>
          <w:p>
            <w:pPr>
              <w:pStyle w:val="Compact"/>
            </w:pPr>
            <w:r>
              <w:t xml:space="preserve">FR-OPD-015, BR-CLIN-008</w:t>
            </w:r>
          </w:p>
        </w:tc>
      </w:tr>
      <w:tr>
        <w:tc>
          <w:tcPr/>
          <w:p>
            <w:pPr>
              <w:pStyle w:val="Compact"/>
            </w:pPr>
            <w:r>
              <w:t xml:space="preserve">11</w:t>
            </w:r>
          </w:p>
        </w:tc>
        <w:tc>
          <w:tcPr/>
          <w:p>
            <w:pPr>
              <w:pStyle w:val="Compact"/>
            </w:pPr>
            <w:r>
              <w:t xml:space="preserve">Prescribing</w:t>
            </w:r>
          </w:p>
        </w:tc>
        <w:tc>
          <w:tcPr/>
          <w:p>
            <w:pPr>
              <w:pStyle w:val="Compact"/>
            </w:pPr>
            <w:r>
              <w:t xml:space="preserve">Stock-aware prescribing with alternatives</w:t>
            </w:r>
          </w:p>
        </w:tc>
        <w:tc>
          <w:tcPr/>
          <w:p>
            <w:pPr>
              <w:pStyle w:val="Compact"/>
            </w:pPr>
            <w:r>
              <w:t xml:space="preserve">FR-OPD-007, BR-RX-002</w:t>
            </w:r>
          </w:p>
        </w:tc>
      </w:tr>
      <w:tr>
        <w:tc>
          <w:tcPr/>
          <w:p>
            <w:pPr>
              <w:pStyle w:val="Compact"/>
            </w:pPr>
            <w:r>
              <w:t xml:space="preserve">12</w:t>
            </w:r>
          </w:p>
        </w:tc>
        <w:tc>
          <w:tcPr/>
          <w:p>
            <w:pPr>
              <w:pStyle w:val="Compact"/>
            </w:pPr>
            <w:r>
              <w:t xml:space="preserve">Prescribing</w:t>
            </w:r>
          </w:p>
        </w:tc>
        <w:tc>
          <w:tcPr/>
          <w:p>
            <w:pPr>
              <w:pStyle w:val="Compact"/>
            </w:pPr>
            <w:r>
              <w:t xml:space="preserve">Tall Man Lettering for LASA drugs</w:t>
            </w:r>
          </w:p>
        </w:tc>
        <w:tc>
          <w:tcPr/>
          <w:p>
            <w:pPr>
              <w:pStyle w:val="Compact"/>
            </w:pPr>
            <w:r>
              <w:t xml:space="preserve">FR-PHR-013, BR-RX-003</w:t>
            </w:r>
          </w:p>
        </w:tc>
      </w:tr>
      <w:tr>
        <w:tc>
          <w:tcPr/>
          <w:p>
            <w:pPr>
              <w:pStyle w:val="Compact"/>
            </w:pPr>
            <w:r>
              <w:t xml:space="preserve">13</w:t>
            </w:r>
          </w:p>
        </w:tc>
        <w:tc>
          <w:tcPr/>
          <w:p>
            <w:pPr>
              <w:pStyle w:val="Compact"/>
            </w:pPr>
            <w:r>
              <w:t xml:space="preserve">Prescribing</w:t>
            </w:r>
          </w:p>
        </w:tc>
        <w:tc>
          <w:tcPr/>
          <w:p>
            <w:pPr>
              <w:pStyle w:val="Compact"/>
            </w:pPr>
            <w:r>
              <w:t xml:space="preserve">Controlled substance register</w:t>
            </w:r>
          </w:p>
        </w:tc>
        <w:tc>
          <w:tcPr/>
          <w:p>
            <w:pPr>
              <w:pStyle w:val="Compact"/>
            </w:pPr>
            <w:r>
              <w:t xml:space="preserve">FR-PHR-011, BR-RX-001</w:t>
            </w:r>
          </w:p>
        </w:tc>
      </w:tr>
      <w:tr>
        <w:tc>
          <w:tcPr/>
          <w:p>
            <w:pPr>
              <w:pStyle w:val="Compact"/>
            </w:pPr>
            <w:r>
              <w:t xml:space="preserve">14</w:t>
            </w:r>
          </w:p>
        </w:tc>
        <w:tc>
          <w:tcPr/>
          <w:p>
            <w:pPr>
              <w:pStyle w:val="Compact"/>
            </w:pPr>
            <w:r>
              <w:t xml:space="preserve">Prescribing</w:t>
            </w:r>
          </w:p>
        </w:tc>
        <w:tc>
          <w:tcPr/>
          <w:p>
            <w:pPr>
              <w:pStyle w:val="Compact"/>
            </w:pPr>
            <w:r>
              <w:t xml:space="preserve">Generic/brand substitution with notification</w:t>
            </w:r>
          </w:p>
        </w:tc>
        <w:tc>
          <w:tcPr/>
          <w:p>
            <w:pPr>
              <w:pStyle w:val="Compact"/>
            </w:pPr>
            <w:r>
              <w:t xml:space="preserve">FR-PHR-003</w:t>
            </w:r>
          </w:p>
        </w:tc>
      </w:tr>
      <w:tr>
        <w:tc>
          <w:tcPr/>
          <w:p>
            <w:pPr>
              <w:pStyle w:val="Compact"/>
            </w:pPr>
            <w:r>
              <w:t xml:space="preserve">15</w:t>
            </w:r>
          </w:p>
        </w:tc>
        <w:tc>
          <w:tcPr/>
          <w:p>
            <w:pPr>
              <w:pStyle w:val="Compact"/>
            </w:pPr>
            <w:r>
              <w:t xml:space="preserve">Dispensing</w:t>
            </w:r>
          </w:p>
        </w:tc>
        <w:tc>
          <w:tcPr/>
          <w:p>
            <w:pPr>
              <w:pStyle w:val="Compact"/>
            </w:pPr>
            <w:r>
              <w:t xml:space="preserve">Dispensing label with patient name, drug, dose, frequency, route</w:t>
            </w:r>
          </w:p>
        </w:tc>
        <w:tc>
          <w:tcPr/>
          <w:p>
            <w:pPr>
              <w:pStyle w:val="Compact"/>
            </w:pPr>
            <w:r>
              <w:t xml:space="preserve">FR-PHR-004</w:t>
            </w:r>
          </w:p>
        </w:tc>
      </w:tr>
      <w:tr>
        <w:tc>
          <w:tcPr/>
          <w:p>
            <w:pPr>
              <w:pStyle w:val="Compact"/>
            </w:pPr>
            <w:r>
              <w:t xml:space="preserve">16</w:t>
            </w:r>
          </w:p>
        </w:tc>
        <w:tc>
          <w:tcPr/>
          <w:p>
            <w:pPr>
              <w:pStyle w:val="Compact"/>
            </w:pPr>
            <w:r>
              <w:t xml:space="preserve">Dispensing</w:t>
            </w:r>
          </w:p>
        </w:tc>
        <w:tc>
          <w:tcPr/>
          <w:p>
            <w:pPr>
              <w:pStyle w:val="Compact"/>
            </w:pPr>
            <w:r>
              <w:t xml:space="preserve">Partial dispensing with pending balance tracking</w:t>
            </w:r>
          </w:p>
        </w:tc>
        <w:tc>
          <w:tcPr/>
          <w:p>
            <w:pPr>
              <w:pStyle w:val="Compact"/>
            </w:pPr>
            <w:r>
              <w:t xml:space="preserve">FR-PHR-005</w:t>
            </w:r>
          </w:p>
        </w:tc>
      </w:tr>
      <w:tr>
        <w:tc>
          <w:tcPr/>
          <w:p>
            <w:pPr>
              <w:pStyle w:val="Compact"/>
            </w:pPr>
            <w:r>
              <w:t xml:space="preserve">17</w:t>
            </w:r>
          </w:p>
        </w:tc>
        <w:tc>
          <w:tcPr/>
          <w:p>
            <w:pPr>
              <w:pStyle w:val="Compact"/>
            </w:pPr>
            <w:r>
              <w:t xml:space="preserve">Dispensing</w:t>
            </w:r>
          </w:p>
        </w:tc>
        <w:tc>
          <w:tcPr/>
          <w:p>
            <w:pPr>
              <w:pStyle w:val="Compact"/>
            </w:pPr>
            <w:r>
              <w:t xml:space="preserve">Expiry tracking with 90-day alert</w:t>
            </w:r>
          </w:p>
        </w:tc>
        <w:tc>
          <w:tcPr/>
          <w:p>
            <w:pPr>
              <w:pStyle w:val="Compact"/>
            </w:pPr>
            <w:r>
              <w:t xml:space="preserve">FR-PHR-008</w:t>
            </w:r>
          </w:p>
        </w:tc>
      </w:tr>
      <w:tr>
        <w:tc>
          <w:tcPr/>
          <w:p>
            <w:pPr>
              <w:pStyle w:val="Compact"/>
            </w:pPr>
            <w:r>
              <w:t xml:space="preserve">18</w:t>
            </w:r>
          </w:p>
        </w:tc>
        <w:tc>
          <w:tcPr/>
          <w:p>
            <w:pPr>
              <w:pStyle w:val="Compact"/>
            </w:pPr>
            <w:r>
              <w:t xml:space="preserve">Dispensing</w:t>
            </w:r>
          </w:p>
        </w:tc>
        <w:tc>
          <w:tcPr/>
          <w:p>
            <w:pPr>
              <w:pStyle w:val="Compact"/>
            </w:pPr>
            <w:r>
              <w:t xml:space="preserve">Minimum stock level alerts</w:t>
            </w:r>
          </w:p>
        </w:tc>
        <w:tc>
          <w:tcPr/>
          <w:p>
            <w:pPr>
              <w:pStyle w:val="Compact"/>
            </w:pPr>
            <w:r>
              <w:t xml:space="preserve">FR-PHR-009</w:t>
            </w:r>
          </w:p>
        </w:tc>
      </w:tr>
      <w:tr>
        <w:tc>
          <w:tcPr/>
          <w:p>
            <w:pPr>
              <w:pStyle w:val="Compact"/>
            </w:pPr>
            <w:r>
              <w:t xml:space="preserve">19</w:t>
            </w:r>
          </w:p>
        </w:tc>
        <w:tc>
          <w:tcPr/>
          <w:p>
            <w:pPr>
              <w:pStyle w:val="Compact"/>
            </w:pPr>
            <w:r>
              <w:t xml:space="preserve">Dispensing</w:t>
            </w:r>
          </w:p>
        </w:tc>
        <w:tc>
          <w:tcPr/>
          <w:p>
            <w:pPr>
              <w:pStyle w:val="Compact"/>
            </w:pPr>
            <w:r>
              <w:t xml:space="preserve">Inpatient drug round tracking (MAR)</w:t>
            </w:r>
          </w:p>
        </w:tc>
        <w:tc>
          <w:tcPr/>
          <w:p>
            <w:pPr>
              <w:pStyle w:val="Compact"/>
            </w:pPr>
            <w:r>
              <w:t xml:space="preserve">FR-PHR-006</w:t>
            </w:r>
          </w:p>
        </w:tc>
      </w:tr>
      <w:tr>
        <w:tc>
          <w:tcPr/>
          <w:p>
            <w:pPr>
              <w:pStyle w:val="Compact"/>
            </w:pPr>
            <w:r>
              <w:t xml:space="preserve">20</w:t>
            </w:r>
          </w:p>
        </w:tc>
        <w:tc>
          <w:tcPr/>
          <w:p>
            <w:pPr>
              <w:pStyle w:val="Compact"/>
            </w:pPr>
            <w:r>
              <w:t xml:space="preserve">Laboratory</w:t>
            </w:r>
          </w:p>
        </w:tc>
        <w:tc>
          <w:tcPr/>
          <w:p>
            <w:pPr>
              <w:pStyle w:val="Compact"/>
            </w:pPr>
            <w:r>
              <w:t xml:space="preserve">Critical value alerts with timed escalation</w:t>
            </w:r>
          </w:p>
        </w:tc>
        <w:tc>
          <w:tcPr/>
          <w:p>
            <w:pPr>
              <w:pStyle w:val="Compact"/>
            </w:pPr>
            <w:r>
              <w:t xml:space="preserve">FR-LAB-005, NFR-HC-022, BR-CLIN-003</w:t>
            </w:r>
          </w:p>
        </w:tc>
      </w:tr>
      <w:tr>
        <w:tc>
          <w:tcPr/>
          <w:p>
            <w:pPr>
              <w:pStyle w:val="Compact"/>
            </w:pPr>
            <w:r>
              <w:t xml:space="preserve">21</w:t>
            </w:r>
          </w:p>
        </w:tc>
        <w:tc>
          <w:tcPr/>
          <w:p>
            <w:pPr>
              <w:pStyle w:val="Compact"/>
            </w:pPr>
            <w:r>
              <w:t xml:space="preserve">Laboratory</w:t>
            </w:r>
          </w:p>
        </w:tc>
        <w:tc>
          <w:tcPr/>
          <w:p>
            <w:pPr>
              <w:pStyle w:val="Compact"/>
            </w:pPr>
            <w:r>
              <w:t xml:space="preserve">Result validation by supervisor before clinician visibility</w:t>
            </w:r>
          </w:p>
        </w:tc>
        <w:tc>
          <w:tcPr/>
          <w:p>
            <w:pPr>
              <w:pStyle w:val="Compact"/>
            </w:pPr>
            <w:r>
              <w:t xml:space="preserve">FR-LAB-006</w:t>
            </w:r>
          </w:p>
        </w:tc>
      </w:tr>
      <w:tr>
        <w:tc>
          <w:tcPr/>
          <w:p>
            <w:pPr>
              <w:pStyle w:val="Compact"/>
            </w:pPr>
            <w:r>
              <w:t xml:space="preserve">22</w:t>
            </w:r>
          </w:p>
        </w:tc>
        <w:tc>
          <w:tcPr/>
          <w:p>
            <w:pPr>
              <w:pStyle w:val="Compact"/>
            </w:pPr>
            <w:r>
              <w:t xml:space="preserve">Laboratory</w:t>
            </w:r>
          </w:p>
        </w:tc>
        <w:tc>
          <w:tcPr/>
          <w:p>
            <w:pPr>
              <w:pStyle w:val="Compact"/>
            </w:pPr>
            <w:r>
              <w:t xml:space="preserve">Quality control with Levey-Jennings charts</w:t>
            </w:r>
          </w:p>
        </w:tc>
        <w:tc>
          <w:tcPr/>
          <w:p>
            <w:pPr>
              <w:pStyle w:val="Compact"/>
            </w:pPr>
            <w:r>
              <w:t xml:space="preserve">FR-LAB-007</w:t>
            </w:r>
          </w:p>
        </w:tc>
      </w:tr>
      <w:tr>
        <w:tc>
          <w:tcPr/>
          <w:p>
            <w:pPr>
              <w:pStyle w:val="Compact"/>
            </w:pPr>
            <w:r>
              <w:t xml:space="preserve">23</w:t>
            </w:r>
          </w:p>
        </w:tc>
        <w:tc>
          <w:tcPr/>
          <w:p>
            <w:pPr>
              <w:pStyle w:val="Compact"/>
            </w:pPr>
            <w:r>
              <w:t xml:space="preserve">Laboratory</w:t>
            </w:r>
          </w:p>
        </w:tc>
        <w:tc>
          <w:tcPr/>
          <w:p>
            <w:pPr>
              <w:pStyle w:val="Compact"/>
            </w:pPr>
            <w:r>
              <w:t xml:space="preserve">Barcode/QR specimen identification</w:t>
            </w:r>
          </w:p>
        </w:tc>
        <w:tc>
          <w:tcPr/>
          <w:p>
            <w:pPr>
              <w:pStyle w:val="Compact"/>
            </w:pPr>
            <w:r>
              <w:t xml:space="preserve">FR-LAB-002</w:t>
            </w:r>
          </w:p>
        </w:tc>
      </w:tr>
      <w:tr>
        <w:tc>
          <w:tcPr/>
          <w:p>
            <w:pPr>
              <w:pStyle w:val="Compact"/>
            </w:pPr>
            <w:r>
              <w:t xml:space="preserve">24</w:t>
            </w:r>
          </w:p>
        </w:tc>
        <w:tc>
          <w:tcPr/>
          <w:p>
            <w:pPr>
              <w:pStyle w:val="Compact"/>
            </w:pPr>
            <w:r>
              <w:t xml:space="preserve">Laboratory</w:t>
            </w:r>
          </w:p>
        </w:tc>
        <w:tc>
          <w:tcPr/>
          <w:p>
            <w:pPr>
              <w:pStyle w:val="Compact"/>
            </w:pPr>
            <w:r>
              <w:t xml:space="preserve">Specimen chain of custody tracking</w:t>
            </w:r>
          </w:p>
        </w:tc>
        <w:tc>
          <w:tcPr/>
          <w:p>
            <w:pPr>
              <w:pStyle w:val="Compact"/>
            </w:pPr>
            <w:r>
              <w:t xml:space="preserve">FR-LAB-003</w:t>
            </w:r>
          </w:p>
        </w:tc>
      </w:tr>
      <w:tr>
        <w:tc>
          <w:tcPr/>
          <w:p>
            <w:pPr>
              <w:pStyle w:val="Compact"/>
            </w:pPr>
            <w:r>
              <w:t xml:space="preserve">25</w:t>
            </w:r>
          </w:p>
        </w:tc>
        <w:tc>
          <w:tcPr/>
          <w:p>
            <w:pPr>
              <w:pStyle w:val="Compact"/>
            </w:pPr>
            <w:r>
              <w:t xml:space="preserve">Laboratory</w:t>
            </w:r>
          </w:p>
        </w:tc>
        <w:tc>
          <w:tcPr/>
          <w:p>
            <w:pPr>
              <w:pStyle w:val="Compact"/>
            </w:pPr>
            <w:r>
              <w:t xml:space="preserve">HL7 v2 analyser interface</w:t>
            </w:r>
          </w:p>
        </w:tc>
        <w:tc>
          <w:tcPr/>
          <w:p>
            <w:pPr>
              <w:pStyle w:val="Compact"/>
            </w:pPr>
            <w:r>
              <w:t xml:space="preserve">FR-LAB-008</w:t>
            </w:r>
          </w:p>
        </w:tc>
      </w:tr>
      <w:tr>
        <w:tc>
          <w:tcPr/>
          <w:p>
            <w:pPr>
              <w:pStyle w:val="Compact"/>
            </w:pPr>
            <w:r>
              <w:t xml:space="preserve">26</w:t>
            </w:r>
          </w:p>
        </w:tc>
        <w:tc>
          <w:tcPr/>
          <w:p>
            <w:pPr>
              <w:pStyle w:val="Compact"/>
            </w:pPr>
            <w:r>
              <w:t xml:space="preserve">Laboratory</w:t>
            </w:r>
          </w:p>
        </w:tc>
        <w:tc>
          <w:tcPr/>
          <w:p>
            <w:pPr>
              <w:pStyle w:val="Compact"/>
            </w:pPr>
            <w:r>
              <w:t xml:space="preserve">LOINC-coded test definitions</w:t>
            </w:r>
          </w:p>
        </w:tc>
        <w:tc>
          <w:tcPr/>
          <w:p>
            <w:pPr>
              <w:pStyle w:val="Compact"/>
            </w:pPr>
            <w:r>
              <w:t xml:space="preserve">FR-LAB-010</w:t>
            </w:r>
          </w:p>
        </w:tc>
      </w:tr>
      <w:tr>
        <w:tc>
          <w:tcPr/>
          <w:p>
            <w:pPr>
              <w:pStyle w:val="Compact"/>
            </w:pPr>
            <w:r>
              <w:t xml:space="preserve">27</w:t>
            </w:r>
          </w:p>
        </w:tc>
        <w:tc>
          <w:tcPr/>
          <w:p>
            <w:pPr>
              <w:pStyle w:val="Compact"/>
            </w:pPr>
            <w:r>
              <w:t xml:space="preserve">Clinical</w:t>
            </w:r>
          </w:p>
        </w:tc>
        <w:tc>
          <w:tcPr/>
          <w:p>
            <w:pPr>
              <w:pStyle w:val="Compact"/>
            </w:pPr>
            <w:r>
              <w:t xml:space="preserve">ICD-10 coded diagnoses (no free text)</w:t>
            </w:r>
          </w:p>
        </w:tc>
        <w:tc>
          <w:tcPr/>
          <w:p>
            <w:pPr>
              <w:pStyle w:val="Compact"/>
            </w:pPr>
            <w:r>
              <w:t xml:space="preserve">FR-OPD-004, BR-DATA-006</w:t>
            </w:r>
          </w:p>
        </w:tc>
      </w:tr>
      <w:tr>
        <w:tc>
          <w:tcPr/>
          <w:p>
            <w:pPr>
              <w:pStyle w:val="Compact"/>
            </w:pPr>
            <w:r>
              <w:t xml:space="preserve">28</w:t>
            </w:r>
          </w:p>
        </w:tc>
        <w:tc>
          <w:tcPr/>
          <w:p>
            <w:pPr>
              <w:pStyle w:val="Compact"/>
            </w:pPr>
            <w:r>
              <w:t xml:space="preserve">Clinical</w:t>
            </w:r>
          </w:p>
        </w:tc>
        <w:tc>
          <w:tcPr/>
          <w:p>
            <w:pPr>
              <w:pStyle w:val="Compact"/>
            </w:pPr>
            <w:r>
              <w:t xml:space="preserve">SOAP note structure</w:t>
            </w:r>
          </w:p>
        </w:tc>
        <w:tc>
          <w:tcPr/>
          <w:p>
            <w:pPr>
              <w:pStyle w:val="Compact"/>
            </w:pPr>
            <w:r>
              <w:t xml:space="preserve">FR-OPD-003</w:t>
            </w:r>
          </w:p>
        </w:tc>
      </w:tr>
      <w:tr>
        <w:tc>
          <w:tcPr/>
          <w:p>
            <w:pPr>
              <w:pStyle w:val="Compact"/>
            </w:pPr>
            <w:r>
              <w:t xml:space="preserve">29</w:t>
            </w:r>
          </w:p>
        </w:tc>
        <w:tc>
          <w:tcPr/>
          <w:p>
            <w:pPr>
              <w:pStyle w:val="Compact"/>
            </w:pPr>
            <w:r>
              <w:t xml:space="preserve">Clinical</w:t>
            </w:r>
          </w:p>
        </w:tc>
        <w:tc>
          <w:tcPr/>
          <w:p>
            <w:pPr>
              <w:pStyle w:val="Compact"/>
            </w:pPr>
            <w:r>
              <w:t xml:space="preserve">NEWS2 early warning score</w:t>
            </w:r>
          </w:p>
        </w:tc>
        <w:tc>
          <w:tcPr/>
          <w:p>
            <w:pPr>
              <w:pStyle w:val="Compact"/>
            </w:pPr>
            <w:r>
              <w:t xml:space="preserve">FR-OPD-014, BR-CLIN-007</w:t>
            </w:r>
          </w:p>
        </w:tc>
      </w:tr>
      <w:tr>
        <w:tc>
          <w:tcPr/>
          <w:p>
            <w:pPr>
              <w:pStyle w:val="Compact"/>
            </w:pPr>
            <w:r>
              <w:t xml:space="preserve">30</w:t>
            </w:r>
          </w:p>
        </w:tc>
        <w:tc>
          <w:tcPr/>
          <w:p>
            <w:pPr>
              <w:pStyle w:val="Compact"/>
            </w:pPr>
            <w:r>
              <w:t xml:space="preserve">Clinical</w:t>
            </w:r>
          </w:p>
        </w:tc>
        <w:tc>
          <w:tcPr/>
          <w:p>
            <w:pPr>
              <w:pStyle w:val="Compact"/>
            </w:pPr>
            <w:r>
              <w:t xml:space="preserve">Medication reconciliation at transitions</w:t>
            </w:r>
          </w:p>
        </w:tc>
        <w:tc>
          <w:tcPr/>
          <w:p>
            <w:pPr>
              <w:pStyle w:val="Compact"/>
            </w:pPr>
            <w:r>
              <w:t xml:space="preserve">FR-PHR-015, BR-CLIN-005</w:t>
            </w:r>
          </w:p>
        </w:tc>
      </w:tr>
      <w:tr>
        <w:tc>
          <w:tcPr/>
          <w:p>
            <w:pPr>
              <w:pStyle w:val="Compact"/>
            </w:pPr>
            <w:r>
              <w:t xml:space="preserve">31</w:t>
            </w:r>
          </w:p>
        </w:tc>
        <w:tc>
          <w:tcPr/>
          <w:p>
            <w:pPr>
              <w:pStyle w:val="Compact"/>
            </w:pPr>
            <w:r>
              <w:t xml:space="preserve">Clinical</w:t>
            </w:r>
          </w:p>
        </w:tc>
        <w:tc>
          <w:tcPr/>
          <w:p>
            <w:pPr>
              <w:pStyle w:val="Compact"/>
            </w:pPr>
            <w:r>
              <w:t xml:space="preserve">Discharge completeness enforcement</w:t>
            </w:r>
          </w:p>
        </w:tc>
        <w:tc>
          <w:tcPr/>
          <w:p>
            <w:pPr>
              <w:pStyle w:val="Compact"/>
            </w:pPr>
            <w:r>
              <w:t xml:space="preserve">FR-OPD-013, BR-CLIN-009</w:t>
            </w:r>
          </w:p>
        </w:tc>
      </w:tr>
      <w:tr>
        <w:tc>
          <w:tcPr/>
          <w:p>
            <w:pPr>
              <w:pStyle w:val="Compact"/>
            </w:pPr>
            <w:r>
              <w:t xml:space="preserve">32</w:t>
            </w:r>
          </w:p>
        </w:tc>
        <w:tc>
          <w:tcPr/>
          <w:p>
            <w:pPr>
              <w:pStyle w:val="Compact"/>
            </w:pPr>
            <w:r>
              <w:t xml:space="preserve">Clinical</w:t>
            </w:r>
          </w:p>
        </w:tc>
        <w:tc>
          <w:tcPr/>
          <w:p>
            <w:pPr>
              <w:pStyle w:val="Compact"/>
            </w:pPr>
            <w:r>
              <w:t xml:space="preserve">Referral letter generation (CDA R2)</w:t>
            </w:r>
          </w:p>
        </w:tc>
        <w:tc>
          <w:tcPr/>
          <w:p>
            <w:pPr>
              <w:pStyle w:val="Compact"/>
            </w:pPr>
            <w:r>
              <w:t xml:space="preserve">FR-OPD-010</w:t>
            </w:r>
          </w:p>
        </w:tc>
      </w:tr>
      <w:tr>
        <w:tc>
          <w:tcPr/>
          <w:p>
            <w:pPr>
              <w:pStyle w:val="Compact"/>
            </w:pPr>
            <w:r>
              <w:t xml:space="preserve">33</w:t>
            </w:r>
          </w:p>
        </w:tc>
        <w:tc>
          <w:tcPr/>
          <w:p>
            <w:pPr>
              <w:pStyle w:val="Compact"/>
            </w:pPr>
            <w:r>
              <w:t xml:space="preserve">Clinical</w:t>
            </w:r>
          </w:p>
        </w:tc>
        <w:tc>
          <w:tcPr/>
          <w:p>
            <w:pPr>
              <w:pStyle w:val="Compact"/>
            </w:pPr>
            <w:r>
              <w:t xml:space="preserve">Nursing sensitive outcome tracking (14 NSOs)</w:t>
            </w:r>
          </w:p>
        </w:tc>
        <w:tc>
          <w:tcPr/>
          <w:p>
            <w:pPr>
              <w:pStyle w:val="Compact"/>
            </w:pPr>
            <w:r>
              <w:t xml:space="preserve">NFR-HC-018</w:t>
            </w:r>
          </w:p>
        </w:tc>
      </w:tr>
      <w:tr>
        <w:tc>
          <w:tcPr/>
          <w:p>
            <w:pPr>
              <w:pStyle w:val="Compact"/>
            </w:pPr>
            <w:r>
              <w:t xml:space="preserve">34</w:t>
            </w:r>
          </w:p>
        </w:tc>
        <w:tc>
          <w:tcPr/>
          <w:p>
            <w:pPr>
              <w:pStyle w:val="Compact"/>
            </w:pPr>
            <w:r>
              <w:t xml:space="preserve">Identity</w:t>
            </w:r>
          </w:p>
        </w:tc>
        <w:tc>
          <w:tcPr/>
          <w:p>
            <w:pPr>
              <w:pStyle w:val="Compact"/>
            </w:pPr>
            <w:r>
              <w:t xml:space="preserve">EMPI duplicate detection</w:t>
            </w:r>
          </w:p>
        </w:tc>
        <w:tc>
          <w:tcPr/>
          <w:p>
            <w:pPr>
              <w:pStyle w:val="Compact"/>
            </w:pPr>
            <w:r>
              <w:t xml:space="preserve">FR-REG-009, BR-PID-002</w:t>
            </w:r>
          </w:p>
        </w:tc>
      </w:tr>
      <w:tr>
        <w:tc>
          <w:tcPr/>
          <w:p>
            <w:pPr>
              <w:pStyle w:val="Compact"/>
            </w:pPr>
            <w:r>
              <w:t xml:space="preserve">35</w:t>
            </w:r>
          </w:p>
        </w:tc>
        <w:tc>
          <w:tcPr/>
          <w:p>
            <w:pPr>
              <w:pStyle w:val="Compact"/>
            </w:pPr>
            <w:r>
              <w:t xml:space="preserve">Identity</w:t>
            </w:r>
          </w:p>
        </w:tc>
        <w:tc>
          <w:tcPr/>
          <w:p>
            <w:pPr>
              <w:pStyle w:val="Compact"/>
            </w:pPr>
            <w:r>
              <w:t xml:space="preserve">Patient merge with audit trail</w:t>
            </w:r>
          </w:p>
        </w:tc>
        <w:tc>
          <w:tcPr/>
          <w:p>
            <w:pPr>
              <w:pStyle w:val="Compact"/>
            </w:pPr>
            <w:r>
              <w:t xml:space="preserve">FR-REG-008, BR-PID-003</w:t>
            </w:r>
          </w:p>
        </w:tc>
      </w:tr>
      <w:tr>
        <w:tc>
          <w:tcPr/>
          <w:p>
            <w:pPr>
              <w:pStyle w:val="Compact"/>
            </w:pPr>
            <w:r>
              <w:t xml:space="preserve">36</w:t>
            </w:r>
          </w:p>
        </w:tc>
        <w:tc>
          <w:tcPr/>
          <w:p>
            <w:pPr>
              <w:pStyle w:val="Compact"/>
            </w:pPr>
            <w:r>
              <w:t xml:space="preserve">Identity</w:t>
            </w:r>
          </w:p>
        </w:tc>
        <w:tc>
          <w:tcPr/>
          <w:p>
            <w:pPr>
              <w:pStyle w:val="Compact"/>
            </w:pPr>
            <w:r>
              <w:t xml:space="preserve">Triage priority queue enforcement</w:t>
            </w:r>
          </w:p>
        </w:tc>
        <w:tc>
          <w:tcPr/>
          <w:p>
            <w:pPr>
              <w:pStyle w:val="Compact"/>
            </w:pPr>
            <w:r>
              <w:t xml:space="preserve">FR-REG-011, BR-CLIN-001</w:t>
            </w:r>
          </w:p>
        </w:tc>
      </w:tr>
      <w:tr>
        <w:tc>
          <w:tcPr/>
          <w:p>
            <w:pPr>
              <w:pStyle w:val="Compact"/>
            </w:pPr>
            <w:r>
              <w:t xml:space="preserve">37</w:t>
            </w:r>
          </w:p>
        </w:tc>
        <w:tc>
          <w:tcPr/>
          <w:p>
            <w:pPr>
              <w:pStyle w:val="Compact"/>
            </w:pPr>
            <w:r>
              <w:t xml:space="preserve">Access</w:t>
            </w:r>
          </w:p>
        </w:tc>
        <w:tc>
          <w:tcPr/>
          <w:p>
            <w:pPr>
              <w:pStyle w:val="Compact"/>
            </w:pPr>
            <w:r>
              <w:t xml:space="preserve">RBAC with 18 defined roles</w:t>
            </w:r>
          </w:p>
        </w:tc>
        <w:tc>
          <w:tcPr/>
          <w:p>
            <w:pPr>
              <w:pStyle w:val="Compact"/>
            </w:pPr>
            <w:r>
              <w:t xml:space="preserve">FR-RBAC-001</w:t>
            </w:r>
          </w:p>
        </w:tc>
      </w:tr>
      <w:tr>
        <w:tc>
          <w:tcPr/>
          <w:p>
            <w:pPr>
              <w:pStyle w:val="Compact"/>
            </w:pPr>
            <w:r>
              <w:t xml:space="preserve">38</w:t>
            </w:r>
          </w:p>
        </w:tc>
        <w:tc>
          <w:tcPr/>
          <w:p>
            <w:pPr>
              <w:pStyle w:val="Compact"/>
            </w:pPr>
            <w:r>
              <w:t xml:space="preserve">Access</w:t>
            </w:r>
          </w:p>
        </w:tc>
        <w:tc>
          <w:tcPr/>
          <w:p>
            <w:pPr>
              <w:pStyle w:val="Compact"/>
            </w:pPr>
            <w:r>
              <w:t xml:space="preserve">ABAC for sensitive records (HIV, mental health)</w:t>
            </w:r>
          </w:p>
        </w:tc>
        <w:tc>
          <w:tcPr/>
          <w:p>
            <w:pPr>
              <w:pStyle w:val="Compact"/>
            </w:pPr>
            <w:r>
              <w:t xml:space="preserve">FR-RBAC-003, NFR-HC-010</w:t>
            </w:r>
          </w:p>
        </w:tc>
      </w:tr>
      <w:tr>
        <w:tc>
          <w:tcPr/>
          <w:p>
            <w:pPr>
              <w:pStyle w:val="Compact"/>
            </w:pPr>
            <w:r>
              <w:t xml:space="preserve">39</w:t>
            </w:r>
          </w:p>
        </w:tc>
        <w:tc>
          <w:tcPr/>
          <w:p>
            <w:pPr>
              <w:pStyle w:val="Compact"/>
            </w:pPr>
            <w:r>
              <w:t xml:space="preserve">Access</w:t>
            </w:r>
          </w:p>
        </w:tc>
        <w:tc>
          <w:tcPr/>
          <w:p>
            <w:pPr>
              <w:pStyle w:val="Compact"/>
            </w:pPr>
            <w:r>
              <w:t xml:space="preserve">Break-the-glass with mandatory reason and SMS</w:t>
            </w:r>
          </w:p>
        </w:tc>
        <w:tc>
          <w:tcPr/>
          <w:p>
            <w:pPr>
              <w:pStyle w:val="Compact"/>
            </w:pPr>
            <w:r>
              <w:t xml:space="preserve">FR-RBAC-007</w:t>
            </w:r>
          </w:p>
        </w:tc>
      </w:tr>
      <w:tr>
        <w:tc>
          <w:tcPr/>
          <w:p>
            <w:pPr>
              <w:pStyle w:val="Compact"/>
            </w:pPr>
            <w:r>
              <w:t xml:space="preserve">40</w:t>
            </w:r>
          </w:p>
        </w:tc>
        <w:tc>
          <w:tcPr/>
          <w:p>
            <w:pPr>
              <w:pStyle w:val="Compact"/>
            </w:pPr>
            <w:r>
              <w:t xml:space="preserve">Access</w:t>
            </w:r>
          </w:p>
        </w:tc>
        <w:tc>
          <w:tcPr/>
          <w:p>
            <w:pPr>
              <w:pStyle w:val="Compact"/>
            </w:pPr>
            <w:r>
              <w:t xml:space="preserve">Emergency cross-facility access with 24-hour expiry</w:t>
            </w:r>
          </w:p>
        </w:tc>
        <w:tc>
          <w:tcPr/>
          <w:p>
            <w:pPr>
              <w:pStyle w:val="Compact"/>
            </w:pPr>
            <w:r>
              <w:t xml:space="preserve">FR-RBAC-006, BR-DATA-002</w:t>
            </w:r>
          </w:p>
        </w:tc>
      </w:tr>
      <w:tr>
        <w:tc>
          <w:tcPr/>
          <w:p>
            <w:pPr>
              <w:pStyle w:val="Compact"/>
            </w:pPr>
            <w:r>
              <w:t xml:space="preserve">41</w:t>
            </w:r>
          </w:p>
        </w:tc>
        <w:tc>
          <w:tcPr/>
          <w:p>
            <w:pPr>
              <w:pStyle w:val="Compact"/>
            </w:pPr>
            <w:r>
              <w:t xml:space="preserve">Data</w:t>
            </w:r>
          </w:p>
        </w:tc>
        <w:tc>
          <w:tcPr/>
          <w:p>
            <w:pPr>
              <w:pStyle w:val="Compact"/>
            </w:pPr>
            <w:r>
              <w:t xml:space="preserve">Auto-save on every form interaction</w:t>
            </w:r>
          </w:p>
        </w:tc>
        <w:tc>
          <w:tcPr/>
          <w:p>
            <w:pPr>
              <w:pStyle w:val="Compact"/>
            </w:pPr>
            <w:r>
              <w:t xml:space="preserve">NFR-HC-016, BR-DATA-005</w:t>
            </w:r>
          </w:p>
        </w:tc>
      </w:tr>
      <w:tr>
        <w:tc>
          <w:tcPr/>
          <w:p>
            <w:pPr>
              <w:pStyle w:val="Compact"/>
            </w:pPr>
            <w:r>
              <w:t xml:space="preserve">42</w:t>
            </w:r>
          </w:p>
        </w:tc>
        <w:tc>
          <w:tcPr/>
          <w:p>
            <w:pPr>
              <w:pStyle w:val="Compact"/>
            </w:pPr>
            <w:r>
              <w:t xml:space="preserve">Data</w:t>
            </w:r>
          </w:p>
        </w:tc>
        <w:tc>
          <w:tcPr/>
          <w:p>
            <w:pPr>
              <w:pStyle w:val="Compact"/>
            </w:pPr>
            <w:r>
              <w:t xml:space="preserve">Offline clinical resilience (72-hour queue)</w:t>
            </w:r>
          </w:p>
        </w:tc>
        <w:tc>
          <w:tcPr/>
          <w:p>
            <w:pPr>
              <w:pStyle w:val="Compact"/>
            </w:pPr>
            <w:r>
              <w:t xml:space="preserve">NFR-HC-013</w:t>
            </w:r>
          </w:p>
        </w:tc>
      </w:tr>
      <w:tr>
        <w:tc>
          <w:tcPr/>
          <w:p>
            <w:pPr>
              <w:pStyle w:val="Compact"/>
            </w:pPr>
            <w:r>
              <w:t xml:space="preserve">43</w:t>
            </w:r>
          </w:p>
        </w:tc>
        <w:tc>
          <w:tcPr/>
          <w:p>
            <w:pPr>
              <w:pStyle w:val="Compact"/>
            </w:pPr>
            <w:r>
              <w:t xml:space="preserve">Data</w:t>
            </w:r>
          </w:p>
        </w:tc>
        <w:tc>
          <w:tcPr/>
          <w:p>
            <w:pPr>
              <w:pStyle w:val="Compact"/>
            </w:pPr>
            <w:r>
              <w:t xml:space="preserve">Clinical conflict resolution (both versions preserved)</w:t>
            </w:r>
          </w:p>
        </w:tc>
        <w:tc>
          <w:tcPr/>
          <w:p>
            <w:pPr>
              <w:pStyle w:val="Compact"/>
            </w:pPr>
            <w:r>
              <w:t xml:space="preserve">NFR-HC-013, BR-DATA-003</w:t>
            </w:r>
          </w:p>
        </w:tc>
      </w:tr>
      <w:tr>
        <w:tc>
          <w:tcPr/>
          <w:p>
            <w:pPr>
              <w:pStyle w:val="Compact"/>
            </w:pPr>
            <w:r>
              <w:t xml:space="preserve">44</w:t>
            </w:r>
          </w:p>
        </w:tc>
        <w:tc>
          <w:tcPr/>
          <w:p>
            <w:pPr>
              <w:pStyle w:val="Compact"/>
            </w:pPr>
            <w:r>
              <w:t xml:space="preserve">Data</w:t>
            </w:r>
          </w:p>
        </w:tc>
        <w:tc>
          <w:tcPr/>
          <w:p>
            <w:pPr>
              <w:pStyle w:val="Compact"/>
            </w:pPr>
            <w:r>
              <w:t xml:space="preserve">Task resumption after interruption</w:t>
            </w:r>
          </w:p>
        </w:tc>
        <w:tc>
          <w:tcPr/>
          <w:p>
            <w:pPr>
              <w:pStyle w:val="Compact"/>
            </w:pPr>
            <w:r>
              <w:t xml:space="preserve">NFR-HC-023</w:t>
            </w:r>
          </w:p>
        </w:tc>
      </w:tr>
      <w:tr>
        <w:tc>
          <w:tcPr/>
          <w:p>
            <w:pPr>
              <w:pStyle w:val="Compact"/>
            </w:pPr>
            <w:r>
              <w:t xml:space="preserve">45</w:t>
            </w:r>
          </w:p>
        </w:tc>
        <w:tc>
          <w:tcPr/>
          <w:p>
            <w:pPr>
              <w:pStyle w:val="Compact"/>
            </w:pPr>
            <w:r>
              <w:t xml:space="preserve">Audit</w:t>
            </w:r>
          </w:p>
        </w:tc>
        <w:tc>
          <w:tcPr/>
          <w:p>
            <w:pPr>
              <w:pStyle w:val="Compact"/>
            </w:pPr>
            <w:r>
              <w:t xml:space="preserve">Tamper-proof audit trail for all PHI operations</w:t>
            </w:r>
          </w:p>
        </w:tc>
        <w:tc>
          <w:tcPr/>
          <w:p>
            <w:pPr>
              <w:pStyle w:val="Compact"/>
            </w:pPr>
            <w:r>
              <w:t xml:space="preserve">NFR-HC-001, FR-RBAC-005</w:t>
            </w:r>
          </w:p>
        </w:tc>
      </w:tr>
    </w:tbl>
    <w:p>
      <w:r>
        <w:pict>
          <v:rect style="width:0;height:1.5pt" o:hralign="center" o:hrstd="t" o:hr="t"/>
        </w:pict>
      </w:r>
    </w:p>
    <w:bookmarkEnd w:id="25"/>
    <w:bookmarkEnd w:id="26"/>
    <w:bookmarkStart w:id="29" w:name="X85b6703d9c84503e85f56b45553a4445f23216e"/>
    <w:p>
      <w:pPr>
        <w:pStyle w:val="Heading2"/>
      </w:pPr>
      <w:r>
        <w:t xml:space="preserve">5. Global Regulatory Readiness</w:t>
      </w:r>
    </w:p>
    <w:bookmarkStart w:id="27" w:name="X83c936fbf1a19437be60a586a83ce39393f6bb6"/>
    <w:p>
      <w:pPr>
        <w:pStyle w:val="Heading3"/>
      </w:pPr>
      <w:r>
        <w:t xml:space="preserve">5.1 Multi-Jurisdiction Compliance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Market</w:t>
            </w:r>
          </w:p>
        </w:tc>
        <w:tc>
          <w:tcPr/>
          <w:p>
            <w:pPr>
              <w:pStyle w:val="Compact"/>
            </w:pPr>
            <w:r>
              <w:t xml:space="preserve">Regulation</w:t>
            </w:r>
          </w:p>
        </w:tc>
        <w:tc>
          <w:tcPr/>
          <w:p>
            <w:pPr>
              <w:pStyle w:val="Compact"/>
            </w:pPr>
            <w:r>
              <w:t xml:space="preserve">Key Requirements</w:t>
            </w:r>
          </w:p>
        </w:tc>
        <w:tc>
          <w:tcPr/>
          <w:p>
            <w:pPr>
              <w:pStyle w:val="Compact"/>
            </w:pPr>
            <w:r>
              <w:t xml:space="preserve">Medic8 Readiness</w:t>
            </w:r>
          </w:p>
        </w:tc>
        <w:tc>
          <w:tcPr/>
          <w:p>
            <w:pPr>
              <w:pStyle w:val="Compact"/>
            </w:pPr>
            <w:r>
              <w:t xml:space="preserve">Gap</w:t>
            </w:r>
          </w:p>
        </w:tc>
      </w:tr>
      <w:tr>
        <w:tc>
          <w:tcPr/>
          <w:p>
            <w:pPr>
              <w:pStyle w:val="Compact"/>
            </w:pPr>
            <w:r>
              <w:rPr>
                <w:b/>
                <w:bCs/>
              </w:rPr>
              <w:t xml:space="preserve">Uganda</w:t>
            </w:r>
          </w:p>
        </w:tc>
        <w:tc>
          <w:tcPr/>
          <w:p>
            <w:pPr>
              <w:pStyle w:val="Compact"/>
            </w:pPr>
            <w:r>
              <w:t xml:space="preserve">Data Protection and Privacy Act 2019 (PDPA)</w:t>
            </w:r>
          </w:p>
        </w:tc>
        <w:tc>
          <w:tcPr/>
          <w:p>
            <w:pPr>
              <w:pStyle w:val="Compact"/>
            </w:pPr>
            <w:r>
              <w:t xml:space="preserve">Consent, data subject rights, breach notification (72h), data residency, record of processing</w:t>
            </w:r>
          </w:p>
        </w:tc>
        <w:tc>
          <w:tcPr/>
          <w:p>
            <w:pPr>
              <w:pStyle w:val="Compact"/>
            </w:pPr>
            <w:r>
              <w:t xml:space="preserve">Designed: consent engine, audit trail, breach tooling, data residency per tenant</w:t>
            </w:r>
          </w:p>
        </w:tc>
        <w:tc>
          <w:tcPr/>
          <w:p>
            <w:pPr>
              <w:pStyle w:val="Compact"/>
            </w:pPr>
            <w:r>
              <w:t xml:space="preserve">Legal review pending (Gap Analysis HIGH-002). Data protection lawyer engagement required.</w:t>
            </w:r>
          </w:p>
        </w:tc>
      </w:tr>
      <w:tr>
        <w:tc>
          <w:tcPr/>
          <w:p>
            <w:pPr>
              <w:pStyle w:val="Compact"/>
            </w:pPr>
            <w:r>
              <w:rPr>
                <w:b/>
                <w:bCs/>
              </w:rPr>
              <w:t xml:space="preserve">Kenya</w:t>
            </w:r>
          </w:p>
        </w:tc>
        <w:tc>
          <w:tcPr/>
          <w:p>
            <w:pPr>
              <w:pStyle w:val="Compact"/>
            </w:pPr>
            <w:r>
              <w:t xml:space="preserve">Data Protection Act 2019</w:t>
            </w:r>
          </w:p>
        </w:tc>
        <w:tc>
          <w:tcPr/>
          <w:p>
            <w:pPr>
              <w:pStyle w:val="Compact"/>
            </w:pPr>
            <w:r>
              <w:t xml:space="preserve">Consent, data subject rights, breach notification (72h), DPIA requirement, cross-border transfer safeguards</w:t>
            </w:r>
          </w:p>
        </w:tc>
        <w:tc>
          <w:tcPr/>
          <w:p>
            <w:pPr>
              <w:pStyle w:val="Compact"/>
            </w:pPr>
            <w:r>
              <w:t xml:space="preserve">Partially ready: consent engine reusable; country configuration supports Kenya regulatory profile</w:t>
            </w:r>
          </w:p>
        </w:tc>
        <w:tc>
          <w:tcPr/>
          <w:p>
            <w:pPr>
              <w:pStyle w:val="Compact"/>
            </w:pPr>
            <w:r>
              <w:t xml:space="preserve">Kenya-specific consent wording and DPIA template not yet created</w:t>
            </w:r>
          </w:p>
        </w:tc>
      </w:tr>
      <w:tr>
        <w:tc>
          <w:tcPr/>
          <w:p>
            <w:pPr>
              <w:pStyle w:val="Compact"/>
            </w:pPr>
            <w:r>
              <w:rPr>
                <w:b/>
                <w:bCs/>
              </w:rPr>
              <w:t xml:space="preserve">India</w:t>
            </w:r>
          </w:p>
        </w:tc>
        <w:tc>
          <w:tcPr/>
          <w:p>
            <w:pPr>
              <w:pStyle w:val="Compact"/>
            </w:pPr>
            <w:r>
              <w:t xml:space="preserve">Digital Information Security in Healthcare Act (DISHA, draft)</w:t>
            </w:r>
          </w:p>
        </w:tc>
        <w:tc>
          <w:tcPr/>
          <w:p>
            <w:pPr>
              <w:pStyle w:val="Compact"/>
            </w:pPr>
            <w:r>
              <w:t xml:space="preserve">Health data protection, health information exchange standards, ABDM interoperability, ABHA health ID</w:t>
            </w:r>
          </w:p>
        </w:tc>
        <w:tc>
          <w:tcPr/>
          <w:p>
            <w:pPr>
              <w:pStyle w:val="Compact"/>
            </w:pPr>
            <w:r>
              <w:t xml:space="preserve">Partially ready: FHIR R4 API enables interoperability; ABHA integration not yet specified</w:t>
            </w:r>
          </w:p>
        </w:tc>
        <w:tc>
          <w:tcPr/>
          <w:p>
            <w:pPr>
              <w:pStyle w:val="Compact"/>
            </w:pPr>
            <w:r>
              <w:t xml:space="preserve">ABHA health ID integration not designed. DISHA is still in draft; requirements may change.</w:t>
            </w:r>
          </w:p>
        </w:tc>
      </w:tr>
      <w:tr>
        <w:tc>
          <w:tcPr/>
          <w:p>
            <w:pPr>
              <w:pStyle w:val="Compact"/>
            </w:pPr>
            <w:r>
              <w:rPr>
                <w:b/>
                <w:bCs/>
              </w:rPr>
              <w:t xml:space="preserve">Australia</w:t>
            </w:r>
          </w:p>
        </w:tc>
        <w:tc>
          <w:tcPr/>
          <w:p>
            <w:pPr>
              <w:pStyle w:val="Compact"/>
            </w:pPr>
            <w:r>
              <w:t xml:space="preserve">Privacy Act 1988 (Australian Privacy Principles)</w:t>
            </w:r>
          </w:p>
        </w:tc>
        <w:tc>
          <w:tcPr/>
          <w:p>
            <w:pPr>
              <w:pStyle w:val="Compact"/>
            </w:pPr>
            <w:r>
              <w:t xml:space="preserve">13 APPs, My Health Records Act compliance, notifiable data breach scheme (72h)</w:t>
            </w:r>
          </w:p>
        </w:tc>
        <w:tc>
          <w:tcPr/>
          <w:p>
            <w:pPr>
              <w:pStyle w:val="Compact"/>
            </w:pPr>
            <w:r>
              <w:t xml:space="preserve">Partially ready: data residency configurable; breach notification tooling exists</w:t>
            </w:r>
          </w:p>
        </w:tc>
        <w:tc>
          <w:tcPr/>
          <w:p>
            <w:pPr>
              <w:pStyle w:val="Compact"/>
            </w:pPr>
            <w:r>
              <w:t xml:space="preserve">APP compliance mapping not completed. My Health Records integration not designed.</w:t>
            </w:r>
          </w:p>
        </w:tc>
      </w:tr>
      <w:tr>
        <w:tc>
          <w:tcPr/>
          <w:p>
            <w:pPr>
              <w:pStyle w:val="Compact"/>
            </w:pPr>
            <w:r>
              <w:rPr>
                <w:b/>
                <w:bCs/>
              </w:rPr>
              <w:t xml:space="preserve">Nigeria</w:t>
            </w:r>
          </w:p>
        </w:tc>
        <w:tc>
          <w:tcPr/>
          <w:p>
            <w:pPr>
              <w:pStyle w:val="Compact"/>
            </w:pPr>
            <w:r>
              <w:t xml:space="preserve">Nigeria Data Protection Act 2023 (NDPA)</w:t>
            </w:r>
          </w:p>
        </w:tc>
        <w:tc>
          <w:tcPr/>
          <w:p>
            <w:pPr>
              <w:pStyle w:val="Compact"/>
            </w:pPr>
            <w:r>
              <w:t xml:space="preserve">Consent, DPIA, data subject rights, breach notification, data residency</w:t>
            </w:r>
          </w:p>
        </w:tc>
        <w:tc>
          <w:tcPr/>
          <w:p>
            <w:pPr>
              <w:pStyle w:val="Compact"/>
            </w:pPr>
            <w:r>
              <w:t xml:space="preserve">Partially ready: consent engine reusable; country configuration supports Nigeria</w:t>
            </w:r>
          </w:p>
        </w:tc>
        <w:tc>
          <w:tcPr/>
          <w:p>
            <w:pPr>
              <w:pStyle w:val="Compact"/>
            </w:pPr>
            <w:r>
              <w:t xml:space="preserve">NDPA-specific DPIA template not created. NHIA integration not specified.</w:t>
            </w:r>
          </w:p>
        </w:tc>
      </w:tr>
      <w:tr>
        <w:tc>
          <w:tcPr/>
          <w:p>
            <w:pPr>
              <w:pStyle w:val="Compact"/>
            </w:pPr>
            <w:r>
              <w:rPr>
                <w:b/>
                <w:bCs/>
              </w:rPr>
              <w:t xml:space="preserve">USA (PEPFAR)</w:t>
            </w:r>
          </w:p>
        </w:tc>
        <w:tc>
          <w:tcPr/>
          <w:p>
            <w:pPr>
              <w:pStyle w:val="Compact"/>
            </w:pPr>
            <w:r>
              <w:t xml:space="preserve">HIPAA Privacy Rule and Security Rule</w:t>
            </w:r>
          </w:p>
        </w:tc>
        <w:tc>
          <w:tcPr/>
          <w:p>
            <w:pPr>
              <w:pStyle w:val="Compact"/>
            </w:pPr>
            <w:r>
              <w:t xml:space="preserve">PHI safeguards, access controls, audit trail, breach notification, BAA requirements</w:t>
            </w:r>
          </w:p>
        </w:tc>
        <w:tc>
          <w:tcPr/>
          <w:p>
            <w:pPr>
              <w:pStyle w:val="Compact"/>
            </w:pPr>
            <w:r>
              <w:t xml:space="preserve">Partially ready: AES-256 encryption, RBAC, audit trail, breach tooling meet HIPAA technical safeguards</w:t>
            </w:r>
          </w:p>
        </w:tc>
        <w:tc>
          <w:tcPr/>
          <w:p>
            <w:pPr>
              <w:pStyle w:val="Compact"/>
            </w:pPr>
            <w:r>
              <w:t xml:space="preserve">Business Associate Agreement (BAA) template not created. HIPAA-specific administrative safeguards not documented. PEPFAR MER indicator compliance designed (BR-HMIS-005).</w:t>
            </w:r>
          </w:p>
        </w:tc>
      </w:tr>
    </w:tbl>
    <w:bookmarkEnd w:id="27"/>
    <w:bookmarkStart w:id="28" w:name="Xeec559986821a00d029bd06bbc5f2c51393f2b5"/>
    <w:p>
      <w:pPr>
        <w:pStyle w:val="Heading3"/>
      </w:pPr>
      <w:r>
        <w:t xml:space="preserve">5.2 Regulatory Profile Architecture</w:t>
      </w:r>
    </w:p>
    <w:p>
      <w:pPr>
        <w:pStyle w:val="FirstParagraph"/>
      </w:pPr>
      <w:r>
        <w:t xml:space="preserve">Each Medic8 deployment activates a country-specific regulatory profile at tenant configuration time (FR-TNT-004). The system shall not permit operation without an assigned regulatory profile. The regulatory profile controls:</w:t>
      </w:r>
    </w:p>
    <w:p>
      <w:pPr>
        <w:pStyle w:val="Compact"/>
        <w:numPr>
          <w:ilvl w:val="0"/>
          <w:numId w:val="1002"/>
        </w:numPr>
      </w:pPr>
      <w:r>
        <w:t xml:space="preserve">Required consent categories and wording</w:t>
      </w:r>
    </w:p>
    <w:p>
      <w:pPr>
        <w:pStyle w:val="Compact"/>
        <w:numPr>
          <w:ilvl w:val="0"/>
          <w:numId w:val="1002"/>
        </w:numPr>
      </w:pPr>
      <w:r>
        <w:t xml:space="preserve">Data residency enforcement rules</w:t>
      </w:r>
    </w:p>
    <w:p>
      <w:pPr>
        <w:pStyle w:val="Compact"/>
        <w:numPr>
          <w:ilvl w:val="0"/>
          <w:numId w:val="1002"/>
        </w:numPr>
      </w:pPr>
      <w:r>
        <w:t xml:space="preserve">HMIS form set and reporting obligations</w:t>
      </w:r>
    </w:p>
    <w:p>
      <w:pPr>
        <w:pStyle w:val="Compact"/>
        <w:numPr>
          <w:ilvl w:val="0"/>
          <w:numId w:val="1002"/>
        </w:numPr>
      </w:pPr>
      <w:r>
        <w:t xml:space="preserve">Drug scheduling classes and prescribing authority rules</w:t>
      </w:r>
    </w:p>
    <w:p>
      <w:pPr>
        <w:pStyle w:val="Compact"/>
        <w:numPr>
          <w:ilvl w:val="0"/>
          <w:numId w:val="1002"/>
        </w:numPr>
      </w:pPr>
      <w:r>
        <w:t xml:space="preserve">Tax and insurance rules</w:t>
      </w:r>
    </w:p>
    <w:p>
      <w:pPr>
        <w:pStyle w:val="Compact"/>
        <w:numPr>
          <w:ilvl w:val="0"/>
          <w:numId w:val="1002"/>
        </w:numPr>
      </w:pPr>
      <w:r>
        <w:t xml:space="preserve">Clinical coding system preference (ICD-10 vs ICD-11)</w:t>
      </w:r>
    </w:p>
    <w:p>
      <w:pPr>
        <w:pStyle w:val="Compact"/>
        <w:numPr>
          <w:ilvl w:val="0"/>
          <w:numId w:val="1002"/>
        </w:numPr>
      </w:pPr>
      <w:r>
        <w:t xml:space="preserve">Cross-border transfer permissions</w:t>
      </w:r>
    </w:p>
    <w:p>
      <w:r>
        <w:pict>
          <v:rect style="width:0;height:1.5pt" o:hralign="center" o:hrstd="t" o:hr="t"/>
        </w:pict>
      </w:r>
    </w:p>
    <w:bookmarkEnd w:id="28"/>
    <w:bookmarkEnd w:id="29"/>
    <w:bookmarkStart w:id="40" w:name="Xabb5db0c6e1dd7483b253fa84069eee44f09b5d"/>
    <w:p>
      <w:pPr>
        <w:pStyle w:val="Heading2"/>
      </w:pPr>
      <w:r>
        <w:t xml:space="preserve">6. Data Processing Impact Assessment (DPIA) Template</w:t>
      </w:r>
    </w:p>
    <w:p>
      <w:pPr>
        <w:pStyle w:val="FirstParagraph"/>
      </w:pPr>
      <w:r>
        <w:t xml:space="preserve">Per Uganda PDPA 2019 Section 22, a Data Processing Impact Assessment shall be conducted for any processing activity that is likely to result in high risk to the rights and freedoms of data subjects. The following template shall be completed for each major processing activity within Medic8.</w:t>
      </w:r>
    </w:p>
    <w:p>
      <w:r>
        <w:pict>
          <v:rect style="width:0;height:1.5pt" o:hralign="center" o:hrstd="t" o:hr="t"/>
        </w:pict>
      </w:r>
    </w:p>
    <w:bookmarkStart w:id="39" w:name="dpia-sequence-processing-activity-name"/>
    <w:p>
      <w:pPr>
        <w:pStyle w:val="Heading3"/>
      </w:pPr>
      <w:r>
        <w:t xml:space="preserve">DPIA-[SEQUENCE]: [Processing Activity Name]</w:t>
      </w:r>
    </w:p>
    <w:p>
      <w:pPr>
        <w:pStyle w:val="FirstParagraph"/>
      </w:pPr>
      <w:r>
        <w:rPr>
          <w:b/>
          <w:bCs/>
        </w:rPr>
        <w:t xml:space="preserve">DPIA ID:</w:t>
      </w:r>
      <w:r>
        <w:t xml:space="preserve"> </w:t>
      </w:r>
      <w:r>
        <w:t xml:space="preserve">DPIA-[SEQUENCE]</w:t>
      </w:r>
      <w:r>
        <w:t xml:space="preserve"> </w:t>
      </w:r>
      <w:r>
        <w:rPr>
          <w:b/>
          <w:bCs/>
        </w:rPr>
        <w:t xml:space="preserve">Date:</w:t>
      </w:r>
      <w:r>
        <w:t xml:space="preserve"> </w:t>
      </w:r>
      <w:r>
        <w:t xml:space="preserve">[YYYY-MM-DD]</w:t>
      </w:r>
      <w:r>
        <w:t xml:space="preserve"> </w:t>
      </w:r>
      <w:r>
        <w:rPr>
          <w:b/>
          <w:bCs/>
        </w:rPr>
        <w:t xml:space="preserve">Assessor:</w:t>
      </w:r>
      <w:r>
        <w:t xml:space="preserve"> </w:t>
      </w:r>
      <w:r>
        <w:t xml:space="preserve">[Name and role]</w:t>
      </w:r>
      <w:r>
        <w:t xml:space="preserve"> </w:t>
      </w:r>
      <w:r>
        <w:rPr>
          <w:b/>
          <w:bCs/>
        </w:rPr>
        <w:t xml:space="preserve">Approved by:</w:t>
      </w:r>
      <w:r>
        <w:t xml:space="preserve"> </w:t>
      </w:r>
      <w:r>
        <w:t xml:space="preserve">[Data Protection Officer name]</w:t>
      </w:r>
    </w:p>
    <w:bookmarkStart w:id="30" w:name="Xd5c05b696f5f828e7c14e8456a1cd1d7dfed701"/>
    <w:p>
      <w:pPr>
        <w:pStyle w:val="Heading4"/>
      </w:pPr>
      <w:r>
        <w:t xml:space="preserve">6.1 Processing Activity Description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Processing activity</w:t>
            </w:r>
          </w:p>
        </w:tc>
        <w:tc>
          <w:tcPr/>
          <w:p>
            <w:pPr>
              <w:pStyle w:val="Compact"/>
            </w:pPr>
            <w:r>
              <w:t xml:space="preserve">[e.g., "Patient clinical record creation and management"]</w:t>
            </w:r>
          </w:p>
        </w:tc>
      </w:tr>
      <w:tr>
        <w:tc>
          <w:tcPr/>
          <w:p>
            <w:pPr>
              <w:pStyle w:val="Compact"/>
            </w:pPr>
            <w:r>
              <w:rPr>
                <w:b/>
                <w:bCs/>
              </w:rPr>
              <w:t xml:space="preserve">Purpose</w:t>
            </w:r>
          </w:p>
        </w:tc>
        <w:tc>
          <w:tcPr/>
          <w:p>
            <w:pPr>
              <w:pStyle w:val="Compact"/>
            </w:pPr>
            <w:r>
              <w:t xml:space="preserve">[e.g., "Delivery of clinical care, continuity of care across encounters"]</w:t>
            </w:r>
          </w:p>
        </w:tc>
      </w:tr>
      <w:tr>
        <w:tc>
          <w:tcPr/>
          <w:p>
            <w:pPr>
              <w:pStyle w:val="Compact"/>
            </w:pPr>
            <w:r>
              <w:rPr>
                <w:b/>
                <w:bCs/>
              </w:rPr>
              <w:t xml:space="preserve">System module</w:t>
            </w:r>
          </w:p>
        </w:tc>
        <w:tc>
          <w:tcPr/>
          <w:p>
            <w:pPr>
              <w:pStyle w:val="Compact"/>
            </w:pPr>
            <w:r>
              <w:t xml:space="preserve">[e.g., "OPD Module, Patient Registration"]</w:t>
            </w:r>
          </w:p>
        </w:tc>
      </w:tr>
      <w:tr>
        <w:tc>
          <w:tcPr/>
          <w:p>
            <w:pPr>
              <w:pStyle w:val="Compact"/>
            </w:pPr>
            <w:r>
              <w:rPr>
                <w:b/>
                <w:bCs/>
              </w:rPr>
              <w:t xml:space="preserve">Frequency</w:t>
            </w:r>
          </w:p>
        </w:tc>
        <w:tc>
          <w:tcPr/>
          <w:p>
            <w:pPr>
              <w:pStyle w:val="Compact"/>
            </w:pPr>
            <w:r>
              <w:t xml:space="preserve">[e.g., "Continuous during facility operating hours"]</w:t>
            </w:r>
          </w:p>
        </w:tc>
      </w:tr>
    </w:tbl>
    <w:bookmarkEnd w:id="30"/>
    <w:bookmarkStart w:id="31" w:name="Xfde2334ddce9e8052a2273582fc8c8a06acd506"/>
    <w:p>
      <w:pPr>
        <w:pStyle w:val="Heading4"/>
      </w:pPr>
      <w:r>
        <w:t xml:space="preserve">6.2 Personal Data Categories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Category</w:t>
            </w:r>
          </w:p>
        </w:tc>
        <w:tc>
          <w:tcPr/>
          <w:p>
            <w:pPr>
              <w:pStyle w:val="Compact"/>
            </w:pPr>
            <w:r>
              <w:t xml:space="preserve">Sensitivity Level</w:t>
            </w:r>
          </w:p>
        </w:tc>
        <w:tc>
          <w:tcPr/>
          <w:p>
            <w:pPr>
              <w:pStyle w:val="Compact"/>
            </w:pPr>
            <w:r>
              <w:t xml:space="preserve">Examples</w:t>
            </w:r>
          </w:p>
        </w:tc>
      </w:tr>
      <w:tr>
        <w:tc>
          <w:tcPr/>
          <w:p>
            <w:pPr>
              <w:pStyle w:val="Compact"/>
            </w:pPr>
            <w:r>
              <w:t xml:space="preserve">Demographics</w:t>
            </w:r>
          </w:p>
        </w:tc>
        <w:tc>
          <w:tcPr/>
          <w:p>
            <w:pPr>
              <w:pStyle w:val="Compact"/>
            </w:pPr>
            <w:r>
              <w:t xml:space="preserve">Standard PII</w:t>
            </w:r>
          </w:p>
        </w:tc>
        <w:tc>
          <w:tcPr/>
          <w:p>
            <w:pPr>
              <w:pStyle w:val="Compact"/>
            </w:pPr>
            <w:r>
              <w:t xml:space="preserve">Name, date of birth, sex, address, phone, NIN</w:t>
            </w:r>
          </w:p>
        </w:tc>
      </w:tr>
      <w:tr>
        <w:tc>
          <w:tcPr/>
          <w:p>
            <w:pPr>
              <w:pStyle w:val="Compact"/>
            </w:pPr>
            <w:r>
              <w:t xml:space="preserve">Clinical records</w:t>
            </w:r>
          </w:p>
        </w:tc>
        <w:tc>
          <w:tcPr/>
          <w:p>
            <w:pPr>
              <w:pStyle w:val="Compact"/>
            </w:pPr>
            <w:r>
              <w:t xml:space="preserve">Sensitive PHI</w:t>
            </w:r>
          </w:p>
        </w:tc>
        <w:tc>
          <w:tcPr/>
          <w:p>
            <w:pPr>
              <w:pStyle w:val="Compact"/>
            </w:pPr>
            <w:r>
              <w:t xml:space="preserve">Diagnoses (ICD-10), prescriptions, lab results, vitals, clinical notes</w:t>
            </w:r>
          </w:p>
        </w:tc>
      </w:tr>
      <w:tr>
        <w:tc>
          <w:tcPr/>
          <w:p>
            <w:pPr>
              <w:pStyle w:val="Compact"/>
            </w:pPr>
            <w:r>
              <w:t xml:space="preserve">HIV status</w:t>
            </w:r>
          </w:p>
        </w:tc>
        <w:tc>
          <w:tcPr/>
          <w:p>
            <w:pPr>
              <w:pStyle w:val="Compact"/>
            </w:pPr>
            <w:r>
              <w:t xml:space="preserve">Highly sensitive PHI</w:t>
            </w:r>
          </w:p>
        </w:tc>
        <w:tc>
          <w:tcPr/>
          <w:p>
            <w:pPr>
              <w:pStyle w:val="Compact"/>
            </w:pPr>
            <w:r>
              <w:t xml:space="preserve">HIV test results, ART status, viral load</w:t>
            </w:r>
          </w:p>
        </w:tc>
      </w:tr>
      <w:tr>
        <w:tc>
          <w:tcPr/>
          <w:p>
            <w:pPr>
              <w:pStyle w:val="Compact"/>
            </w:pPr>
            <w:r>
              <w:t xml:space="preserve">Mental health</w:t>
            </w:r>
          </w:p>
        </w:tc>
        <w:tc>
          <w:tcPr/>
          <w:p>
            <w:pPr>
              <w:pStyle w:val="Compact"/>
            </w:pPr>
            <w:r>
              <w:t xml:space="preserve">Highly sensitive PHI</w:t>
            </w:r>
          </w:p>
        </w:tc>
        <w:tc>
          <w:tcPr/>
          <w:p>
            <w:pPr>
              <w:pStyle w:val="Compact"/>
            </w:pPr>
            <w:r>
              <w:t xml:space="preserve">Psychiatric diagnoses, counselling notes</w:t>
            </w:r>
          </w:p>
        </w:tc>
      </w:tr>
      <w:tr>
        <w:tc>
          <w:tcPr/>
          <w:p>
            <w:pPr>
              <w:pStyle w:val="Compact"/>
            </w:pPr>
            <w:r>
              <w:t xml:space="preserve">Reproductive health</w:t>
            </w:r>
          </w:p>
        </w:tc>
        <w:tc>
          <w:tcPr/>
          <w:p>
            <w:pPr>
              <w:pStyle w:val="Compact"/>
            </w:pPr>
            <w:r>
              <w:t xml:space="preserve">Highly sensitive PHI</w:t>
            </w:r>
          </w:p>
        </w:tc>
        <w:tc>
          <w:tcPr/>
          <w:p>
            <w:pPr>
              <w:pStyle w:val="Compact"/>
            </w:pPr>
            <w:r>
              <w:t xml:space="preserve">Contraception records, antenatal care, STI treatment</w:t>
            </w:r>
          </w:p>
        </w:tc>
      </w:tr>
      <w:tr>
        <w:tc>
          <w:tcPr/>
          <w:p>
            <w:pPr>
              <w:pStyle w:val="Compact"/>
            </w:pPr>
            <w:r>
              <w:t xml:space="preserve">Substance abuse</w:t>
            </w:r>
          </w:p>
        </w:tc>
        <w:tc>
          <w:tcPr/>
          <w:p>
            <w:pPr>
              <w:pStyle w:val="Compact"/>
            </w:pPr>
            <w:r>
              <w:t xml:space="preserve">Highly sensitive PHI</w:t>
            </w:r>
          </w:p>
        </w:tc>
        <w:tc>
          <w:tcPr/>
          <w:p>
            <w:pPr>
              <w:pStyle w:val="Compact"/>
            </w:pPr>
            <w:r>
              <w:t xml:space="preserve">Treatment records, screening results</w:t>
            </w:r>
          </w:p>
        </w:tc>
      </w:tr>
      <w:tr>
        <w:tc>
          <w:tcPr/>
          <w:p>
            <w:pPr>
              <w:pStyle w:val="Compact"/>
            </w:pPr>
            <w:r>
              <w:t xml:space="preserve">Financial</w:t>
            </w:r>
          </w:p>
        </w:tc>
        <w:tc>
          <w:tcPr/>
          <w:p>
            <w:pPr>
              <w:pStyle w:val="Compact"/>
            </w:pPr>
            <w:r>
              <w:t xml:space="preserve">Standard PII</w:t>
            </w:r>
          </w:p>
        </w:tc>
        <w:tc>
          <w:tcPr/>
          <w:p>
            <w:pPr>
              <w:pStyle w:val="Compact"/>
            </w:pPr>
            <w:r>
              <w:t xml:space="preserve">Billing records, insurance details, mobile money transactions</w:t>
            </w:r>
          </w:p>
        </w:tc>
      </w:tr>
      <w:tr>
        <w:tc>
          <w:tcPr/>
          <w:p>
            <w:pPr>
              <w:pStyle w:val="Compact"/>
            </w:pPr>
            <w:r>
              <w:t xml:space="preserve">Biometric</w:t>
            </w:r>
          </w:p>
        </w:tc>
        <w:tc>
          <w:tcPr/>
          <w:p>
            <w:pPr>
              <w:pStyle w:val="Compact"/>
            </w:pPr>
            <w:r>
              <w:t xml:space="preserve">Sensitive PII</w:t>
            </w:r>
          </w:p>
        </w:tc>
        <w:tc>
          <w:tcPr/>
          <w:p>
            <w:pPr>
              <w:pStyle w:val="Compact"/>
            </w:pPr>
            <w:r>
              <w:t xml:space="preserve">Fingerprint (if used for patient identification)</w:t>
            </w:r>
          </w:p>
        </w:tc>
      </w:tr>
    </w:tbl>
    <w:bookmarkEnd w:id="31"/>
    <w:bookmarkStart w:id="32" w:name="X4a6df77105a65cb40c0a670f9c1971026ddfb6c"/>
    <w:p>
      <w:pPr>
        <w:pStyle w:val="Heading4"/>
      </w:pPr>
      <w:r>
        <w:t xml:space="preserve">6.3 Legal Basis for Processing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Legal Basis</w:t>
            </w:r>
          </w:p>
        </w:tc>
        <w:tc>
          <w:tcPr/>
          <w:p>
            <w:pPr>
              <w:pStyle w:val="Compact"/>
            </w:pPr>
            <w:r>
              <w:t xml:space="preserve">PDPA Section</w:t>
            </w:r>
          </w:p>
        </w:tc>
        <w:tc>
          <w:tcPr/>
          <w:p>
            <w:pPr>
              <w:pStyle w:val="Compact"/>
            </w:pPr>
            <w:r>
              <w:t xml:space="preserve">Justification</w:t>
            </w:r>
          </w:p>
        </w:tc>
      </w:tr>
      <w:tr>
        <w:tc>
          <w:tcPr/>
          <w:p>
            <w:pPr>
              <w:pStyle w:val="Compact"/>
            </w:pPr>
            <w:r>
              <w:t xml:space="preserve">Consent</w:t>
            </w:r>
          </w:p>
        </w:tc>
        <w:tc>
          <w:tcPr/>
          <w:p>
            <w:pPr>
              <w:pStyle w:val="Compact"/>
            </w:pPr>
            <w:r>
              <w:t xml:space="preserve">Section 10</w:t>
            </w:r>
          </w:p>
        </w:tc>
        <w:tc>
          <w:tcPr/>
          <w:p>
            <w:pPr>
              <w:pStyle w:val="Compact"/>
            </w:pPr>
            <w:r>
              <w:t xml:space="preserve">Patient provides informed consent at registration</w:t>
            </w:r>
          </w:p>
        </w:tc>
      </w:tr>
      <w:tr>
        <w:tc>
          <w:tcPr/>
          <w:p>
            <w:pPr>
              <w:pStyle w:val="Compact"/>
            </w:pPr>
            <w:r>
              <w:t xml:space="preserve">Medical treatment necessity</w:t>
            </w:r>
          </w:p>
        </w:tc>
        <w:tc>
          <w:tcPr/>
          <w:p>
            <w:pPr>
              <w:pStyle w:val="Compact"/>
            </w:pPr>
            <w:r>
              <w:t xml:space="preserve">Section 10 exemption</w:t>
            </w:r>
          </w:p>
        </w:tc>
        <w:tc>
          <w:tcPr/>
          <w:p>
            <w:pPr>
              <w:pStyle w:val="Compact"/>
            </w:pPr>
            <w:r>
              <w:t xml:space="preserve">Processing necessary for clinical care delivery</w:t>
            </w:r>
          </w:p>
        </w:tc>
      </w:tr>
      <w:tr>
        <w:tc>
          <w:tcPr/>
          <w:p>
            <w:pPr>
              <w:pStyle w:val="Compact"/>
            </w:pPr>
            <w:r>
              <w:t xml:space="preserve">Public health obligation</w:t>
            </w:r>
          </w:p>
        </w:tc>
        <w:tc>
          <w:tcPr/>
          <w:p>
            <w:pPr>
              <w:pStyle w:val="Compact"/>
            </w:pPr>
            <w:r>
              <w:t xml:space="preserve">Section 10 exemption</w:t>
            </w:r>
          </w:p>
        </w:tc>
        <w:tc>
          <w:tcPr/>
          <w:p>
            <w:pPr>
              <w:pStyle w:val="Compact"/>
            </w:pPr>
            <w:r>
              <w:t xml:space="preserve">HMIS reporting, disease surveillance (IDSR)</w:t>
            </w:r>
          </w:p>
        </w:tc>
      </w:tr>
      <w:tr>
        <w:tc>
          <w:tcPr/>
          <w:p>
            <w:pPr>
              <w:pStyle w:val="Compact"/>
            </w:pPr>
            <w:r>
              <w:t xml:space="preserve">Legal obligation</w:t>
            </w:r>
          </w:p>
        </w:tc>
        <w:tc>
          <w:tcPr/>
          <w:p>
            <w:pPr>
              <w:pStyle w:val="Compact"/>
            </w:pPr>
            <w:r>
              <w:t xml:space="preserve">Section 10 exemption</w:t>
            </w:r>
          </w:p>
        </w:tc>
        <w:tc>
          <w:tcPr/>
          <w:p>
            <w:pPr>
              <w:pStyle w:val="Compact"/>
            </w:pPr>
            <w:r>
              <w:t xml:space="preserve">Narcotic register (NDA), tax records (URA)</w:t>
            </w:r>
          </w:p>
        </w:tc>
      </w:tr>
    </w:tbl>
    <w:bookmarkEnd w:id="32"/>
    <w:bookmarkStart w:id="33" w:name="X5c285d632d2c61764d81d3bb645cbd7b61a29bd"/>
    <w:p>
      <w:pPr>
        <w:pStyle w:val="Heading4"/>
      </w:pPr>
      <w:r>
        <w:t xml:space="preserve">6.4 Data Recipients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Recipient</w:t>
            </w:r>
          </w:p>
        </w:tc>
        <w:tc>
          <w:tcPr/>
          <w:p>
            <w:pPr>
              <w:pStyle w:val="Compact"/>
            </w:pPr>
            <w:r>
              <w:t xml:space="preserve">Data Shared</w:t>
            </w:r>
          </w:p>
        </w:tc>
        <w:tc>
          <w:tcPr/>
          <w:p>
            <w:pPr>
              <w:pStyle w:val="Compact"/>
            </w:pPr>
            <w:r>
              <w:t xml:space="preserve">Legal Basis</w:t>
            </w:r>
          </w:p>
        </w:tc>
        <w:tc>
          <w:tcPr/>
          <w:p>
            <w:pPr>
              <w:pStyle w:val="Compact"/>
            </w:pPr>
            <w:r>
              <w:t xml:space="preserve">Transfer Mechanism</w:t>
            </w:r>
          </w:p>
        </w:tc>
      </w:tr>
      <w:tr>
        <w:tc>
          <w:tcPr/>
          <w:p>
            <w:pPr>
              <w:pStyle w:val="Compact"/>
            </w:pPr>
            <w:r>
              <w:t xml:space="preserve">Treating clinicians (same facility)</w:t>
            </w:r>
          </w:p>
        </w:tc>
        <w:tc>
          <w:tcPr/>
          <w:p>
            <w:pPr>
              <w:pStyle w:val="Compact"/>
            </w:pPr>
            <w:r>
              <w:t xml:space="preserve">Full clinical record</w:t>
            </w:r>
          </w:p>
        </w:tc>
        <w:tc>
          <w:tcPr/>
          <w:p>
            <w:pPr>
              <w:pStyle w:val="Compact"/>
            </w:pPr>
            <w:r>
              <w:t xml:space="preserve">Treatment necessity</w:t>
            </w:r>
          </w:p>
        </w:tc>
        <w:tc>
          <w:tcPr/>
          <w:p>
            <w:pPr>
              <w:pStyle w:val="Compact"/>
            </w:pPr>
            <w:r>
              <w:t xml:space="preserve">Internal system access (RBAC)</w:t>
            </w:r>
          </w:p>
        </w:tc>
      </w:tr>
      <w:tr>
        <w:tc>
          <w:tcPr/>
          <w:p>
            <w:pPr>
              <w:pStyle w:val="Compact"/>
            </w:pPr>
            <w:r>
              <w:t xml:space="preserve">Clinicians (other facility)</w:t>
            </w:r>
          </w:p>
        </w:tc>
        <w:tc>
          <w:tcPr/>
          <w:p>
            <w:pPr>
              <w:pStyle w:val="Compact"/>
            </w:pPr>
            <w:r>
              <w:t xml:space="preserve">Identity only (name, age, sex, identifiers)</w:t>
            </w:r>
          </w:p>
        </w:tc>
        <w:tc>
          <w:tcPr/>
          <w:p>
            <w:pPr>
              <w:pStyle w:val="Compact"/>
            </w:pPr>
            <w:r>
              <w:t xml:space="preserve">Patient consent</w:t>
            </w:r>
          </w:p>
        </w:tc>
        <w:tc>
          <w:tcPr/>
          <w:p>
            <w:pPr>
              <w:pStyle w:val="Compact"/>
            </w:pPr>
            <w:r>
              <w:t xml:space="preserve">Cross-facility lookup API (FR-REG-010)</w:t>
            </w:r>
          </w:p>
        </w:tc>
      </w:tr>
      <w:tr>
        <w:tc>
          <w:tcPr/>
          <w:p>
            <w:pPr>
              <w:pStyle w:val="Compact"/>
            </w:pPr>
            <w:r>
              <w:t xml:space="preserve">Clinicians (emergency access)</w:t>
            </w:r>
          </w:p>
        </w:tc>
        <w:tc>
          <w:tcPr/>
          <w:p>
            <w:pPr>
              <w:pStyle w:val="Compact"/>
            </w:pPr>
            <w:r>
              <w:t xml:space="preserve">Allergies, medications, blood group, last 3 diagnoses</w:t>
            </w:r>
          </w:p>
        </w:tc>
        <w:tc>
          <w:tcPr/>
          <w:p>
            <w:pPr>
              <w:pStyle w:val="Compact"/>
            </w:pPr>
            <w:r>
              <w:t xml:space="preserve">Emergency exemption</w:t>
            </w:r>
          </w:p>
        </w:tc>
        <w:tc>
          <w:tcPr/>
          <w:p>
            <w:pPr>
              <w:pStyle w:val="Compact"/>
            </w:pPr>
            <w:r>
              <w:t xml:space="preserve">Break-the-glass access (FR-RBAC-006)</w:t>
            </w:r>
          </w:p>
        </w:tc>
      </w:tr>
      <w:tr>
        <w:tc>
          <w:tcPr/>
          <w:p>
            <w:pPr>
              <w:pStyle w:val="Compact"/>
            </w:pPr>
            <w:r>
              <w:t xml:space="preserve">Uganda MoH (DHIS2)</w:t>
            </w:r>
          </w:p>
        </w:tc>
        <w:tc>
          <w:tcPr/>
          <w:p>
            <w:pPr>
              <w:pStyle w:val="Compact"/>
            </w:pPr>
            <w:r>
              <w:t xml:space="preserve">De-identified aggregate data</w:t>
            </w:r>
          </w:p>
        </w:tc>
        <w:tc>
          <w:tcPr/>
          <w:p>
            <w:pPr>
              <w:pStyle w:val="Compact"/>
            </w:pPr>
            <w:r>
              <w:t xml:space="preserve">Public health obligation</w:t>
            </w:r>
          </w:p>
        </w:tc>
        <w:tc>
          <w:tcPr/>
          <w:p>
            <w:pPr>
              <w:pStyle w:val="Compact"/>
            </w:pPr>
            <w:r>
              <w:t xml:space="preserve">DHIS2 API push (NFR-HC-009)</w:t>
            </w:r>
          </w:p>
        </w:tc>
      </w:tr>
      <w:tr>
        <w:tc>
          <w:tcPr/>
          <w:p>
            <w:pPr>
              <w:pStyle w:val="Compact"/>
            </w:pPr>
            <w:r>
              <w:t xml:space="preserve">PEPFAR (DATIM)</w:t>
            </w:r>
          </w:p>
        </w:tc>
        <w:tc>
          <w:tcPr/>
          <w:p>
            <w:pPr>
              <w:pStyle w:val="Compact"/>
            </w:pPr>
            <w:r>
              <w:t xml:space="preserve">De-identified programme indicators</w:t>
            </w:r>
          </w:p>
        </w:tc>
        <w:tc>
          <w:tcPr/>
          <w:p>
            <w:pPr>
              <w:pStyle w:val="Compact"/>
            </w:pPr>
            <w:r>
              <w:t xml:space="preserve">Reporting agreement</w:t>
            </w:r>
          </w:p>
        </w:tc>
        <w:tc>
          <w:tcPr/>
          <w:p>
            <w:pPr>
              <w:pStyle w:val="Compact"/>
            </w:pPr>
            <w:r>
              <w:t xml:space="preserve">MER indicator export (BR-HMIS-005)</w:t>
            </w:r>
          </w:p>
        </w:tc>
      </w:tr>
      <w:tr>
        <w:tc>
          <w:tcPr/>
          <w:p>
            <w:pPr>
              <w:pStyle w:val="Compact"/>
            </w:pPr>
            <w:r>
              <w:t xml:space="preserve">Insurance providers</w:t>
            </w:r>
          </w:p>
        </w:tc>
        <w:tc>
          <w:tcPr/>
          <w:p>
            <w:pPr>
              <w:pStyle w:val="Compact"/>
            </w:pPr>
            <w:r>
              <w:t xml:space="preserve">Claim data (diagnosis, services, amounts)</w:t>
            </w:r>
          </w:p>
        </w:tc>
        <w:tc>
          <w:tcPr/>
          <w:p>
            <w:pPr>
              <w:pStyle w:val="Compact"/>
            </w:pPr>
            <w:r>
              <w:t xml:space="preserve">Contract performance</w:t>
            </w:r>
          </w:p>
        </w:tc>
        <w:tc>
          <w:tcPr/>
          <w:p>
            <w:pPr>
              <w:pStyle w:val="Compact"/>
            </w:pPr>
            <w:r>
              <w:t xml:space="preserve">Insurance claims API (Phase 2)</w:t>
            </w:r>
          </w:p>
        </w:tc>
      </w:tr>
      <w:tr>
        <w:tc>
          <w:tcPr/>
          <w:p>
            <w:pPr>
              <w:pStyle w:val="Compact"/>
            </w:pPr>
            <w:r>
              <w:t xml:space="preserve">Patient (portal)</w:t>
            </w:r>
          </w:p>
        </w:tc>
        <w:tc>
          <w:tcPr/>
          <w:p>
            <w:pPr>
              <w:pStyle w:val="Compact"/>
            </w:pPr>
            <w:r>
              <w:t xml:space="preserve">Own records only</w:t>
            </w:r>
          </w:p>
        </w:tc>
        <w:tc>
          <w:tcPr/>
          <w:p>
            <w:pPr>
              <w:pStyle w:val="Compact"/>
            </w:pPr>
            <w:r>
              <w:t xml:space="preserve">Data subject right</w:t>
            </w:r>
          </w:p>
        </w:tc>
        <w:tc>
          <w:tcPr/>
          <w:p>
            <w:pPr>
              <w:pStyle w:val="Compact"/>
            </w:pPr>
            <w:r>
              <w:t xml:space="preserve">Patient portal (read-only)</w:t>
            </w:r>
          </w:p>
        </w:tc>
      </w:tr>
    </w:tbl>
    <w:bookmarkEnd w:id="33"/>
    <w:bookmarkStart w:id="34" w:name="X48928c3812f8187e75f97d7d4adaae7d877fd3d"/>
    <w:p>
      <w:pPr>
        <w:pStyle w:val="Heading4"/>
      </w:pPr>
      <w:r>
        <w:t xml:space="preserve">6.5 Data Retention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Type</w:t>
            </w:r>
          </w:p>
        </w:tc>
        <w:tc>
          <w:tcPr/>
          <w:p>
            <w:pPr>
              <w:pStyle w:val="Compact"/>
            </w:pPr>
            <w:r>
              <w:t xml:space="preserve">Retention Period</w:t>
            </w:r>
          </w:p>
        </w:tc>
        <w:tc>
          <w:tcPr/>
          <w:p>
            <w:pPr>
              <w:pStyle w:val="Compact"/>
            </w:pPr>
            <w:r>
              <w:t xml:space="preserve">Basis</w:t>
            </w:r>
          </w:p>
        </w:tc>
      </w:tr>
      <w:tr>
        <w:tc>
          <w:tcPr/>
          <w:p>
            <w:pPr>
              <w:pStyle w:val="Compact"/>
            </w:pPr>
            <w:r>
              <w:t xml:space="preserve">[Refer to Section 1.3 Data Retention Schedule]</w:t>
            </w:r>
          </w:p>
        </w:tc>
        <w:tc>
          <w:tcPr/>
          <w:p>
            <w:pPr>
              <w:pStyle w:val="Compact"/>
            </w:pPr>
          </w:p>
        </w:tc>
        <w:tc>
          <w:tcPr/>
          <w:p>
            <w:pPr>
              <w:pStyle w:val="Compact"/>
            </w:pPr>
          </w:p>
        </w:tc>
      </w:tr>
    </w:tbl>
    <w:bookmarkEnd w:id="34"/>
    <w:bookmarkStart w:id="35" w:name="Xc6bd5cd95b8a73e9abeef59c3b6515a321952ba"/>
    <w:p>
      <w:pPr>
        <w:pStyle w:val="Heading4"/>
      </w:pPr>
      <w:r>
        <w:t xml:space="preserve">6.6 Security Measures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Implementation</w:t>
            </w:r>
          </w:p>
        </w:tc>
      </w:tr>
      <w:tr>
        <w:tc>
          <w:tcPr/>
          <w:p>
            <w:pPr>
              <w:pStyle w:val="Compact"/>
            </w:pPr>
            <w:r>
              <w:t xml:space="preserve">Encryption at rest</w:t>
            </w:r>
          </w:p>
        </w:tc>
        <w:tc>
          <w:tcPr/>
          <w:p>
            <w:pPr>
              <w:pStyle w:val="Compact"/>
            </w:pPr>
            <w:r>
              <w:t xml:space="preserve">AES-256-GCM for all patient health data (NFR-HC-002)</w:t>
            </w:r>
          </w:p>
        </w:tc>
      </w:tr>
      <w:tr>
        <w:tc>
          <w:tcPr/>
          <w:p>
            <w:pPr>
              <w:pStyle w:val="Compact"/>
            </w:pPr>
            <w:r>
              <w:t xml:space="preserve">Encryption in transit</w:t>
            </w:r>
          </w:p>
        </w:tc>
        <w:tc>
          <w:tcPr/>
          <w:p>
            <w:pPr>
              <w:pStyle w:val="Compact"/>
            </w:pPr>
            <w:r>
              <w:t xml:space="preserve">TLS 1.2+ on all endpoints (NFR-HC-003)</w:t>
            </w:r>
          </w:p>
        </w:tc>
      </w:tr>
      <w:tr>
        <w:tc>
          <w:tcPr/>
          <w:p>
            <w:pPr>
              <w:pStyle w:val="Compact"/>
            </w:pPr>
            <w:r>
              <w:t xml:space="preserve">Access control</w:t>
            </w:r>
          </w:p>
        </w:tc>
        <w:tc>
          <w:tcPr/>
          <w:p>
            <w:pPr>
              <w:pStyle w:val="Compact"/>
            </w:pPr>
            <w:r>
              <w:t xml:space="preserve">RBAC (18 roles) + ABAC (sensitive records) (FR-RBAC-001, NFR-HC-010)</w:t>
            </w:r>
          </w:p>
        </w:tc>
      </w:tr>
      <w:tr>
        <w:tc>
          <w:tcPr/>
          <w:p>
            <w:pPr>
              <w:pStyle w:val="Compact"/>
            </w:pPr>
            <w:r>
              <w:t xml:space="preserve">Session management</w:t>
            </w:r>
          </w:p>
        </w:tc>
        <w:tc>
          <w:tcPr/>
          <w:p>
            <w:pPr>
              <w:pStyle w:val="Compact"/>
            </w:pPr>
            <w:r>
              <w:t xml:space="preserve">15-minute timeout, MFA for admins (NFR-HC-004, NFR-HC-005)</w:t>
            </w:r>
          </w:p>
        </w:tc>
      </w:tr>
      <w:tr>
        <w:tc>
          <w:tcPr/>
          <w:p>
            <w:pPr>
              <w:pStyle w:val="Compact"/>
            </w:pPr>
            <w:r>
              <w:t xml:space="preserve">Audit trail</w:t>
            </w:r>
          </w:p>
        </w:tc>
        <w:tc>
          <w:tcPr/>
          <w:p>
            <w:pPr>
              <w:pStyle w:val="Compact"/>
            </w:pPr>
            <w:r>
              <w:t xml:space="preserve">Tamper-proof log of all PHI operations (NFR-HC-001)</w:t>
            </w:r>
          </w:p>
        </w:tc>
      </w:tr>
      <w:tr>
        <w:tc>
          <w:tcPr/>
          <w:p>
            <w:pPr>
              <w:pStyle w:val="Compact"/>
            </w:pPr>
            <w:r>
              <w:t xml:space="preserve">Tenant isolation</w:t>
            </w:r>
          </w:p>
        </w:tc>
        <w:tc>
          <w:tcPr/>
          <w:p>
            <w:pPr>
              <w:pStyle w:val="Compact"/>
            </w:pPr>
            <w:r>
              <w:rPr>
                <w:rStyle w:val="VerbatimChar"/>
              </w:rPr>
              <w:t xml:space="preserve">facility_id</w:t>
            </w:r>
            <w:r>
              <w:t xml:space="preserve"> </w:t>
            </w:r>
            <w:r>
              <w:t xml:space="preserve">WHERE clause + Eloquent global scope (NFR-HC-015)</w:t>
            </w:r>
          </w:p>
        </w:tc>
      </w:tr>
      <w:tr>
        <w:tc>
          <w:tcPr/>
          <w:p>
            <w:pPr>
              <w:pStyle w:val="Compact"/>
            </w:pPr>
            <w:r>
              <w:t xml:space="preserve">Backup</w:t>
            </w:r>
          </w:p>
        </w:tc>
        <w:tc>
          <w:tcPr/>
          <w:p>
            <w:pPr>
              <w:pStyle w:val="Compact"/>
            </w:pPr>
            <w:r>
              <w:t xml:space="preserve">Daily automated backup, RPO 24h, RTO 4h (NFR-HC-020)</w:t>
            </w:r>
          </w:p>
        </w:tc>
      </w:tr>
      <w:tr>
        <w:tc>
          <w:tcPr/>
          <w:p>
            <w:pPr>
              <w:pStyle w:val="Compact"/>
            </w:pPr>
            <w:r>
              <w:t xml:space="preserve">Breach response</w:t>
            </w:r>
          </w:p>
        </w:tc>
        <w:tc>
          <w:tcPr/>
          <w:p>
            <w:pPr>
              <w:pStyle w:val="Compact"/>
            </w:pPr>
            <w:r>
              <w:t xml:space="preserve">72-hour breach impact report, SMS notification (NFR-HC-008)</w:t>
            </w:r>
          </w:p>
        </w:tc>
      </w:tr>
    </w:tbl>
    <w:bookmarkEnd w:id="35"/>
    <w:bookmarkStart w:id="36" w:name="X27968b264e7acdb1f482a3431cf5742df4018cf"/>
    <w:p>
      <w:pPr>
        <w:pStyle w:val="Heading4"/>
      </w:pPr>
      <w:r>
        <w:t xml:space="preserve">6.7 Risk Assessment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Risk</w:t>
            </w:r>
          </w:p>
        </w:tc>
        <w:tc>
          <w:tcPr/>
          <w:p>
            <w:pPr>
              <w:pStyle w:val="Compact"/>
            </w:pPr>
            <w:r>
              <w:t xml:space="preserve">Likelihood (1-5)</w:t>
            </w:r>
          </w:p>
        </w:tc>
        <w:tc>
          <w:tcPr/>
          <w:p>
            <w:pPr>
              <w:pStyle w:val="Compact"/>
            </w:pPr>
            <w:r>
              <w:t xml:space="preserve">Impact (1-5)</w:t>
            </w:r>
          </w:p>
        </w:tc>
        <w:tc>
          <w:tcPr/>
          <w:p>
            <w:pPr>
              <w:pStyle w:val="Compact"/>
            </w:pPr>
            <w:r>
              <w:t xml:space="preserve">Risk Score</w:t>
            </w:r>
          </w:p>
        </w:tc>
        <w:tc>
          <w:tcPr/>
          <w:p>
            <w:pPr>
              <w:pStyle w:val="Compact"/>
            </w:pPr>
            <w:r>
              <w:t xml:space="preserve">Mitigation</w:t>
            </w:r>
          </w:p>
        </w:tc>
      </w:tr>
      <w:tr>
        <w:tc>
          <w:tcPr/>
          <w:p>
            <w:pPr>
              <w:pStyle w:val="Compact"/>
            </w:pPr>
            <w:r>
              <w:t xml:space="preserve">Unauthorised access to clinical records</w:t>
            </w:r>
          </w:p>
        </w:tc>
        <w:tc>
          <w:tcPr/>
          <w:p>
            <w:pPr>
              <w:pStyle w:val="Compact"/>
            </w:pPr>
            <w:r>
              <w:t xml:space="preserve">2</w:t>
            </w:r>
          </w:p>
        </w:tc>
        <w:tc>
          <w:tcPr/>
          <w:p>
            <w:pPr>
              <w:pStyle w:val="Compact"/>
            </w:pPr>
            <w:r>
              <w:t xml:space="preserve">5</w:t>
            </w:r>
          </w:p>
        </w:tc>
        <w:tc>
          <w:tcPr/>
          <w:p>
            <w:pPr>
              <w:pStyle w:val="Compact"/>
            </w:pPr>
            <w:r>
              <w:t xml:space="preserve">10</w:t>
            </w:r>
          </w:p>
        </w:tc>
        <w:tc>
          <w:tcPr/>
          <w:p>
            <w:pPr>
              <w:pStyle w:val="Compact"/>
            </w:pPr>
            <w:r>
              <w:t xml:space="preserve">RBAC, ABAC, MFA, session timeout, audit trail</w:t>
            </w:r>
          </w:p>
        </w:tc>
      </w:tr>
      <w:tr>
        <w:tc>
          <w:tcPr/>
          <w:p>
            <w:pPr>
              <w:pStyle w:val="Compact"/>
            </w:pPr>
            <w:r>
              <w:t xml:space="preserve">Cross-tenant data leakage</w:t>
            </w:r>
          </w:p>
        </w:tc>
        <w:tc>
          <w:tcPr/>
          <w:p>
            <w:pPr>
              <w:pStyle w:val="Compact"/>
            </w:pPr>
            <w:r>
              <w:t xml:space="preserve">1</w:t>
            </w:r>
          </w:p>
        </w:tc>
        <w:tc>
          <w:tcPr/>
          <w:p>
            <w:pPr>
              <w:pStyle w:val="Compact"/>
            </w:pPr>
            <w:r>
              <w:t xml:space="preserve">5</w:t>
            </w:r>
          </w:p>
        </w:tc>
        <w:tc>
          <w:tcPr/>
          <w:p>
            <w:pPr>
              <w:pStyle w:val="Compact"/>
            </w:pPr>
            <w:r>
              <w:t xml:space="preserve">5</w:t>
            </w:r>
          </w:p>
        </w:tc>
        <w:tc>
          <w:tcPr/>
          <w:p>
            <w:pPr>
              <w:pStyle w:val="Compact"/>
            </w:pPr>
            <w:r>
              <w:t xml:space="preserve">Tenant isolation at repository, global scope, and CI audit rule</w:t>
            </w:r>
          </w:p>
        </w:tc>
      </w:tr>
      <w:tr>
        <w:tc>
          <w:tcPr/>
          <w:p>
            <w:pPr>
              <w:pStyle w:val="Compact"/>
            </w:pPr>
            <w:r>
              <w:t xml:space="preserve">HIV status disclosure</w:t>
            </w:r>
          </w:p>
        </w:tc>
        <w:tc>
          <w:tcPr/>
          <w:p>
            <w:pPr>
              <w:pStyle w:val="Compact"/>
            </w:pPr>
            <w:r>
              <w:t xml:space="preserve">2</w:t>
            </w:r>
          </w:p>
        </w:tc>
        <w:tc>
          <w:tcPr/>
          <w:p>
            <w:pPr>
              <w:pStyle w:val="Compact"/>
            </w:pPr>
            <w:r>
              <w:t xml:space="preserve">5</w:t>
            </w:r>
          </w:p>
        </w:tc>
        <w:tc>
          <w:tcPr/>
          <w:p>
            <w:pPr>
              <w:pStyle w:val="Compact"/>
            </w:pPr>
            <w:r>
              <w:t xml:space="preserve">10</w:t>
            </w:r>
          </w:p>
        </w:tc>
        <w:tc>
          <w:tcPr/>
          <w:p>
            <w:pPr>
              <w:pStyle w:val="Compact"/>
            </w:pPr>
            <w:r>
              <w:t xml:space="preserve">ABAC sensitive record tier, break-the-glass audit, patient SMS notification</w:t>
            </w:r>
          </w:p>
        </w:tc>
      </w:tr>
      <w:tr>
        <w:tc>
          <w:tcPr/>
          <w:p>
            <w:pPr>
              <w:pStyle w:val="Compact"/>
            </w:pPr>
            <w:r>
              <w:t xml:space="preserve">Insider threat (staff accessing without justification)</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Audit trail, ABAC, post-access review, override monitoring</w:t>
            </w:r>
          </w:p>
        </w:tc>
      </w:tr>
      <w:tr>
        <w:tc>
          <w:tcPr/>
          <w:p>
            <w:pPr>
              <w:pStyle w:val="Compact"/>
            </w:pPr>
            <w:r>
              <w:t xml:space="preserve">Data loss from power failure</w:t>
            </w:r>
          </w:p>
        </w:tc>
        <w:tc>
          <w:tcPr/>
          <w:p>
            <w:pPr>
              <w:pStyle w:val="Compact"/>
            </w:pPr>
            <w:r>
              <w:t xml:space="preserve">2</w:t>
            </w:r>
          </w:p>
        </w:tc>
        <w:tc>
          <w:tcPr/>
          <w:p>
            <w:pPr>
              <w:pStyle w:val="Compact"/>
            </w:pPr>
            <w:r>
              <w:t xml:space="preserve">4</w:t>
            </w:r>
          </w:p>
        </w:tc>
        <w:tc>
          <w:tcPr/>
          <w:p>
            <w:pPr>
              <w:pStyle w:val="Compact"/>
            </w:pPr>
            <w:r>
              <w:t xml:space="preserve">8</w:t>
            </w:r>
          </w:p>
        </w:tc>
        <w:tc>
          <w:tcPr/>
          <w:p>
            <w:pPr>
              <w:pStyle w:val="Compact"/>
            </w:pPr>
            <w:r>
              <w:t xml:space="preserve">Auto-save, offline queue (72h), daily backup</w:t>
            </w:r>
          </w:p>
        </w:tc>
      </w:tr>
      <w:tr>
        <w:tc>
          <w:tcPr/>
          <w:p>
            <w:pPr>
              <w:pStyle w:val="Compact"/>
            </w:pPr>
            <w:r>
              <w:t xml:space="preserve">Cross-border transfer without consent</w:t>
            </w:r>
          </w:p>
        </w:tc>
        <w:tc>
          <w:tcPr/>
          <w:p>
            <w:pPr>
              <w:pStyle w:val="Compact"/>
            </w:pPr>
            <w:r>
              <w:t xml:space="preserve">1</w:t>
            </w:r>
          </w:p>
        </w:tc>
        <w:tc>
          <w:tcPr/>
          <w:p>
            <w:pPr>
              <w:pStyle w:val="Compact"/>
            </w:pPr>
            <w:r>
              <w:t xml:space="preserve">4</w:t>
            </w:r>
          </w:p>
        </w:tc>
        <w:tc>
          <w:tcPr/>
          <w:p>
            <w:pPr>
              <w:pStyle w:val="Compact"/>
            </w:pPr>
            <w:r>
              <w:t xml:space="preserve">4</w:t>
            </w:r>
          </w:p>
        </w:tc>
        <w:tc>
          <w:tcPr/>
          <w:p>
            <w:pPr>
              <w:pStyle w:val="Compact"/>
            </w:pPr>
            <w:r>
              <w:t xml:space="preserve">Data residency enforcement per regulatory profile</w:t>
            </w:r>
          </w:p>
        </w:tc>
      </w:tr>
    </w:tbl>
    <w:bookmarkEnd w:id="36"/>
    <w:bookmarkStart w:id="37" w:name="X73039409ac73923f133d0959855039672052d9c"/>
    <w:p>
      <w:pPr>
        <w:pStyle w:val="Heading4"/>
      </w:pPr>
      <w:r>
        <w:t xml:space="preserve">6.8 Mitigation Measures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 Score &gt;= 12</w:t>
            </w:r>
          </w:p>
        </w:tc>
        <w:tc>
          <w:tcPr/>
          <w:p>
            <w:pPr>
              <w:pStyle w:val="Compact"/>
            </w:pPr>
            <w:r>
              <w:t xml:space="preserve">Specific Controls</w:t>
            </w:r>
          </w:p>
        </w:tc>
      </w:tr>
      <w:tr>
        <w:tc>
          <w:tcPr/>
          <w:p>
            <w:pPr>
              <w:pStyle w:val="Compact"/>
            </w:pPr>
            <w:r>
              <w:t xml:space="preserve">Insider threat (12)</w:t>
            </w:r>
          </w:p>
        </w:tc>
        <w:tc>
          <w:tcPr/>
          <w:p>
            <w:pPr>
              <w:pStyle w:val="Compact"/>
            </w:pPr>
            <w:r>
              <w:t xml:space="preserve">All PHI access logged. ABAC restricts sensitive records. Post-access review for break-the-glass. Override rate monitoring per facility. Anomalous access patterns trigger Facility Admin alert.</w:t>
            </w:r>
          </w:p>
        </w:tc>
      </w:tr>
    </w:tbl>
    <w:bookmarkEnd w:id="37"/>
    <w:bookmarkStart w:id="38" w:name="Xb03036d1e2ac30f7b506f3f44fd6391dd872c11"/>
    <w:p>
      <w:pPr>
        <w:pStyle w:val="Heading4"/>
      </w:pPr>
      <w:r>
        <w:t xml:space="preserve">6.9 DPIA Decision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Decision</w:t>
            </w:r>
          </w:p>
        </w:tc>
        <w:tc>
          <w:tcPr/>
          <w:p>
            <w:pPr>
              <w:pStyle w:val="Compact"/>
            </w:pPr>
            <w:r>
              <w:t xml:space="preserve">Criteria</w:t>
            </w:r>
          </w:p>
        </w:tc>
      </w:tr>
      <w:tr>
        <w:tc>
          <w:tcPr/>
          <w:p>
            <w:pPr>
              <w:pStyle w:val="Compact"/>
            </w:pPr>
            <w:r>
              <w:rPr>
                <w:b/>
                <w:bCs/>
              </w:rPr>
              <w:t xml:space="preserve">Proceed</w:t>
            </w:r>
          </w:p>
        </w:tc>
        <w:tc>
          <w:tcPr/>
          <w:p>
            <w:pPr>
              <w:pStyle w:val="Compact"/>
            </w:pPr>
            <w:r>
              <w:t xml:space="preserve">All risks mitigated to acceptable level (score &lt; 12 after controls)</w:t>
            </w:r>
          </w:p>
        </w:tc>
      </w:tr>
      <w:tr>
        <w:tc>
          <w:tcPr/>
          <w:p>
            <w:pPr>
              <w:pStyle w:val="Compact"/>
            </w:pPr>
            <w:r>
              <w:rPr>
                <w:b/>
                <w:bCs/>
              </w:rPr>
              <w:t xml:space="preserve">Proceed with conditions</w:t>
            </w:r>
          </w:p>
        </w:tc>
        <w:tc>
          <w:tcPr/>
          <w:p>
            <w:pPr>
              <w:pStyle w:val="Compact"/>
            </w:pPr>
            <w:r>
              <w:t xml:space="preserve">Residual risks &gt;= 12 have approved monitoring plans</w:t>
            </w:r>
          </w:p>
        </w:tc>
      </w:tr>
      <w:tr>
        <w:tc>
          <w:tcPr/>
          <w:p>
            <w:pPr>
              <w:pStyle w:val="Compact"/>
            </w:pPr>
            <w:r>
              <w:rPr>
                <w:b/>
                <w:bCs/>
              </w:rPr>
              <w:t xml:space="preserve">Do not proceed</w:t>
            </w:r>
          </w:p>
        </w:tc>
        <w:tc>
          <w:tcPr/>
          <w:p>
            <w:pPr>
              <w:pStyle w:val="Compact"/>
            </w:pPr>
            <w:r>
              <w:t xml:space="preserve">Unmitigated critical risks exist</w:t>
            </w:r>
          </w:p>
        </w:tc>
      </w:tr>
    </w:tbl>
    <w:p>
      <w:pPr>
        <w:pStyle w:val="BodyText"/>
      </w:pPr>
      <w:r>
        <w:rPr>
          <w:b/>
          <w:bCs/>
        </w:rPr>
        <w:t xml:space="preserve">Decision:</w:t>
      </w:r>
      <w:r>
        <w:t xml:space="preserve"> </w:t>
      </w:r>
      <w:r>
        <w:t xml:space="preserve">[Proceed / Proceed with conditions / Do not proceed]</w:t>
      </w:r>
      <w:r>
        <w:t xml:space="preserve"> </w:t>
      </w:r>
      <w:r>
        <w:rPr>
          <w:b/>
          <w:bCs/>
        </w:rPr>
        <w:t xml:space="preserve">DPO Sign-off:</w:t>
      </w:r>
      <w:r>
        <w:t xml:space="preserve"> </w:t>
      </w:r>
      <w:r>
        <w:t xml:space="preserve">[Name, date]</w:t>
      </w:r>
    </w:p>
    <w:p>
      <w:r>
        <w:pict>
          <v:rect style="width:0;height:1.5pt" o:hralign="center" o:hrstd="t" o:hr="t"/>
        </w:pict>
      </w:r>
    </w:p>
    <w:bookmarkEnd w:id="38"/>
    <w:bookmarkEnd w:id="39"/>
    <w:bookmarkEnd w:id="40"/>
    <w:bookmarkStart w:id="41" w:name="appendix-a-regulatory-contact-register"/>
    <w:p>
      <w:pPr>
        <w:pStyle w:val="Heading2"/>
      </w:pPr>
      <w:r>
        <w:t xml:space="preserve">Appendix A: Regulatory Contact Register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Authority</w:t>
            </w:r>
          </w:p>
        </w:tc>
        <w:tc>
          <w:tcPr/>
          <w:p>
            <w:pPr>
              <w:pStyle w:val="Compact"/>
            </w:pPr>
            <w:r>
              <w:t xml:space="preserve">Contact Purpose</w:t>
            </w:r>
          </w:p>
        </w:tc>
        <w:tc>
          <w:tcPr/>
          <w:p>
            <w:pPr>
              <w:pStyle w:val="Compact"/>
            </w:pPr>
            <w:r>
              <w:t xml:space="preserve">Status</w:t>
            </w:r>
          </w:p>
        </w:tc>
      </w:tr>
      <w:tr>
        <w:tc>
          <w:tcPr/>
          <w:p>
            <w:pPr>
              <w:pStyle w:val="Compact"/>
            </w:pPr>
            <w:r>
              <w:t xml:space="preserve">Uganda Medical and Dental Practitioners Council (UMDPC)</w:t>
            </w:r>
          </w:p>
        </w:tc>
        <w:tc>
          <w:tcPr/>
          <w:p>
            <w:pPr>
              <w:pStyle w:val="Compact"/>
            </w:pPr>
            <w:r>
              <w:t xml:space="preserve">Software registration enquiry (Gap Analysis HIGH-003)</w:t>
            </w:r>
          </w:p>
        </w:tc>
        <w:tc>
          <w:tcPr/>
          <w:p>
            <w:pPr>
              <w:pStyle w:val="Compact"/>
            </w:pPr>
            <w:r>
              <w:t xml:space="preserve">[CONTEXT-GAP: Enquiry not yet submitted]</w:t>
            </w:r>
          </w:p>
        </w:tc>
      </w:tr>
      <w:tr>
        <w:tc>
          <w:tcPr/>
          <w:p>
            <w:pPr>
              <w:pStyle w:val="Compact"/>
            </w:pPr>
            <w:r>
              <w:t xml:space="preserve">National Drug Authority (NDA), Kampala</w:t>
            </w:r>
          </w:p>
        </w:tc>
        <w:tc>
          <w:tcPr/>
          <w:p>
            <w:pPr>
              <w:pStyle w:val="Compact"/>
            </w:pPr>
            <w:r>
              <w:t xml:space="preserve">Drug interaction database licensing; software guidance for prescribing/dispensing</w:t>
            </w:r>
          </w:p>
        </w:tc>
        <w:tc>
          <w:tcPr/>
          <w:p>
            <w:pPr>
              <w:pStyle w:val="Compact"/>
            </w:pPr>
            <w:r>
              <w:t xml:space="preserve">[CONTEXT-GAP: Enquiry not yet submitted]</w:t>
            </w:r>
          </w:p>
        </w:tc>
      </w:tr>
      <w:tr>
        <w:tc>
          <w:tcPr/>
          <w:p>
            <w:pPr>
              <w:pStyle w:val="Compact"/>
            </w:pPr>
            <w:r>
              <w:t xml:space="preserve">Personal Data Protection Office (PDPO), Uganda</w:t>
            </w:r>
          </w:p>
        </w:tc>
        <w:tc>
          <w:tcPr/>
          <w:p>
            <w:pPr>
              <w:pStyle w:val="Compact"/>
            </w:pPr>
            <w:r>
              <w:t xml:space="preserve">PDPA compliance registration; breach notification protocol</w:t>
            </w:r>
          </w:p>
        </w:tc>
        <w:tc>
          <w:tcPr/>
          <w:p>
            <w:pPr>
              <w:pStyle w:val="Compact"/>
            </w:pPr>
            <w:r>
              <w:t xml:space="preserve">[CONTEXT-GAP: Registration not yet completed]</w:t>
            </w:r>
          </w:p>
        </w:tc>
      </w:tr>
      <w:tr>
        <w:tc>
          <w:tcPr/>
          <w:p>
            <w:pPr>
              <w:pStyle w:val="Compact"/>
            </w:pPr>
            <w:r>
              <w:t xml:space="preserve">Uganda MoH eHealth Division</w:t>
            </w:r>
          </w:p>
        </w:tc>
        <w:tc>
          <w:tcPr/>
          <w:p>
            <w:pPr>
              <w:pStyle w:val="Compact"/>
            </w:pPr>
            <w:r>
              <w:t xml:space="preserve">HMIS form version updates; DHIS2 integration approval</w:t>
            </w:r>
          </w:p>
        </w:tc>
        <w:tc>
          <w:tcPr/>
          <w:p>
            <w:pPr>
              <w:pStyle w:val="Compact"/>
            </w:pPr>
            <w:r>
              <w:t xml:space="preserve">[CONTEXT-GAP: Engagement not yet initiated]</w:t>
            </w:r>
          </w:p>
        </w:tc>
      </w:tr>
      <w:tr>
        <w:tc>
          <w:tcPr/>
          <w:p>
            <w:pPr>
              <w:pStyle w:val="Compact"/>
            </w:pPr>
            <w:r>
              <w:t xml:space="preserve">Data protection lawyer (Uganda)</w:t>
            </w:r>
          </w:p>
        </w:tc>
        <w:tc>
          <w:tcPr/>
          <w:p>
            <w:pPr>
              <w:pStyle w:val="Compact"/>
            </w:pPr>
            <w:r>
              <w:t xml:space="preserve">Health data legal review (Gap Analysis HIGH-002)</w:t>
            </w:r>
          </w:p>
        </w:tc>
        <w:tc>
          <w:tcPr/>
          <w:p>
            <w:pPr>
              <w:pStyle w:val="Compact"/>
            </w:pPr>
            <w:r>
              <w:t xml:space="preserve">[CONTEXT-GAP: Lawyer not yet engaged]</w:t>
            </w:r>
          </w:p>
        </w:tc>
      </w:tr>
    </w:tbl>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2026-04-03T15:11:34Z</dcterms:created>
  <dcterms:modified xsi:type="dcterms:W3CDTF">2026-04-03T15:11:34Z</dcterms:modified>
</cp:coreProperties>
</file>

<file path=docProps/custom.xml><?xml version="1.0" encoding="utf-8"?>
<Properties xmlns="http://schemas.openxmlformats.org/officeDocument/2006/custom-properties" xmlns:vt="http://schemas.openxmlformats.org/officeDocument/2006/docPropsVTypes"/>
</file>