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X73c918b49ede0d950d858567c8e24401f1a41bd"/>
    <w:p>
      <w:pPr>
        <w:pStyle w:val="Heading1"/>
      </w:pPr>
      <w:r>
        <w:t xml:space="preserve">Vision Statement for the Medic8 Healthcare Management System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Project</w:t>
            </w:r>
          </w:p>
        </w:tc>
        <w:tc>
          <w:tcPr/>
          <w:p>
            <w:pPr>
              <w:pStyle w:val="Compact"/>
            </w:pPr>
            <w:r>
              <w:t xml:space="preserve">Medic8</w:t>
            </w:r>
          </w:p>
        </w:tc>
      </w:tr>
      <w:tr>
        <w:tc>
          <w:tcPr/>
          <w:p>
            <w:pPr>
              <w:pStyle w:val="Compact"/>
            </w:pPr>
            <w:r>
              <w:t xml:space="preserve">Date</w:t>
            </w:r>
          </w:p>
        </w:tc>
        <w:tc>
          <w:tcPr/>
          <w:p>
            <w:pPr>
              <w:pStyle w:val="Compact"/>
            </w:pPr>
            <w:r>
              <w:t xml:space="preserve">2026-04-03</w:t>
            </w:r>
          </w:p>
        </w:tc>
      </w:tr>
      <w:tr>
        <w:tc>
          <w:tcPr/>
          <w:p>
            <w:pPr>
              <w:pStyle w:val="Compact"/>
            </w:pPr>
            <w:r>
              <w:t xml:space="preserve">Version</w:t>
            </w:r>
          </w:p>
        </w:tc>
        <w:tc>
          <w:tcPr/>
          <w:p>
            <w:pPr>
              <w:pStyle w:val="Compact"/>
            </w:pPr>
            <w:r>
              <w:t xml:space="preserve">1.0</w:t>
            </w:r>
          </w:p>
        </w:tc>
      </w:tr>
      <w:tr>
        <w:tc>
          <w:tcPr/>
          <w:p>
            <w:pPr>
              <w:pStyle w:val="Compact"/>
            </w:pPr>
            <w:r>
              <w:t xml:space="preserve">Authors</w:t>
            </w:r>
          </w:p>
        </w:tc>
        <w:tc>
          <w:tcPr/>
          <w:p>
            <w:pPr>
              <w:pStyle w:val="Compact"/>
            </w:pPr>
            <w:r>
              <w:t xml:space="preserve">Peter -- Chwezi Core Concepts (chwezicore.com)</w:t>
            </w:r>
          </w:p>
        </w:tc>
      </w:tr>
      <w:tr>
        <w:tc>
          <w:tcPr/>
          <w:p>
            <w:pPr>
              <w:pStyle w:val="Compact"/>
            </w:pPr>
            <w:r>
              <w:t xml:space="preserve">Standard</w:t>
            </w:r>
          </w:p>
        </w:tc>
        <w:tc>
          <w:tcPr/>
          <w:p>
            <w:pPr>
              <w:pStyle w:val="Compact"/>
            </w:pPr>
            <w:r>
              <w:t xml:space="preserve">IEEE 29148-2018 Sec 6.2</w:t>
            </w:r>
          </w:p>
        </w:tc>
      </w:tr>
    </w:tbl>
    <w:p>
      <w:r>
        <w:pict>
          <v:rect style="width:0;height:1.5pt" o:hralign="center" o:hrstd="t" o:hr="t"/>
        </w:pict>
      </w:r>
    </w:p>
    <w:bookmarkStart w:id="9" w:name="Xada5ed84dd10b97d800eb17c6adc345631585fb"/>
    <w:p>
      <w:pPr>
        <w:pStyle w:val="Heading2"/>
      </w:pPr>
      <w:r>
        <w:t xml:space="preserve">1 Elevator Pitch</w:t>
      </w:r>
    </w:p>
    <w:p>
      <w:pPr>
        <w:pStyle w:val="FirstParagraph"/>
      </w:pPr>
      <w:r>
        <w:t xml:space="preserve">Hospitals and clinics across Sub-Saharan Africa operate on fragmented, paper-heavy workflows while existing digital alternatives impose hidden costs: OpenMRS carries a 3-year Total Cost of Ownership (TCO) of USD 35,000--130,000 once implementation, training, and hosting are factored in, and ClinicMaster remains desktop-bound with no offline resilience, mobile money integration, or FHIR compliance. Medic8 is an enterprise-grade, multi-tenant SaaS healthcare management system engineered Africa-first and globally configurable, delivering integrated clinical, financial, and reporting modules at a 3-year TCO of USD 9,450--71,100 -- lower than the "free" open-source alternative. The system operates offline-first for clinical workflows, integrates mobile money payments natively, auto-generates Uganda MoH HMIS reports from clinical data, and exposes a FHIR R4 API from day 1.</w:t>
      </w:r>
    </w:p>
    <w:p>
      <w:r>
        <w:pict>
          <v:rect style="width:0;height:1.5pt" o:hralign="center" o:hrstd="t" o:hr="t"/>
        </w:pict>
      </w:r>
    </w:p>
    <w:bookmarkEnd w:id="9"/>
    <w:bookmarkStart w:id="12" w:name="X8ed396314addb09a47a75927ce0a90a4efe469d"/>
    <w:p>
      <w:pPr>
        <w:pStyle w:val="Heading2"/>
      </w:pPr>
      <w:r>
        <w:t xml:space="preserve">2 Product Positioning Statements</w:t>
      </w:r>
    </w:p>
    <w:bookmarkStart w:id="10" w:name="X4b5842cefebc22a2a9ff61ae5d8fff6fa8dccc5"/>
    <w:p>
      <w:pPr>
        <w:pStyle w:val="Heading3"/>
      </w:pPr>
      <w:r>
        <w:t xml:space="preserve">2.1 Against ClinicMaster</w:t>
      </w:r>
    </w:p>
    <w:p>
      <w:pPr>
        <w:pStyle w:val="FirstParagraph"/>
      </w:pPr>
      <w:r>
        <w:t xml:space="preserve">For private clinics and hospitals currently using on-premise healthcare software who need mobile-first access, offline resilience, and integrated mobile money billing, Medic8 is a multi-tenant SaaS healthcare management platform that eliminates on-site server maintenance, auto-generates HMIS reports, and provides a patient-facing mobile app with mobile money payments. Unlike ClinicMaster, which requires on-premise server infrastructure, offers no FHIR API, no offline-first architecture, no DHIS2 direct integration, no mobile money API, and no patient mobile app, Medic8 delivers all 15 of these capabilities as standard features within a transparent, published monthly subscription in UGX.</w:t>
      </w:r>
    </w:p>
    <w:bookmarkEnd w:id="10"/>
    <w:bookmarkStart w:id="11" w:name="X1ab5d90c9af192a172f91bff776b01b7df6d129"/>
    <w:p>
      <w:pPr>
        <w:pStyle w:val="Heading3"/>
      </w:pPr>
      <w:r>
        <w:t xml:space="preserve">2.2 Against OpenMRS</w:t>
      </w:r>
    </w:p>
    <w:p>
      <w:pPr>
        <w:pStyle w:val="FirstParagraph"/>
      </w:pPr>
      <w:r>
        <w:t xml:space="preserve">For PEPFAR and NGO-funded health facilities currently using open-source Electronic Medical Record (EMR) software who need integrated billing, insurance claims processing, and automated donor reporting, Medic8 is a unified healthcare management platform that includes billing, insurance, HR/payroll, financial accounting, mobile money, and a patient app in a single subscription. Unlike OpenMRS, which is free to download but costs USD 35,000--130,000 over 3 years when implementation, Java developer customisation (USD 80--120/hour), billing system add-ons, and training are included, Medic8 costs USD 9,450--71,100 over the same period with all modules included, local Uganda-based support, and automated PEPFAR Monitoring, Evaluation, and Reporting (MER) indicator calculation.</w:t>
      </w:r>
    </w:p>
    <w:p>
      <w:r>
        <w:pict>
          <v:rect style="width:0;height:1.5pt" o:hralign="center" o:hrstd="t" o:hr="t"/>
        </w:pict>
      </w:r>
    </w:p>
    <w:bookmarkEnd w:id="11"/>
    <w:bookmarkEnd w:id="12"/>
    <w:bookmarkStart w:id="13" w:name="X3345f61c776ab48d4d58ab3ba1067c9bd55390e"/>
    <w:p>
      <w:pPr>
        <w:pStyle w:val="Heading2"/>
      </w:pPr>
      <w:r>
        <w:t xml:space="preserve">3 Value Propositions</w:t>
      </w:r>
    </w:p>
    <w:p>
      <w:pPr>
        <w:numPr>
          <w:ilvl w:val="0"/>
          <w:numId w:val="1001"/>
        </w:numPr>
      </w:pPr>
      <w:r>
        <w:rPr>
          <w:b/>
          <w:bCs/>
        </w:rPr>
        <w:t xml:space="preserve">Eliminate manual HMIS tallying.</w:t>
      </w:r>
      <w:r>
        <w:t xml:space="preserve"> </w:t>
      </w:r>
      <w:r>
        <w:t xml:space="preserve">Auto-populate HMIS 105, HMIS 108, and HMIS 033b forms from clinical encounter data and push directly to DHIS2, saving 2--3 staff-days per facility per month currently spent on manual tallying.</w:t>
      </w:r>
    </w:p>
    <w:p>
      <w:pPr>
        <w:numPr>
          <w:ilvl w:val="0"/>
          <w:numId w:val="1001"/>
        </w:numPr>
      </w:pPr>
      <w:r>
        <w:rPr>
          <w:b/>
          <w:bCs/>
        </w:rPr>
        <w:t xml:space="preserve">Reduce medication errors via four-tier Clinical Decision Support (CDS) with Computerised Physician Order Entry (CPOE) Five Rights enforcement.</w:t>
      </w:r>
      <w:r>
        <w:t xml:space="preserve"> </w:t>
      </w:r>
      <w:r>
        <w:t xml:space="preserve">Drug interaction alerts at 4 severity levels (informational, warning, serious, fatal), allergy-prescription conflict detection, weight-based paediatric dosing, and mandatory pharmacist verification before dispensing.</w:t>
      </w:r>
    </w:p>
    <w:p>
      <w:pPr>
        <w:numPr>
          <w:ilvl w:val="0"/>
          <w:numId w:val="1001"/>
        </w:numPr>
      </w:pPr>
      <w:r>
        <w:rPr>
          <w:b/>
          <w:bCs/>
        </w:rPr>
        <w:t xml:space="preserve">Enable mobile money patient payments.</w:t>
      </w:r>
      <w:r>
        <w:t xml:space="preserve"> </w:t>
      </w:r>
      <w:r>
        <w:t xml:space="preserve">Integrate MTN Mobile Money and Airtel Money APIs with auto-reconciliation, reducing cashier queue time and eliminating manual bank deposit workflows for facilities and patients.</w:t>
      </w:r>
    </w:p>
    <w:p>
      <w:pPr>
        <w:numPr>
          <w:ilvl w:val="0"/>
          <w:numId w:val="1001"/>
        </w:numPr>
      </w:pPr>
      <w:r>
        <w:rPr>
          <w:b/>
          <w:bCs/>
        </w:rPr>
        <w:t xml:space="preserve">Achieve lower TCO than OpenMRS.</w:t>
      </w:r>
      <w:r>
        <w:t xml:space="preserve"> </w:t>
      </w:r>
      <w:r>
        <w:t xml:space="preserve">Medic8 3-year TCO of USD 9,450--71,100 versus OpenMRS 3-year TCO of USD 35,000--130,000 inclusive of infrastructure, implementation, customisation, billing system, HR/payroll, insurance management, training, and support.</w:t>
      </w:r>
    </w:p>
    <w:p>
      <w:pPr>
        <w:numPr>
          <w:ilvl w:val="0"/>
          <w:numId w:val="1001"/>
        </w:numPr>
      </w:pPr>
      <w:r>
        <w:rPr>
          <w:b/>
          <w:bCs/>
        </w:rPr>
        <w:t xml:space="preserve">Provide offline clinical capability for facilities with unreliable internet.</w:t>
      </w:r>
      <w:r>
        <w:t xml:space="preserve"> </w:t>
      </w:r>
      <w:r>
        <w:t xml:space="preserve">Core clinical workflows -- patient registration, vitals capture, prescription writing, and dispensing -- operate offline using local-first architecture and synchronise when connectivity resumes, addressing the intermittent connectivity reality in rural Uganda.</w:t>
      </w:r>
    </w:p>
    <w:p>
      <w:pPr>
        <w:numPr>
          <w:ilvl w:val="0"/>
          <w:numId w:val="1001"/>
        </w:numPr>
      </w:pPr>
      <w:r>
        <w:rPr>
          <w:b/>
          <w:bCs/>
        </w:rPr>
        <w:t xml:space="preserve">Enable cross-facility patient record sharing via global patient identity.</w:t>
      </w:r>
      <w:r>
        <w:t xml:space="preserve"> </w:t>
      </w:r>
      <w:r>
        <w:t xml:space="preserve">An Enterprise Master Patient Index (EMPI) provides a unique patient identifier across all Medic8 tenants, enabling sub-second patient lookup across facilities within a hospital network and emergency access with time-limited, audited disclosure.</w:t>
      </w:r>
    </w:p>
    <w:p>
      <w:pPr>
        <w:numPr>
          <w:ilvl w:val="0"/>
          <w:numId w:val="1001"/>
        </w:numPr>
      </w:pPr>
      <w:r>
        <w:rPr>
          <w:b/>
          <w:bCs/>
        </w:rPr>
        <w:t xml:space="preserve">Deliver PEPFAR MER indicators auto-calculated from clinical data.</w:t>
      </w:r>
      <w:r>
        <w:t xml:space="preserve"> </w:t>
      </w:r>
      <w:r>
        <w:t xml:space="preserve">TX_CURR, TX_NEW, and TX_PVLS indicators are computed directly from ART enrolment, dispensing, and viral load records, eliminating manual calculation and targeting less than 1% variance against manual tallies.</w:t>
      </w:r>
    </w:p>
    <w:p>
      <w:r>
        <w:pict>
          <v:rect style="width:0;height:1.5pt" o:hralign="center" o:hrstd="t" o:hr="t"/>
        </w:pict>
      </w:r>
    </w:p>
    <w:bookmarkEnd w:id="13"/>
    <w:bookmarkStart w:id="21" w:name="X81b283b3900d46266c08d51fe9d8a4ba778690d"/>
    <w:p>
      <w:pPr>
        <w:pStyle w:val="Heading2"/>
      </w:pPr>
      <w:r>
        <w:t xml:space="preserve">4 Design Covenant</w:t>
      </w:r>
    </w:p>
    <w:p>
      <w:pPr>
        <w:pStyle w:val="FirstParagraph"/>
      </w:pPr>
      <w:r>
        <w:t xml:space="preserve">The following covenant is a binding constraint on all design decisions. Every feature, interface, and architectural choice must satisfy all 7 constraints simultaneously. No constraint may be relaxed without formal sign-off.</w:t>
      </w:r>
    </w:p>
    <w:p>
      <w:pPr>
        <w:pStyle w:val="BlockText"/>
      </w:pPr>
      <w:r>
        <w:t xml:space="preserve">Automate every clinical and administrative process as much as possible, yet remain simple enough for a single receptionist to operate -- provided each user has completed the onboarding for their assigned modules. Clinically safe and globally configurable; fast and intuitive in daily use.</w:t>
      </w:r>
    </w:p>
    <w:bookmarkStart w:id="14" w:name="X26084fc63d7b38dc46c0dcc2380064f4dc403cf"/>
    <w:p>
      <w:pPr>
        <w:pStyle w:val="Heading3"/>
      </w:pPr>
      <w:r>
        <w:t xml:space="preserve">4.1 Maximum Automation by Default</w:t>
      </w:r>
    </w:p>
    <w:p>
      <w:pPr>
        <w:pStyle w:val="FirstParagraph"/>
      </w:pPr>
      <w:r>
        <w:t xml:space="preserve">Prescription alerts, stock reorder triggers, insurance pre-authorisation checks, and HMIS report generation fire without manual intervention. The system acts on data events, not user prompts, for all automatable processes.</w:t>
      </w:r>
    </w:p>
    <w:bookmarkEnd w:id="14"/>
    <w:bookmarkStart w:id="15" w:name="X1158510851b312760245c5c62bb4d9a9eeb9b55"/>
    <w:p>
      <w:pPr>
        <w:pStyle w:val="Heading3"/>
      </w:pPr>
      <w:r>
        <w:t xml:space="preserve">4.2 Zero-Configuration Defaults</w:t>
      </w:r>
    </w:p>
    <w:p>
      <w:pPr>
        <w:pStyle w:val="FirstParagraph"/>
      </w:pPr>
      <w:r>
        <w:t xml:space="preserve">A Ugandan private clinic is operational within 60 minutes of signup. Uganda-specific defaults -- ICD-10 codes, drug formulary, HMIS form mappings, UGX currency, PAYE/NSSF rates -- are pre-loaded. The facility administrator configures exceptions, not baselines.</w:t>
      </w:r>
    </w:p>
    <w:bookmarkEnd w:id="15"/>
    <w:bookmarkStart w:id="16" w:name="Xcb586c452417c85e36ca3935ed796d5c64cef3e"/>
    <w:p>
      <w:pPr>
        <w:pStyle w:val="Heading3"/>
      </w:pPr>
      <w:r>
        <w:t xml:space="preserve">4.3 Role-Scoped User Experience</w:t>
      </w:r>
    </w:p>
    <w:p>
      <w:pPr>
        <w:pStyle w:val="FirstParagraph"/>
      </w:pPr>
      <w:r>
        <w:t xml:space="preserve">A pharmacist never sees an HR screen; a lab technician never sees payroll. The 18 built-in roles (Super Admin, Facility Admin, Doctor, Clinical Officer, Nurse/Midwife, Pharmacist, Lab Technician, Radiographer, Receptionist, Records Officer, Cashier, Insurance Clerk, Accountant, Store Keeper, Auditor, Facility Director, Patient, and Community Health Worker) define the UX boundary. Complexity is hidden behind role boundaries so that each user sees only the modules and actions relevant to their function.</w:t>
      </w:r>
    </w:p>
    <w:bookmarkEnd w:id="16"/>
    <w:bookmarkStart w:id="17" w:name="X2b1bb9459931c0a36562d3e29b5187e38ca0414"/>
    <w:p>
      <w:pPr>
        <w:pStyle w:val="Heading3"/>
      </w:pPr>
      <w:r>
        <w:t xml:space="preserve">4.4 Onboarding-Path Architecture</w:t>
      </w:r>
    </w:p>
    <w:p>
      <w:pPr>
        <w:pStyle w:val="FirstParagraph"/>
      </w:pPr>
      <w:r>
        <w:t xml:space="preserve">Each module ships with embedded guided onboarding. Users learn module-by-module, not system-wide. No user is required to understand the full system to perform their role. Training is video-based, module-specific, and mandatory before module activation.</w:t>
      </w:r>
    </w:p>
    <w:bookmarkEnd w:id="17"/>
    <w:bookmarkStart w:id="18" w:name="Xf1b1e932336b2426fcecfd67bd00fec9aafe98a"/>
    <w:p>
      <w:pPr>
        <w:pStyle w:val="Heading3"/>
      </w:pPr>
      <w:r>
        <w:t xml:space="preserve">4.5 Progressive Disclosure</w:t>
      </w:r>
    </w:p>
    <w:p>
      <w:pPr>
        <w:pStyle w:val="FirstParagraph"/>
      </w:pPr>
      <w:r>
        <w:t xml:space="preserve">Advanced clinical, insurance, and reporting settings exist but do not clutter the daily workflow. Default screens present the 80% workflow; advanced configuration is accessible through settings menus, not primary navigation.</w:t>
      </w:r>
    </w:p>
    <w:bookmarkEnd w:id="18"/>
    <w:bookmarkStart w:id="19" w:name="X0798a2cd3a87d535349254fe7c3b14b4b2e7f8a"/>
    <w:p>
      <w:pPr>
        <w:pStyle w:val="Heading3"/>
      </w:pPr>
      <w:r>
        <w:t xml:space="preserve">4.6 Single-Receptionist Survivability</w:t>
      </w:r>
    </w:p>
    <w:p>
      <w:pPr>
        <w:pStyle w:val="FirstParagraph"/>
      </w:pPr>
      <w:r>
        <w:t xml:space="preserve">If the IT officer leaves, the receptionist and clinic manager can continue operating the system without technical support. This constraint requires that no routine operation (patient registration, billing, appointment booking, report generation) depends on IT staff intervention.</w:t>
      </w:r>
    </w:p>
    <w:bookmarkEnd w:id="19"/>
    <w:bookmarkStart w:id="20" w:name="X6302bd8cd48e2f57fa2e2ed61ee2f8d63157c1e"/>
    <w:p>
      <w:pPr>
        <w:pStyle w:val="Heading3"/>
      </w:pPr>
      <w:r>
        <w:t xml:space="preserve">4.7 Clinical Safety as Non-Negotiable Default</w:t>
      </w:r>
    </w:p>
    <w:p>
      <w:pPr>
        <w:pStyle w:val="FirstParagraph"/>
      </w:pPr>
      <w:r>
        <w:t xml:space="preserve">Drug interaction warnings, allergy flags, and dosage alerts are enabled by default and cannot be silently disabled. Alert overrides require a documented reason from the overriding clinician, logged with clinician ID, timestamp, patient ID, and alert ID. The system is decision support, not decision maker; clinical liability remains with the prescribing clinician.</w:t>
      </w:r>
    </w:p>
    <w:bookmarkEnd w:id="20"/>
    <w:bookmarkEnd w:id="21"/>
    <w:bookmarkEnd w:id="22"/>
    <w:bookmarkStart w:id="39" w:name="X5e2607460d00ec707b545943990770e02362079"/>
    <w:p>
      <w:pPr>
        <w:pStyle w:val="Heading1"/>
      </w:pPr>
      <w:r>
        <w:t xml:space="preserve">Product Positioning for the Medic8 Healthcare Management System</w:t>
      </w:r>
    </w:p>
    <w:p>
      <w:r>
        <w:pict>
          <v:rect style="width:0;height:1.5pt" o:hralign="center" o:hrstd="t" o:hr="t"/>
        </w:pict>
      </w:r>
    </w:p>
    <w:bookmarkStart w:id="25" w:name="Xc8b75f4c5d5050a7875a95dc70c7ab49922fd2c"/>
    <w:p>
      <w:pPr>
        <w:pStyle w:val="Heading2"/>
      </w:pPr>
      <w:r>
        <w:t xml:space="preserve">6 Target Audience</w:t>
      </w:r>
    </w:p>
    <w:bookmarkStart w:id="23" w:name="X608004ce5a95f8c63deeef0ed3b700edae920ad"/>
    <w:p>
      <w:pPr>
        <w:pStyle w:val="Heading3"/>
      </w:pPr>
      <w:r>
        <w:t xml:space="preserve">6.1 Market Segments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Segment</w:t>
            </w:r>
          </w:p>
        </w:tc>
        <w:tc>
          <w:tcPr/>
          <w:p>
            <w:pPr>
              <w:pStyle w:val="Compact"/>
            </w:pPr>
            <w:r>
              <w:t xml:space="preserve">Representative Persona</w:t>
            </w:r>
          </w:p>
        </w:tc>
        <w:tc>
          <w:tcPr/>
          <w:p>
            <w:pPr>
              <w:pStyle w:val="Compact"/>
            </w:pPr>
            <w:r>
              <w:t xml:space="preserve">Primary Goals</w:t>
            </w:r>
          </w:p>
        </w:tc>
        <w:tc>
          <w:tcPr/>
          <w:p>
            <w:pPr>
              <w:pStyle w:val="Compact"/>
            </w:pPr>
            <w:r>
              <w:t xml:space="preserve">Technical Proficiency</w:t>
            </w:r>
          </w:p>
        </w:tc>
      </w:tr>
      <w:tr>
        <w:tc>
          <w:tcPr/>
          <w:p>
            <w:pPr>
              <w:pStyle w:val="Compact"/>
            </w:pPr>
            <w:r>
              <w:t xml:space="preserve">Private clinics (1--5 rooms, pharmacy, basic lab)</w:t>
            </w:r>
          </w:p>
        </w:tc>
        <w:tc>
          <w:tcPr/>
          <w:p>
            <w:pPr>
              <w:pStyle w:val="Compact"/>
            </w:pPr>
            <w:r>
              <w:t xml:space="preserve">Dr. Sarah Nakamya, Nakamya Medical Centre, Kampala</w:t>
            </w:r>
          </w:p>
        </w:tc>
        <w:tc>
          <w:tcPr/>
          <w:p>
            <w:pPr>
              <w:pStyle w:val="Compact"/>
            </w:pPr>
            <w:r>
              <w:t xml:space="preserve">Eliminate server maintenance, integrate mobile money, automate HMIS 105, enable patient appointment app</w:t>
            </w:r>
          </w:p>
        </w:tc>
        <w:tc>
          <w:tcPr/>
          <w:p>
            <w:pPr>
              <w:pStyle w:val="Compact"/>
            </w:pPr>
            <w:r>
              <w:t xml:space="preserve">Moderate -- uses desktop software, limited IT staff</w:t>
            </w:r>
          </w:p>
        </w:tc>
      </w:tr>
      <w:tr>
        <w:tc>
          <w:tcPr/>
          <w:p>
            <w:pPr>
              <w:pStyle w:val="Compact"/>
            </w:pPr>
            <w:r>
              <w:t xml:space="preserve">Mission / NGO hospitals (multi-department, 50--100 beds)</w:t>
            </w:r>
          </w:p>
        </w:tc>
        <w:tc>
          <w:tcPr/>
          <w:p>
            <w:pPr>
              <w:pStyle w:val="Compact"/>
            </w:pPr>
            <w:r>
              <w:t xml:space="preserve">Sr. Margaret Akello, St. Joseph's Mission Hospital, Eastern Uganda</w:t>
            </w:r>
          </w:p>
        </w:tc>
        <w:tc>
          <w:tcPr/>
          <w:p>
            <w:pPr>
              <w:pStyle w:val="Compact"/>
            </w:pPr>
            <w:r>
              <w:t xml:space="preserve">Integrated billing and insurance, donor fund accounting, PMTCT tracking, local support</w:t>
            </w:r>
          </w:p>
        </w:tc>
        <w:tc>
          <w:tcPr/>
          <w:p>
            <w:pPr>
              <w:pStyle w:val="Compact"/>
            </w:pPr>
            <w:r>
              <w:t xml:space="preserve">Low to moderate -- relies on NGO-provided IT support</w:t>
            </w:r>
          </w:p>
        </w:tc>
      </w:tr>
      <w:tr>
        <w:tc>
          <w:tcPr/>
          <w:p>
            <w:pPr>
              <w:pStyle w:val="Compact"/>
            </w:pPr>
            <w:r>
              <w:t xml:space="preserve">Government-aided hospitals (HC IV, General Hospital)</w:t>
            </w:r>
          </w:p>
        </w:tc>
        <w:tc>
          <w:tcPr/>
          <w:p>
            <w:pPr>
              <w:pStyle w:val="Compact"/>
            </w:pPr>
            <w:r>
              <w:t xml:space="preserve">Dr. James Okello, Gulu HC IV, Northern Uganda</w:t>
            </w:r>
          </w:p>
        </w:tc>
        <w:tc>
          <w:tcPr/>
          <w:p>
            <w:pPr>
              <w:pStyle w:val="Compact"/>
            </w:pPr>
            <w:r>
              <w:t xml:space="preserve">Automated HMIS reporting, NMS ordering, offline-first operation, simple interface for low-literacy staff</w:t>
            </w:r>
          </w:p>
        </w:tc>
        <w:tc>
          <w:tcPr/>
          <w:p>
            <w:pPr>
              <w:pStyle w:val="Compact"/>
            </w:pPr>
            <w:r>
              <w:t xml:space="preserve">Low -- limited computer skills, intermittent connectivity</w:t>
            </w:r>
          </w:p>
        </w:tc>
      </w:tr>
      <w:tr>
        <w:tc>
          <w:tcPr/>
          <w:p>
            <w:pPr>
              <w:pStyle w:val="Compact"/>
            </w:pPr>
            <w:r>
              <w:t xml:space="preserve">Multi-facility hospital networks (5+ sites)</w:t>
            </w:r>
          </w:p>
        </w:tc>
        <w:tc>
          <w:tcPr/>
          <w:p>
            <w:pPr>
              <w:pStyle w:val="Compact"/>
            </w:pPr>
            <w:r>
              <w:t xml:space="preserve">Mr. Rajesh Patel, Patel Hospital Group, India</w:t>
            </w:r>
          </w:p>
        </w:tc>
        <w:tc>
          <w:tcPr/>
          <w:p>
            <w:pPr>
              <w:pStyle w:val="Compact"/>
            </w:pPr>
            <w:r>
              <w:t xml:space="preserve">Cross-facility patient records, consolidated analytics, unified billing, FHIR R4 interoperability</w:t>
            </w:r>
          </w:p>
        </w:tc>
        <w:tc>
          <w:tcPr/>
          <w:p>
            <w:pPr>
              <w:pStyle w:val="Compact"/>
            </w:pPr>
            <w:r>
              <w:t xml:space="preserve">High -- dedicated IT department, enterprise integration requirements</w:t>
            </w:r>
          </w:p>
        </w:tc>
      </w:tr>
      <w:tr>
        <w:tc>
          <w:tcPr/>
          <w:p>
            <w:pPr>
              <w:pStyle w:val="Compact"/>
            </w:pPr>
            <w:r>
              <w:t xml:space="preserve">PEPFAR / Global Fund implementing partners (NGOs supporting 10--50 facilities)</w:t>
            </w:r>
          </w:p>
        </w:tc>
        <w:tc>
          <w:tcPr/>
          <w:p>
            <w:pPr>
              <w:pStyle w:val="Compact"/>
            </w:pPr>
            <w:r>
              <w:t xml:space="preserve">Jane Achieng, Health Access Uganda, Western Uganda</w:t>
            </w:r>
          </w:p>
        </w:tc>
        <w:tc>
          <w:tcPr/>
          <w:p>
            <w:pPr>
              <w:pStyle w:val="Compact"/>
            </w:pPr>
            <w:r>
              <w:t xml:space="preserve">Automated PEPFAR MER indicators, donor fund tracking, OpenMRS data migration, lower TCO</w:t>
            </w:r>
          </w:p>
        </w:tc>
        <w:tc>
          <w:tcPr/>
          <w:p>
            <w:pPr>
              <w:pStyle w:val="Compact"/>
            </w:pPr>
            <w:r>
              <w:t xml:space="preserve">Moderate -- programme staff with data management experience</w:t>
            </w:r>
          </w:p>
        </w:tc>
      </w:tr>
      <w:tr>
        <w:tc>
          <w:tcPr/>
          <w:p>
            <w:pPr>
              <w:pStyle w:val="Compact"/>
            </w:pPr>
            <w:r>
              <w:t xml:space="preserve">National referral hospitals (1,000+ beds, 50+ departments)</w:t>
            </w:r>
          </w:p>
        </w:tc>
        <w:tc>
          <w:tcPr/>
          <w:p>
            <w:pPr>
              <w:pStyle w:val="Compact"/>
            </w:pPr>
            <w:r>
              <w:t xml:space="preserve">Prof. Edward Ssali, Mulago National Referral Hospital, Kampala</w:t>
            </w:r>
          </w:p>
        </w:tc>
        <w:tc>
          <w:tcPr/>
          <w:p>
            <w:pPr>
              <w:pStyle w:val="Compact"/>
            </w:pPr>
            <w:r>
              <w:t xml:space="preserve">Unified EHR across departments, PACS integration, HL7 analyser interfaces, FHIR API</w:t>
            </w:r>
          </w:p>
        </w:tc>
        <w:tc>
          <w:tcPr/>
          <w:p>
            <w:pPr>
              <w:pStyle w:val="Compact"/>
            </w:pPr>
            <w:r>
              <w:t xml:space="preserve">High -- IT directorate, multiple legacy systems to integrate</w:t>
            </w:r>
          </w:p>
        </w:tc>
      </w:tr>
    </w:tbl>
    <w:bookmarkEnd w:id="23"/>
    <w:bookmarkStart w:id="24" w:name="Xf53c64fde9e3a1cf84995aaa056a9e3335c5079"/>
    <w:p>
      <w:pPr>
        <w:pStyle w:val="Heading3"/>
      </w:pPr>
      <w:r>
        <w:t xml:space="preserve">6.2 User Roles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Role</w:t>
            </w:r>
          </w:p>
        </w:tc>
        <w:tc>
          <w:tcPr/>
          <w:p>
            <w:pPr>
              <w:pStyle w:val="Compact"/>
            </w:pPr>
            <w:r>
              <w:t xml:space="preserve">Primary Workflows</w:t>
            </w:r>
          </w:p>
        </w:tc>
      </w:tr>
      <w:tr>
        <w:tc>
          <w:tcPr/>
          <w:p>
            <w:pPr>
              <w:pStyle w:val="Compact"/>
            </w:pPr>
            <w:r>
              <w:t xml:space="preserve">Platform</w:t>
            </w:r>
          </w:p>
        </w:tc>
        <w:tc>
          <w:tcPr/>
          <w:p>
            <w:pPr>
              <w:pStyle w:val="Compact"/>
            </w:pPr>
            <w:r>
              <w:t xml:space="preserve">Super Admin</w:t>
            </w:r>
          </w:p>
        </w:tc>
        <w:tc>
          <w:tcPr/>
          <w:p>
            <w:pPr>
              <w:pStyle w:val="Compact"/>
            </w:pPr>
            <w:r>
              <w:t xml:space="preserve">Tenant provisioning, subscription billing, global patient identity management, platform monitoring, feature flag management</w:t>
            </w:r>
          </w:p>
        </w:tc>
      </w:tr>
      <w:tr>
        <w:tc>
          <w:tcPr/>
          <w:p>
            <w:pPr>
              <w:pStyle w:val="Compact"/>
            </w:pPr>
            <w:r>
              <w:t xml:space="preserve">Facility Management</w:t>
            </w:r>
          </w:p>
        </w:tc>
        <w:tc>
          <w:tcPr/>
          <w:p>
            <w:pPr>
              <w:pStyle w:val="Compact"/>
            </w:pPr>
            <w:r>
              <w:t xml:space="preserve">Facility Admin / Medical Director</w:t>
            </w:r>
          </w:p>
        </w:tc>
        <w:tc>
          <w:tcPr/>
          <w:p>
            <w:pPr>
              <w:pStyle w:val="Compact"/>
            </w:pPr>
            <w:r>
              <w:t xml:space="preserve">Staff onboarding, module configuration, report review, audit trail review, facility settings</w:t>
            </w:r>
          </w:p>
        </w:tc>
      </w:tr>
      <w:tr>
        <w:tc>
          <w:tcPr/>
          <w:p>
            <w:pPr>
              <w:pStyle w:val="Compact"/>
            </w:pPr>
            <w:r>
              <w:t xml:space="preserve">Facility Management</w:t>
            </w:r>
          </w:p>
        </w:tc>
        <w:tc>
          <w:tcPr/>
          <w:p>
            <w:pPr>
              <w:pStyle w:val="Compact"/>
            </w:pPr>
            <w:r>
              <w:t xml:space="preserve">Facility Director / Owner</w:t>
            </w:r>
          </w:p>
        </w:tc>
        <w:tc>
          <w:tcPr/>
          <w:p>
            <w:pPr>
              <w:pStyle w:val="Compact"/>
            </w:pPr>
            <w:r>
              <w:t xml:space="preserve">Financial overview, cross-facility analytics, approval workflows, strategic reporting</w:t>
            </w:r>
          </w:p>
        </w:tc>
      </w:tr>
      <w:tr>
        <w:tc>
          <w:tcPr/>
          <w:p>
            <w:pPr>
              <w:pStyle w:val="Compact"/>
            </w:pPr>
            <w:r>
              <w:t xml:space="preserve">Clinical</w:t>
            </w:r>
          </w:p>
        </w:tc>
        <w:tc>
          <w:tcPr/>
          <w:p>
            <w:pPr>
              <w:pStyle w:val="Compact"/>
            </w:pPr>
            <w:r>
              <w:t xml:space="preserve">Doctor / Physician</w:t>
            </w:r>
          </w:p>
        </w:tc>
        <w:tc>
          <w:tcPr/>
          <w:p>
            <w:pPr>
              <w:pStyle w:val="Compact"/>
            </w:pPr>
            <w:r>
              <w:t xml:space="preserve">OPD consultation, prescribing, ordering investigations, ward rounds, discharge summaries, referral letters</w:t>
            </w:r>
          </w:p>
        </w:tc>
      </w:tr>
      <w:tr>
        <w:tc>
          <w:tcPr/>
          <w:p>
            <w:pPr>
              <w:pStyle w:val="Compact"/>
            </w:pPr>
            <w:r>
              <w:t xml:space="preserve">Clinical</w:t>
            </w:r>
          </w:p>
        </w:tc>
        <w:tc>
          <w:tcPr/>
          <w:p>
            <w:pPr>
              <w:pStyle w:val="Compact"/>
            </w:pPr>
            <w:r>
              <w:t xml:space="preserve">Clinical Officer</w:t>
            </w:r>
          </w:p>
        </w:tc>
        <w:tc>
          <w:tcPr/>
          <w:p>
            <w:pPr>
              <w:pStyle w:val="Compact"/>
            </w:pPr>
            <w:r>
              <w:t xml:space="preserve">OPD consultation, prescribing (within regulatory scope), ordering investigations, ward rounds, referrals</w:t>
            </w:r>
          </w:p>
        </w:tc>
      </w:tr>
      <w:tr>
        <w:tc>
          <w:tcPr/>
          <w:p>
            <w:pPr>
              <w:pStyle w:val="Compact"/>
            </w:pPr>
            <w:r>
              <w:t xml:space="preserve">Clinical</w:t>
            </w:r>
          </w:p>
        </w:tc>
        <w:tc>
          <w:tcPr/>
          <w:p>
            <w:pPr>
              <w:pStyle w:val="Compact"/>
            </w:pPr>
            <w:r>
              <w:t xml:space="preserve">Nurse / Midwife</w:t>
            </w:r>
          </w:p>
        </w:tc>
        <w:tc>
          <w:tcPr/>
          <w:p>
            <w:pPr>
              <w:pStyle w:val="Compact"/>
            </w:pPr>
            <w:r>
              <w:t xml:space="preserve">Triage, vital signs recording, drug round (MAR), nursing notes, maternity/ANC documentation, immunisation</w:t>
            </w:r>
          </w:p>
        </w:tc>
      </w:tr>
      <w:tr>
        <w:tc>
          <w:tcPr/>
          <w:p>
            <w:pPr>
              <w:pStyle w:val="Compact"/>
            </w:pPr>
            <w:r>
              <w:t xml:space="preserve">Diagnostics</w:t>
            </w:r>
          </w:p>
        </w:tc>
        <w:tc>
          <w:tcPr/>
          <w:p>
            <w:pPr>
              <w:pStyle w:val="Compact"/>
            </w:pPr>
            <w:r>
              <w:t xml:space="preserve">Pharmacist</w:t>
            </w:r>
          </w:p>
        </w:tc>
        <w:tc>
          <w:tcPr/>
          <w:p>
            <w:pPr>
              <w:pStyle w:val="Compact"/>
            </w:pPr>
            <w:r>
              <w:t xml:space="preserve">Dispensing, stock management, drug interaction review, narcotic register maintenance, expiry tracking</w:t>
            </w:r>
          </w:p>
        </w:tc>
      </w:tr>
      <w:tr>
        <w:tc>
          <w:tcPr/>
          <w:p>
            <w:pPr>
              <w:pStyle w:val="Compact"/>
            </w:pPr>
            <w:r>
              <w:t xml:space="preserve">Diagnostics</w:t>
            </w:r>
          </w:p>
        </w:tc>
        <w:tc>
          <w:tcPr/>
          <w:p>
            <w:pPr>
              <w:pStyle w:val="Compact"/>
            </w:pPr>
            <w:r>
              <w:t xml:space="preserve">Lab Technician</w:t>
            </w:r>
          </w:p>
        </w:tc>
        <w:tc>
          <w:tcPr/>
          <w:p>
            <w:pPr>
              <w:pStyle w:val="Compact"/>
            </w:pPr>
            <w:r>
              <w:t xml:space="preserve">Sample collection, result entry, quality control, critical value alerting, worklist management</w:t>
            </w:r>
          </w:p>
        </w:tc>
      </w:tr>
      <w:tr>
        <w:tc>
          <w:tcPr/>
          <w:p>
            <w:pPr>
              <w:pStyle w:val="Compact"/>
            </w:pPr>
            <w:r>
              <w:t xml:space="preserve">Diagnostics</w:t>
            </w:r>
          </w:p>
        </w:tc>
        <w:tc>
          <w:tcPr/>
          <w:p>
            <w:pPr>
              <w:pStyle w:val="Compact"/>
            </w:pPr>
            <w:r>
              <w:t xml:space="preserve">Radiographer</w:t>
            </w:r>
          </w:p>
        </w:tc>
        <w:tc>
          <w:tcPr/>
          <w:p>
            <w:pPr>
              <w:pStyle w:val="Compact"/>
            </w:pPr>
            <w:r>
              <w:t xml:space="preserve">Worklist management, report entry, image upload, study tracking</w:t>
            </w:r>
          </w:p>
        </w:tc>
      </w:tr>
      <w:tr>
        <w:tc>
          <w:tcPr/>
          <w:p>
            <w:pPr>
              <w:pStyle w:val="Compact"/>
            </w:pPr>
            <w:r>
              <w:t xml:space="preserve">Administrative</w:t>
            </w:r>
          </w:p>
        </w:tc>
        <w:tc>
          <w:tcPr/>
          <w:p>
            <w:pPr>
              <w:pStyle w:val="Compact"/>
            </w:pPr>
            <w:r>
              <w:t xml:space="preserve">Receptionist / Front Desk</w:t>
            </w:r>
          </w:p>
        </w:tc>
        <w:tc>
          <w:tcPr/>
          <w:p>
            <w:pPr>
              <w:pStyle w:val="Compact"/>
            </w:pPr>
            <w:r>
              <w:t xml:space="preserve">Patient registration, appointment booking, queue management, file requests</w:t>
            </w:r>
          </w:p>
        </w:tc>
      </w:tr>
      <w:tr>
        <w:tc>
          <w:tcPr/>
          <w:p>
            <w:pPr>
              <w:pStyle w:val="Compact"/>
            </w:pPr>
            <w:r>
              <w:t xml:space="preserve">Administrative</w:t>
            </w:r>
          </w:p>
        </w:tc>
        <w:tc>
          <w:tcPr/>
          <w:p>
            <w:pPr>
              <w:pStyle w:val="Compact"/>
            </w:pPr>
            <w:r>
              <w:t xml:space="preserve">Records Officer</w:t>
            </w:r>
          </w:p>
        </w:tc>
        <w:tc>
          <w:tcPr/>
          <w:p>
            <w:pPr>
              <w:pStyle w:val="Compact"/>
            </w:pPr>
            <w:r>
              <w:t xml:space="preserve">File tracking, certificate generation, HMIS form management, discharge summary archival</w:t>
            </w:r>
          </w:p>
        </w:tc>
      </w:tr>
      <w:tr>
        <w:tc>
          <w:tcPr/>
          <w:p>
            <w:pPr>
              <w:pStyle w:val="Compact"/>
            </w:pPr>
            <w:r>
              <w:t xml:space="preserve">Financial</w:t>
            </w:r>
          </w:p>
        </w:tc>
        <w:tc>
          <w:tcPr/>
          <w:p>
            <w:pPr>
              <w:pStyle w:val="Compact"/>
            </w:pPr>
            <w:r>
              <w:t xml:space="preserve">Cashier / Billing Clerk</w:t>
            </w:r>
          </w:p>
        </w:tc>
        <w:tc>
          <w:tcPr/>
          <w:p>
            <w:pPr>
              <w:pStyle w:val="Compact"/>
            </w:pPr>
            <w:r>
              <w:t xml:space="preserve">Payment collection, receipt printing, daily cash reconciliation, mobile money payment verification</w:t>
            </w:r>
          </w:p>
        </w:tc>
      </w:tr>
      <w:tr>
        <w:tc>
          <w:tcPr/>
          <w:p>
            <w:pPr>
              <w:pStyle w:val="Compact"/>
            </w:pPr>
            <w:r>
              <w:t xml:space="preserve">Financial</w:t>
            </w:r>
          </w:p>
        </w:tc>
        <w:tc>
          <w:tcPr/>
          <w:p>
            <w:pPr>
              <w:pStyle w:val="Compact"/>
            </w:pPr>
            <w:r>
              <w:t xml:space="preserve">Insurance Clerk</w:t>
            </w:r>
          </w:p>
        </w:tc>
        <w:tc>
          <w:tcPr/>
          <w:p>
            <w:pPr>
              <w:pStyle w:val="Compact"/>
            </w:pPr>
            <w:r>
              <w:t xml:space="preserve">Member verification, pre-authorisation, claim generation, claim submission, rejection management</w:t>
            </w:r>
          </w:p>
        </w:tc>
      </w:tr>
      <w:tr>
        <w:tc>
          <w:tcPr/>
          <w:p>
            <w:pPr>
              <w:pStyle w:val="Compact"/>
            </w:pPr>
            <w:r>
              <w:t xml:space="preserve">Financial</w:t>
            </w:r>
          </w:p>
        </w:tc>
        <w:tc>
          <w:tcPr/>
          <w:p>
            <w:pPr>
              <w:pStyle w:val="Compact"/>
            </w:pPr>
            <w:r>
              <w:t xml:space="preserve">Accountant</w:t>
            </w:r>
          </w:p>
        </w:tc>
        <w:tc>
          <w:tcPr/>
          <w:p>
            <w:pPr>
              <w:pStyle w:val="Compact"/>
            </w:pPr>
            <w:r>
              <w:t xml:space="preserve">Journal entries, bank reconciliation, financial statement preparation, donor fund reporting</w:t>
            </w:r>
          </w:p>
        </w:tc>
      </w:tr>
      <w:tr>
        <w:tc>
          <w:tcPr/>
          <w:p>
            <w:pPr>
              <w:pStyle w:val="Compact"/>
            </w:pPr>
            <w:r>
              <w:t xml:space="preserve">Financial</w:t>
            </w:r>
          </w:p>
        </w:tc>
        <w:tc>
          <w:tcPr/>
          <w:p>
            <w:pPr>
              <w:pStyle w:val="Compact"/>
            </w:pPr>
            <w:r>
              <w:t xml:space="preserve">Store Keeper</w:t>
            </w:r>
          </w:p>
        </w:tc>
        <w:tc>
          <w:tcPr/>
          <w:p>
            <w:pPr>
              <w:pStyle w:val="Compact"/>
            </w:pPr>
            <w:r>
              <w:t xml:space="preserve">Goods Received Note (GRN), stock transfer, expiry management, NMS ordering, stock count reconciliation</w:t>
            </w:r>
          </w:p>
        </w:tc>
      </w:tr>
      <w:tr>
        <w:tc>
          <w:tcPr/>
          <w:p>
            <w:pPr>
              <w:pStyle w:val="Compact"/>
            </w:pPr>
            <w:r>
              <w:t xml:space="preserve">Financial</w:t>
            </w:r>
          </w:p>
        </w:tc>
        <w:tc>
          <w:tcPr/>
          <w:p>
            <w:pPr>
              <w:pStyle w:val="Compact"/>
            </w:pPr>
            <w:r>
              <w:t xml:space="preserve">Auditor</w:t>
            </w:r>
          </w:p>
        </w:tc>
        <w:tc>
          <w:tcPr/>
          <w:p>
            <w:pPr>
              <w:pStyle w:val="Compact"/>
            </w:pPr>
            <w:r>
              <w:t xml:space="preserve">Audit trail review, compliance verification, financial audit, transaction sampling, exception reporting</w:t>
            </w:r>
          </w:p>
        </w:tc>
      </w:tr>
      <w:tr>
        <w:tc>
          <w:tcPr/>
          <w:p>
            <w:pPr>
              <w:pStyle w:val="Compact"/>
            </w:pPr>
            <w:r>
              <w:t xml:space="preserve">External</w:t>
            </w:r>
          </w:p>
        </w:tc>
        <w:tc>
          <w:tcPr/>
          <w:p>
            <w:pPr>
              <w:pStyle w:val="Compact"/>
            </w:pPr>
            <w:r>
              <w:t xml:space="preserve">Patient / Client</w:t>
            </w:r>
          </w:p>
        </w:tc>
        <w:tc>
          <w:tcPr/>
          <w:p>
            <w:pPr>
              <w:pStyle w:val="Compact"/>
            </w:pPr>
            <w:r>
              <w:t xml:space="preserve">View test results, book appointments, pay fees, receive medication reminders, download records</w:t>
            </w:r>
          </w:p>
        </w:tc>
      </w:tr>
      <w:tr>
        <w:tc>
          <w:tcPr/>
          <w:p>
            <w:pPr>
              <w:pStyle w:val="Compact"/>
            </w:pPr>
            <w:r>
              <w:t xml:space="preserve">External</w:t>
            </w:r>
          </w:p>
        </w:tc>
        <w:tc>
          <w:tcPr/>
          <w:p>
            <w:pPr>
              <w:pStyle w:val="Compact"/>
            </w:pPr>
            <w:r>
              <w:t xml:space="preserve">Community Health Worker (VHT/CHW)</w:t>
            </w:r>
          </w:p>
        </w:tc>
        <w:tc>
          <w:tcPr/>
          <w:p>
            <w:pPr>
              <w:pStyle w:val="Compact"/>
            </w:pPr>
            <w:r>
              <w:t xml:space="preserve">Patient registration, referral submission, home visit documentation, activity reporting</w:t>
            </w:r>
          </w:p>
        </w:tc>
      </w:tr>
    </w:tbl>
    <w:p>
      <w:r>
        <w:pict>
          <v:rect style="width:0;height:1.5pt" o:hralign="center" o:hrstd="t" o:hr="t"/>
        </w:pict>
      </w:r>
    </w:p>
    <w:bookmarkEnd w:id="24"/>
    <w:bookmarkEnd w:id="25"/>
    <w:bookmarkStart w:id="32" w:name="X57d31b0309bdef95cae91c5602197be2424bf32"/>
    <w:p>
      <w:pPr>
        <w:pStyle w:val="Heading2"/>
      </w:pPr>
      <w:r>
        <w:t xml:space="preserve">7 Success Criteria</w:t>
      </w:r>
    </w:p>
    <w:p>
      <w:pPr>
        <w:pStyle w:val="FirstParagraph"/>
      </w:pPr>
      <w:r>
        <w:t xml:space="preserve">All criteria follow the SMART framework: Specific, Measurable, Achievable, Relevant, Time-bound.</w:t>
      </w:r>
    </w:p>
    <w:bookmarkStart w:id="26" w:name="X58d0c5e85a9ea8f656dd7d1eecc1d5709d6bfcc"/>
    <w:p>
      <w:pPr>
        <w:pStyle w:val="Heading3"/>
      </w:pPr>
      <w:r>
        <w:t xml:space="preserve">7.1 Revenue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Metric</w:t>
            </w:r>
          </w:p>
        </w:tc>
        <w:tc>
          <w:tcPr/>
          <w:p>
            <w:pPr>
              <w:pStyle w:val="Compact"/>
            </w:pPr>
            <w:r>
              <w:t xml:space="preserve">Baseline</w:t>
            </w:r>
          </w:p>
        </w:tc>
        <w:tc>
          <w:tcPr/>
          <w:p>
            <w:pPr>
              <w:pStyle w:val="Compact"/>
            </w:pPr>
            <w:r>
              <w:t xml:space="preserve">Target</w:t>
            </w:r>
          </w:p>
        </w:tc>
        <w:tc>
          <w:tcPr/>
          <w:p>
            <w:pPr>
              <w:pStyle w:val="Compact"/>
            </w:pPr>
            <w:r>
              <w:t xml:space="preserve">Timeline</w:t>
            </w:r>
          </w:p>
        </w:tc>
      </w:tr>
      <w:tr>
        <w:tc>
          <w:tcPr/>
          <w:p>
            <w:pPr>
              <w:pStyle w:val="Compact"/>
            </w:pPr>
            <w:r>
              <w:t xml:space="preserve">Phase 1 Monthly Recurring Revenue</w:t>
            </w:r>
          </w:p>
        </w:tc>
        <w:tc>
          <w:tcPr/>
          <w:p>
            <w:pPr>
              <w:pStyle w:val="Compact"/>
            </w:pPr>
            <w:r>
              <w:t xml:space="preserve">MRR in UGX</w:t>
            </w:r>
          </w:p>
        </w:tc>
        <w:tc>
          <w:tcPr/>
          <w:p>
            <w:pPr>
              <w:pStyle w:val="Compact"/>
            </w:pPr>
            <w:r>
              <w:t xml:space="preserve">UGX 0</w:t>
            </w:r>
          </w:p>
        </w:tc>
        <w:tc>
          <w:tcPr/>
          <w:p>
            <w:pPr>
              <w:pStyle w:val="Compact"/>
            </w:pPr>
            <w:r>
              <w:t xml:space="preserve">UGX 1,500,000</w:t>
            </w:r>
          </w:p>
        </w:tc>
        <w:tc>
          <w:tcPr/>
          <w:p>
            <w:pPr>
              <w:pStyle w:val="Compact"/>
            </w:pPr>
            <w:r>
              <w:t xml:space="preserve">6 months post-launch</w:t>
            </w:r>
          </w:p>
        </w:tc>
      </w:tr>
      <w:tr>
        <w:tc>
          <w:tcPr/>
          <w:p>
            <w:pPr>
              <w:pStyle w:val="Compact"/>
            </w:pPr>
            <w:r>
              <w:t xml:space="preserve">Phase 2 MRR</w:t>
            </w:r>
          </w:p>
        </w:tc>
        <w:tc>
          <w:tcPr/>
          <w:p>
            <w:pPr>
              <w:pStyle w:val="Compact"/>
            </w:pPr>
            <w:r>
              <w:t xml:space="preserve">MRR in UGX</w:t>
            </w:r>
          </w:p>
        </w:tc>
        <w:tc>
          <w:tcPr/>
          <w:p>
            <w:pPr>
              <w:pStyle w:val="Compact"/>
            </w:pPr>
            <w:r>
              <w:t xml:space="preserve">UGX 1,500,000</w:t>
            </w:r>
          </w:p>
        </w:tc>
        <w:tc>
          <w:tcPr/>
          <w:p>
            <w:pPr>
              <w:pStyle w:val="Compact"/>
            </w:pPr>
            <w:r>
              <w:t xml:space="preserve">UGX 15,000,000</w:t>
            </w:r>
          </w:p>
        </w:tc>
        <w:tc>
          <w:tcPr/>
          <w:p>
            <w:pPr>
              <w:pStyle w:val="Compact"/>
            </w:pPr>
            <w:r>
              <w:t xml:space="preserve">12 months post-launch</w:t>
            </w:r>
          </w:p>
        </w:tc>
      </w:tr>
      <w:tr>
        <w:tc>
          <w:tcPr/>
          <w:p>
            <w:pPr>
              <w:pStyle w:val="Compact"/>
            </w:pPr>
            <w:r>
              <w:t xml:space="preserve">Phase 3 MRR</w:t>
            </w:r>
          </w:p>
        </w:tc>
        <w:tc>
          <w:tcPr/>
          <w:p>
            <w:pPr>
              <w:pStyle w:val="Compact"/>
            </w:pPr>
            <w:r>
              <w:t xml:space="preserve">MRR in UGX</w:t>
            </w:r>
          </w:p>
        </w:tc>
        <w:tc>
          <w:tcPr/>
          <w:p>
            <w:pPr>
              <w:pStyle w:val="Compact"/>
            </w:pPr>
            <w:r>
              <w:t xml:space="preserve">UGX 15,000,000</w:t>
            </w:r>
          </w:p>
        </w:tc>
        <w:tc>
          <w:tcPr/>
          <w:p>
            <w:pPr>
              <w:pStyle w:val="Compact"/>
            </w:pPr>
            <w:r>
              <w:t xml:space="preserve">UGX 40,000,000</w:t>
            </w:r>
          </w:p>
        </w:tc>
        <w:tc>
          <w:tcPr/>
          <w:p>
            <w:pPr>
              <w:pStyle w:val="Compact"/>
            </w:pPr>
            <w:r>
              <w:t xml:space="preserve">18 months post-launch</w:t>
            </w:r>
          </w:p>
        </w:tc>
      </w:tr>
      <w:tr>
        <w:tc>
          <w:tcPr/>
          <w:p>
            <w:pPr>
              <w:pStyle w:val="Compact"/>
            </w:pPr>
            <w:r>
              <w:t xml:space="preserve">Phase 4 MRR</w:t>
            </w:r>
          </w:p>
        </w:tc>
        <w:tc>
          <w:tcPr/>
          <w:p>
            <w:pPr>
              <w:pStyle w:val="Compact"/>
            </w:pPr>
            <w:r>
              <w:t xml:space="preserve">MRR in UGX</w:t>
            </w:r>
          </w:p>
        </w:tc>
        <w:tc>
          <w:tcPr/>
          <w:p>
            <w:pPr>
              <w:pStyle w:val="Compact"/>
            </w:pPr>
            <w:r>
              <w:t xml:space="preserve">UGX 40,000,000</w:t>
            </w:r>
          </w:p>
        </w:tc>
        <w:tc>
          <w:tcPr/>
          <w:p>
            <w:pPr>
              <w:pStyle w:val="Compact"/>
            </w:pPr>
            <w:r>
              <w:t xml:space="preserve">UGX 100,000,000</w:t>
            </w:r>
          </w:p>
        </w:tc>
        <w:tc>
          <w:tcPr/>
          <w:p>
            <w:pPr>
              <w:pStyle w:val="Compact"/>
            </w:pPr>
            <w:r>
              <w:t xml:space="preserve">24 months post-launch</w:t>
            </w:r>
          </w:p>
        </w:tc>
      </w:tr>
    </w:tbl>
    <w:bookmarkEnd w:id="26"/>
    <w:bookmarkStart w:id="27" w:name="Xa14cf535497a708b452f019c49c1bc5e77beacd"/>
    <w:p>
      <w:pPr>
        <w:pStyle w:val="Heading3"/>
      </w:pPr>
      <w:r>
        <w:t xml:space="preserve">7.2 Adoption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Metric</w:t>
            </w:r>
          </w:p>
        </w:tc>
        <w:tc>
          <w:tcPr/>
          <w:p>
            <w:pPr>
              <w:pStyle w:val="Compact"/>
            </w:pPr>
            <w:r>
              <w:t xml:space="preserve">Baseline</w:t>
            </w:r>
          </w:p>
        </w:tc>
        <w:tc>
          <w:tcPr/>
          <w:p>
            <w:pPr>
              <w:pStyle w:val="Compact"/>
            </w:pPr>
            <w:r>
              <w:t xml:space="preserve">Target</w:t>
            </w:r>
          </w:p>
        </w:tc>
        <w:tc>
          <w:tcPr/>
          <w:p>
            <w:pPr>
              <w:pStyle w:val="Compact"/>
            </w:pPr>
            <w:r>
              <w:t xml:space="preserve">Timeline</w:t>
            </w:r>
          </w:p>
        </w:tc>
      </w:tr>
      <w:tr>
        <w:tc>
          <w:tcPr/>
          <w:p>
            <w:pPr>
              <w:pStyle w:val="Compact"/>
            </w:pPr>
            <w:r>
              <w:t xml:space="preserve">Phase 1 facility count</w:t>
            </w:r>
          </w:p>
        </w:tc>
        <w:tc>
          <w:tcPr/>
          <w:p>
            <w:pPr>
              <w:pStyle w:val="Compact"/>
            </w:pPr>
            <w:r>
              <w:t xml:space="preserve">Paying facilities</w:t>
            </w:r>
          </w:p>
        </w:tc>
        <w:tc>
          <w:tcPr/>
          <w:p>
            <w:pPr>
              <w:pStyle w:val="Compact"/>
            </w:pPr>
            <w:r>
              <w:t xml:space="preserve">0</w:t>
            </w:r>
          </w:p>
        </w:tc>
        <w:tc>
          <w:tcPr/>
          <w:p>
            <w:pPr>
              <w:pStyle w:val="Compact"/>
            </w:pPr>
            <w:r>
              <w:t xml:space="preserve">10 private clinics</w:t>
            </w:r>
          </w:p>
        </w:tc>
        <w:tc>
          <w:tcPr/>
          <w:p>
            <w:pPr>
              <w:pStyle w:val="Compact"/>
            </w:pPr>
            <w:r>
              <w:t xml:space="preserve">6 months post-launch</w:t>
            </w:r>
          </w:p>
        </w:tc>
      </w:tr>
      <w:tr>
        <w:tc>
          <w:tcPr/>
          <w:p>
            <w:pPr>
              <w:pStyle w:val="Compact"/>
            </w:pPr>
            <w:r>
              <w:t xml:space="preserve">Phase 1 pilot clinics</w:t>
            </w:r>
          </w:p>
        </w:tc>
        <w:tc>
          <w:tcPr/>
          <w:p>
            <w:pPr>
              <w:pStyle w:val="Compact"/>
            </w:pPr>
            <w:r>
              <w:t xml:space="preserve">Live pilot facilities</w:t>
            </w:r>
          </w:p>
        </w:tc>
        <w:tc>
          <w:tcPr/>
          <w:p>
            <w:pPr>
              <w:pStyle w:val="Compact"/>
            </w:pPr>
            <w:r>
              <w:t xml:space="preserve">0</w:t>
            </w:r>
          </w:p>
        </w:tc>
        <w:tc>
          <w:tcPr/>
          <w:p>
            <w:pPr>
              <w:pStyle w:val="Compact"/>
            </w:pPr>
            <w:r>
              <w:t xml:space="preserve">3 minimum</w:t>
            </w:r>
          </w:p>
        </w:tc>
        <w:tc>
          <w:tcPr/>
          <w:p>
            <w:pPr>
              <w:pStyle w:val="Compact"/>
            </w:pPr>
            <w:r>
              <w:t xml:space="preserve">Before Phase 1 gate</w:t>
            </w:r>
          </w:p>
        </w:tc>
      </w:tr>
      <w:tr>
        <w:tc>
          <w:tcPr/>
          <w:p>
            <w:pPr>
              <w:pStyle w:val="Compact"/>
            </w:pPr>
            <w:r>
              <w:t xml:space="preserve">Phase 2 facility count</w:t>
            </w:r>
          </w:p>
        </w:tc>
        <w:tc>
          <w:tcPr/>
          <w:p>
            <w:pPr>
              <w:pStyle w:val="Compact"/>
            </w:pPr>
            <w:r>
              <w:t xml:space="preserve">Paying facilities</w:t>
            </w:r>
          </w:p>
        </w:tc>
        <w:tc>
          <w:tcPr/>
          <w:p>
            <w:pPr>
              <w:pStyle w:val="Compact"/>
            </w:pPr>
            <w:r>
              <w:t xml:space="preserve">10</w:t>
            </w:r>
          </w:p>
        </w:tc>
        <w:tc>
          <w:tcPr/>
          <w:p>
            <w:pPr>
              <w:pStyle w:val="Compact"/>
            </w:pPr>
            <w:r>
              <w:t xml:space="preserve">50 facilities</w:t>
            </w:r>
          </w:p>
        </w:tc>
        <w:tc>
          <w:tcPr/>
          <w:p>
            <w:pPr>
              <w:pStyle w:val="Compact"/>
            </w:pPr>
            <w:r>
              <w:t xml:space="preserve">12 months post-launch</w:t>
            </w:r>
          </w:p>
        </w:tc>
      </w:tr>
      <w:tr>
        <w:tc>
          <w:tcPr/>
          <w:p>
            <w:pPr>
              <w:pStyle w:val="Compact"/>
            </w:pPr>
            <w:r>
              <w:t xml:space="preserve">Phase 4 facility count</w:t>
            </w:r>
          </w:p>
        </w:tc>
        <w:tc>
          <w:tcPr/>
          <w:p>
            <w:pPr>
              <w:pStyle w:val="Compact"/>
            </w:pPr>
            <w:r>
              <w:t xml:space="preserve">Active facilities</w:t>
            </w:r>
          </w:p>
        </w:tc>
        <w:tc>
          <w:tcPr/>
          <w:p>
            <w:pPr>
              <w:pStyle w:val="Compact"/>
            </w:pPr>
            <w:r>
              <w:t xml:space="preserve">50</w:t>
            </w:r>
          </w:p>
        </w:tc>
        <w:tc>
          <w:tcPr/>
          <w:p>
            <w:pPr>
              <w:pStyle w:val="Compact"/>
            </w:pPr>
            <w:r>
              <w:t xml:space="preserve">50+ active</w:t>
            </w:r>
          </w:p>
        </w:tc>
        <w:tc>
          <w:tcPr/>
          <w:p>
            <w:pPr>
              <w:pStyle w:val="Compact"/>
            </w:pPr>
            <w:r>
              <w:t xml:space="preserve">24 months post-launch</w:t>
            </w:r>
          </w:p>
        </w:tc>
      </w:tr>
      <w:tr>
        <w:tc>
          <w:tcPr/>
          <w:p>
            <w:pPr>
              <w:pStyle w:val="Compact"/>
            </w:pPr>
            <w:r>
              <w:t xml:space="preserve">Facility onboarding time</w:t>
            </w:r>
          </w:p>
        </w:tc>
        <w:tc>
          <w:tcPr/>
          <w:p>
            <w:pPr>
              <w:pStyle w:val="Compact"/>
            </w:pPr>
            <w:r>
              <w:t xml:space="preserve">Hours from account creation to first patient registration</w:t>
            </w:r>
          </w:p>
        </w:tc>
        <w:tc>
          <w:tcPr/>
          <w:p>
            <w:pPr>
              <w:pStyle w:val="Compact"/>
            </w:pPr>
            <w:r>
              <w:t xml:space="preserve">[BASELINE-TBD]</w:t>
            </w:r>
          </w:p>
        </w:tc>
        <w:tc>
          <w:tcPr/>
          <w:p>
            <w:pPr>
              <w:pStyle w:val="Compact"/>
            </w:pPr>
            <w:r>
              <w:t xml:space="preserve">2--4 hours</w:t>
            </w:r>
          </w:p>
        </w:tc>
        <w:tc>
          <w:tcPr/>
          <w:p>
            <w:pPr>
              <w:pStyle w:val="Compact"/>
            </w:pPr>
            <w:r>
              <w:t xml:space="preserve">Phase 1 launch</w:t>
            </w:r>
          </w:p>
        </w:tc>
      </w:tr>
    </w:tbl>
    <w:bookmarkEnd w:id="27"/>
    <w:bookmarkStart w:id="28" w:name="X21c080ce31392845d88259ecd5fe6c8fe2f19c9"/>
    <w:p>
      <w:pPr>
        <w:pStyle w:val="Heading3"/>
      </w:pPr>
      <w:r>
        <w:t xml:space="preserve">7.3 Clinical Safety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Metric</w:t>
            </w:r>
          </w:p>
        </w:tc>
        <w:tc>
          <w:tcPr/>
          <w:p>
            <w:pPr>
              <w:pStyle w:val="Compact"/>
            </w:pPr>
            <w:r>
              <w:t xml:space="preserve">Baseline</w:t>
            </w:r>
          </w:p>
        </w:tc>
        <w:tc>
          <w:tcPr/>
          <w:p>
            <w:pPr>
              <w:pStyle w:val="Compact"/>
            </w:pPr>
            <w:r>
              <w:t xml:space="preserve">Target</w:t>
            </w:r>
          </w:p>
        </w:tc>
        <w:tc>
          <w:tcPr/>
          <w:p>
            <w:pPr>
              <w:pStyle w:val="Compact"/>
            </w:pPr>
            <w:r>
              <w:t xml:space="preserve">Timeline</w:t>
            </w:r>
          </w:p>
        </w:tc>
      </w:tr>
      <w:tr>
        <w:tc>
          <w:tcPr/>
          <w:p>
            <w:pPr>
              <w:pStyle w:val="Compact"/>
            </w:pPr>
            <w:r>
              <w:t xml:space="preserve">Patient safety incidents</w:t>
            </w:r>
          </w:p>
        </w:tc>
        <w:tc>
          <w:tcPr/>
          <w:p>
            <w:pPr>
              <w:pStyle w:val="Compact"/>
            </w:pPr>
            <w:r>
              <w:t xml:space="preserve">Incidents reported in production</w:t>
            </w:r>
          </w:p>
        </w:tc>
        <w:tc>
          <w:tcPr/>
          <w:p>
            <w:pPr>
              <w:pStyle w:val="Compact"/>
            </w:pPr>
            <w:r>
              <w:t xml:space="preserve">[BASELINE-TBD]</w:t>
            </w:r>
          </w:p>
        </w:tc>
        <w:tc>
          <w:tcPr/>
          <w:p>
            <w:pPr>
              <w:pStyle w:val="Compact"/>
            </w:pPr>
            <w:r>
              <w:t xml:space="preserve">0 incidents</w:t>
            </w:r>
          </w:p>
        </w:tc>
        <w:tc>
          <w:tcPr/>
          <w:p>
            <w:pPr>
              <w:pStyle w:val="Compact"/>
            </w:pPr>
            <w:r>
              <w:t xml:space="preserve">Phase 2 gate</w:t>
            </w:r>
          </w:p>
        </w:tc>
      </w:tr>
      <w:tr>
        <w:tc>
          <w:tcPr/>
          <w:p>
            <w:pPr>
              <w:pStyle w:val="Compact"/>
            </w:pPr>
            <w:r>
              <w:t xml:space="preserve">Medication error rate</w:t>
            </w:r>
          </w:p>
        </w:tc>
        <w:tc>
          <w:tcPr/>
          <w:p>
            <w:pPr>
              <w:pStyle w:val="Compact"/>
            </w:pPr>
            <w:r>
              <w:t xml:space="preserve">Errors per 1,000 prescriptions</w:t>
            </w:r>
          </w:p>
        </w:tc>
        <w:tc>
          <w:tcPr/>
          <w:p>
            <w:pPr>
              <w:pStyle w:val="Compact"/>
            </w:pPr>
            <w:r>
              <w:t xml:space="preserve">[BASELINE-TBD]</w:t>
            </w:r>
          </w:p>
        </w:tc>
        <w:tc>
          <w:tcPr/>
          <w:p>
            <w:pPr>
              <w:pStyle w:val="Compact"/>
            </w:pPr>
            <w:r>
              <w:t xml:space="preserve">Reduction vs. manual baseline (target TBD after pilot data)</w:t>
            </w:r>
          </w:p>
        </w:tc>
        <w:tc>
          <w:tcPr/>
          <w:p>
            <w:pPr>
              <w:pStyle w:val="Compact"/>
            </w:pPr>
            <w:r>
              <w:t xml:space="preserve">Phase 1 + 6 months</w:t>
            </w:r>
          </w:p>
        </w:tc>
      </w:tr>
      <w:tr>
        <w:tc>
          <w:tcPr/>
          <w:p>
            <w:pPr>
              <w:pStyle w:val="Compact"/>
            </w:pPr>
            <w:r>
              <w:t xml:space="preserve">CDS override rate</w:t>
            </w:r>
          </w:p>
        </w:tc>
        <w:tc>
          <w:tcPr/>
          <w:p>
            <w:pPr>
              <w:pStyle w:val="Compact"/>
            </w:pPr>
            <w:r>
              <w:t xml:space="preserve">% of drug interaction alerts overridden by clinicians</w:t>
            </w:r>
          </w:p>
        </w:tc>
        <w:tc>
          <w:tcPr/>
          <w:p>
            <w:pPr>
              <w:pStyle w:val="Compact"/>
            </w:pPr>
            <w:r>
              <w:t xml:space="preserve">[BASELINE-TBD]</w:t>
            </w:r>
          </w:p>
        </w:tc>
        <w:tc>
          <w:tcPr/>
          <w:p>
            <w:pPr>
              <w:pStyle w:val="Compact"/>
            </w:pPr>
            <w:r>
              <w:t xml:space="preserve">Less than 30% (WHO benchmark for alert fatigue threshold)</w:t>
            </w:r>
          </w:p>
        </w:tc>
        <w:tc>
          <w:tcPr/>
          <w:p>
            <w:pPr>
              <w:pStyle w:val="Compact"/>
            </w:pPr>
            <w:r>
              <w:t xml:space="preserve">Phase 1 + 6 months</w:t>
            </w:r>
          </w:p>
        </w:tc>
      </w:tr>
      <w:tr>
        <w:tc>
          <w:tcPr/>
          <w:p>
            <w:pPr>
              <w:pStyle w:val="Compact"/>
            </w:pPr>
            <w:r>
              <w:t xml:space="preserve">CDS override audit completeness</w:t>
            </w:r>
          </w:p>
        </w:tc>
        <w:tc>
          <w:tcPr/>
          <w:p>
            <w:pPr>
              <w:pStyle w:val="Compact"/>
            </w:pPr>
            <w:r>
              <w:t xml:space="preserve">% of overrides with documented reason</w:t>
            </w:r>
          </w:p>
        </w:tc>
        <w:tc>
          <w:tcPr/>
          <w:p>
            <w:pPr>
              <w:pStyle w:val="Compact"/>
            </w:pPr>
            <w:r>
              <w:t xml:space="preserve">0%</w:t>
            </w:r>
          </w:p>
        </w:tc>
        <w:tc>
          <w:tcPr/>
          <w:p>
            <w:pPr>
              <w:pStyle w:val="Compact"/>
            </w:pPr>
            <w:r>
              <w:t xml:space="preserve">100%</w:t>
            </w:r>
          </w:p>
        </w:tc>
        <w:tc>
          <w:tcPr/>
          <w:p>
            <w:pPr>
              <w:pStyle w:val="Compact"/>
            </w:pPr>
            <w:r>
              <w:t xml:space="preserve">Phase 1 launch</w:t>
            </w:r>
          </w:p>
        </w:tc>
      </w:tr>
    </w:tbl>
    <w:bookmarkEnd w:id="28"/>
    <w:bookmarkStart w:id="29" w:name="X18c7a3ad952cf3c973e5e8666a3621e3636d784"/>
    <w:p>
      <w:pPr>
        <w:pStyle w:val="Heading3"/>
      </w:pPr>
      <w:r>
        <w:t xml:space="preserve">7.4 Operational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Metric</w:t>
            </w:r>
          </w:p>
        </w:tc>
        <w:tc>
          <w:tcPr/>
          <w:p>
            <w:pPr>
              <w:pStyle w:val="Compact"/>
            </w:pPr>
            <w:r>
              <w:t xml:space="preserve">Baseline</w:t>
            </w:r>
          </w:p>
        </w:tc>
        <w:tc>
          <w:tcPr/>
          <w:p>
            <w:pPr>
              <w:pStyle w:val="Compact"/>
            </w:pPr>
            <w:r>
              <w:t xml:space="preserve">Target</w:t>
            </w:r>
          </w:p>
        </w:tc>
        <w:tc>
          <w:tcPr/>
          <w:p>
            <w:pPr>
              <w:pStyle w:val="Compact"/>
            </w:pPr>
            <w:r>
              <w:t xml:space="preserve">Timeline</w:t>
            </w:r>
          </w:p>
        </w:tc>
      </w:tr>
      <w:tr>
        <w:tc>
          <w:tcPr/>
          <w:p>
            <w:pPr>
              <w:pStyle w:val="Compact"/>
            </w:pPr>
            <w:r>
              <w:t xml:space="preserve">System uptime</w:t>
            </w:r>
          </w:p>
        </w:tc>
        <w:tc>
          <w:tcPr/>
          <w:p>
            <w:pPr>
              <w:pStyle w:val="Compact"/>
            </w:pPr>
            <w:r>
              <w:t xml:space="preserve">Monthly uptime %</w:t>
            </w:r>
          </w:p>
        </w:tc>
        <w:tc>
          <w:tcPr/>
          <w:p>
            <w:pPr>
              <w:pStyle w:val="Compact"/>
            </w:pPr>
            <w:r>
              <w:t xml:space="preserve">[BASELINE-TBD]</w:t>
            </w:r>
          </w:p>
        </w:tc>
        <w:tc>
          <w:tcPr/>
          <w:p>
            <w:pPr>
              <w:pStyle w:val="Compact"/>
            </w:pPr>
            <w:r>
              <w:t xml:space="preserve">99.5% or higher</w:t>
            </w:r>
          </w:p>
        </w:tc>
        <w:tc>
          <w:tcPr/>
          <w:p>
            <w:pPr>
              <w:pStyle w:val="Compact"/>
            </w:pPr>
            <w:r>
              <w:t xml:space="preserve">Phase 1 launch</w:t>
            </w:r>
          </w:p>
        </w:tc>
      </w:tr>
      <w:tr>
        <w:tc>
          <w:tcPr/>
          <w:p>
            <w:pPr>
              <w:pStyle w:val="Compact"/>
            </w:pPr>
            <w:r>
              <w:t xml:space="preserve">Offline resilience</w:t>
            </w:r>
          </w:p>
        </w:tc>
        <w:tc>
          <w:tcPr/>
          <w:p>
            <w:pPr>
              <w:pStyle w:val="Compact"/>
            </w:pPr>
            <w:r>
              <w:t xml:space="preserve">Core clinical workflows operable without internet</w:t>
            </w:r>
          </w:p>
        </w:tc>
        <w:tc>
          <w:tcPr/>
          <w:p>
            <w:pPr>
              <w:pStyle w:val="Compact"/>
            </w:pPr>
            <w:r>
              <w:t xml:space="preserve">Not applicable (no system)</w:t>
            </w:r>
          </w:p>
        </w:tc>
        <w:tc>
          <w:tcPr/>
          <w:p>
            <w:pPr>
              <w:pStyle w:val="Compact"/>
            </w:pPr>
            <w:r>
              <w:t xml:space="preserve">Patient registration, vitals, prescribing, dispensing all functional offline</w:t>
            </w:r>
          </w:p>
        </w:tc>
        <w:tc>
          <w:tcPr/>
          <w:p>
            <w:pPr>
              <w:pStyle w:val="Compact"/>
            </w:pPr>
            <w:r>
              <w:t xml:space="preserve">Phase 1 launch</w:t>
            </w:r>
          </w:p>
        </w:tc>
      </w:tr>
      <w:tr>
        <w:tc>
          <w:tcPr/>
          <w:p>
            <w:pPr>
              <w:pStyle w:val="Compact"/>
            </w:pPr>
            <w:r>
              <w:t xml:space="preserve">HMIS accuracy</w:t>
            </w:r>
          </w:p>
        </w:tc>
        <w:tc>
          <w:tcPr/>
          <w:p>
            <w:pPr>
              <w:pStyle w:val="Compact"/>
            </w:pPr>
            <w:r>
              <w:t xml:space="preserve">Variance between Medic8 auto-generated HMIS 105 and manual tally</w:t>
            </w:r>
          </w:p>
        </w:tc>
        <w:tc>
          <w:tcPr/>
          <w:p>
            <w:pPr>
              <w:pStyle w:val="Compact"/>
            </w:pPr>
            <w:r>
              <w:t xml:space="preserve">[BASELINE-TBD]</w:t>
            </w:r>
          </w:p>
        </w:tc>
        <w:tc>
          <w:tcPr/>
          <w:p>
            <w:pPr>
              <w:pStyle w:val="Compact"/>
            </w:pPr>
            <w:r>
              <w:t xml:space="preserve">Less than 1% variance</w:t>
            </w:r>
          </w:p>
        </w:tc>
        <w:tc>
          <w:tcPr/>
          <w:p>
            <w:pPr>
              <w:pStyle w:val="Compact"/>
            </w:pPr>
            <w:r>
              <w:t xml:space="preserve">Phase 2 gate</w:t>
            </w:r>
          </w:p>
        </w:tc>
      </w:tr>
      <w:tr>
        <w:tc>
          <w:tcPr/>
          <w:p>
            <w:pPr>
              <w:pStyle w:val="Compact"/>
            </w:pPr>
            <w:r>
              <w:t xml:space="preserve">Cash billing reconciliation</w:t>
            </w:r>
          </w:p>
        </w:tc>
        <w:tc>
          <w:tcPr/>
          <w:p>
            <w:pPr>
              <w:pStyle w:val="Compact"/>
            </w:pPr>
            <w:r>
              <w:t xml:space="preserve">Reconciliation rate (matched transactions / total transactions)</w:t>
            </w:r>
          </w:p>
        </w:tc>
        <w:tc>
          <w:tcPr/>
          <w:p>
            <w:pPr>
              <w:pStyle w:val="Compact"/>
            </w:pPr>
            <w:r>
              <w:t xml:space="preserve">[BASELINE-TBD]</w:t>
            </w:r>
          </w:p>
        </w:tc>
        <w:tc>
          <w:tcPr/>
          <w:p>
            <w:pPr>
              <w:pStyle w:val="Compact"/>
            </w:pPr>
            <w:r>
              <w:t xml:space="preserve">95% or higher</w:t>
            </w:r>
          </w:p>
        </w:tc>
        <w:tc>
          <w:tcPr/>
          <w:p>
            <w:pPr>
              <w:pStyle w:val="Compact"/>
            </w:pPr>
            <w:r>
              <w:t xml:space="preserve">Phase 1 gate</w:t>
            </w:r>
          </w:p>
        </w:tc>
      </w:tr>
      <w:tr>
        <w:tc>
          <w:tcPr/>
          <w:p>
            <w:pPr>
              <w:pStyle w:val="Compact"/>
            </w:pPr>
            <w:r>
              <w:t xml:space="preserve">API response time</w:t>
            </w:r>
          </w:p>
        </w:tc>
        <w:tc>
          <w:tcPr/>
          <w:p>
            <w:pPr>
              <w:pStyle w:val="Compact"/>
            </w:pPr>
            <w:r>
              <w:t xml:space="preserve">P95 response time under normal load</w:t>
            </w:r>
          </w:p>
        </w:tc>
        <w:tc>
          <w:tcPr/>
          <w:p>
            <w:pPr>
              <w:pStyle w:val="Compact"/>
            </w:pPr>
            <w:r>
              <w:t xml:space="preserve">[BASELINE-TBD]</w:t>
            </w:r>
          </w:p>
        </w:tc>
        <w:tc>
          <w:tcPr/>
          <w:p>
            <w:pPr>
              <w:pStyle w:val="Compact"/>
            </w:pPr>
            <w:r>
              <w:t xml:space="preserve">2 seconds or less</w:t>
            </w:r>
          </w:p>
        </w:tc>
        <w:tc>
          <w:tcPr/>
          <w:p>
            <w:pPr>
              <w:pStyle w:val="Compact"/>
            </w:pPr>
            <w:r>
              <w:t xml:space="preserve">Phase 1 launch</w:t>
            </w:r>
          </w:p>
        </w:tc>
      </w:tr>
      <w:tr>
        <w:tc>
          <w:tcPr/>
          <w:p>
            <w:pPr>
              <w:pStyle w:val="Compact"/>
            </w:pPr>
            <w:r>
              <w:t xml:space="preserve">Page load time on 3G</w:t>
            </w:r>
          </w:p>
        </w:tc>
        <w:tc>
          <w:tcPr/>
          <w:p>
            <w:pPr>
              <w:pStyle w:val="Compact"/>
            </w:pPr>
            <w:r>
              <w:t xml:space="preserve">Time to interactive on 1 Mbps connection</w:t>
            </w:r>
          </w:p>
        </w:tc>
        <w:tc>
          <w:tcPr/>
          <w:p>
            <w:pPr>
              <w:pStyle w:val="Compact"/>
            </w:pPr>
            <w:r>
              <w:t xml:space="preserve">[BASELINE-TBD]</w:t>
            </w:r>
          </w:p>
        </w:tc>
        <w:tc>
          <w:tcPr/>
          <w:p>
            <w:pPr>
              <w:pStyle w:val="Compact"/>
            </w:pPr>
            <w:r>
              <w:t xml:space="preserve">3 seconds or less</w:t>
            </w:r>
          </w:p>
        </w:tc>
        <w:tc>
          <w:tcPr/>
          <w:p>
            <w:pPr>
              <w:pStyle w:val="Compact"/>
            </w:pPr>
            <w:r>
              <w:t xml:space="preserve">Phase 1 launch</w:t>
            </w:r>
          </w:p>
        </w:tc>
      </w:tr>
      <w:tr>
        <w:tc>
          <w:tcPr/>
          <w:p>
            <w:pPr>
              <w:pStyle w:val="Compact"/>
            </w:pPr>
            <w:r>
              <w:t xml:space="preserve">Recovery Point Objective (RPO)</w:t>
            </w:r>
          </w:p>
        </w:tc>
        <w:tc>
          <w:tcPr/>
          <w:p>
            <w:pPr>
              <w:pStyle w:val="Compact"/>
            </w:pPr>
            <w:r>
              <w:t xml:space="preserve">Maximum data loss window</w:t>
            </w:r>
          </w:p>
        </w:tc>
        <w:tc>
          <w:tcPr/>
          <w:p>
            <w:pPr>
              <w:pStyle w:val="Compact"/>
            </w:pPr>
            <w:r>
              <w:t xml:space="preserve">Not applicable</w:t>
            </w:r>
          </w:p>
        </w:tc>
        <w:tc>
          <w:tcPr/>
          <w:p>
            <w:pPr>
              <w:pStyle w:val="Compact"/>
            </w:pPr>
            <w:r>
              <w:t xml:space="preserve">24 hours or less</w:t>
            </w:r>
          </w:p>
        </w:tc>
        <w:tc>
          <w:tcPr/>
          <w:p>
            <w:pPr>
              <w:pStyle w:val="Compact"/>
            </w:pPr>
            <w:r>
              <w:t xml:space="preserve">Phase 1 launch</w:t>
            </w:r>
          </w:p>
        </w:tc>
      </w:tr>
      <w:tr>
        <w:tc>
          <w:tcPr/>
          <w:p>
            <w:pPr>
              <w:pStyle w:val="Compact"/>
            </w:pPr>
            <w:r>
              <w:t xml:space="preserve">Recovery Time Objective (RTO)</w:t>
            </w:r>
          </w:p>
        </w:tc>
        <w:tc>
          <w:tcPr/>
          <w:p>
            <w:pPr>
              <w:pStyle w:val="Compact"/>
            </w:pPr>
            <w:r>
              <w:t xml:space="preserve">Maximum downtime after failure</w:t>
            </w:r>
          </w:p>
        </w:tc>
        <w:tc>
          <w:tcPr/>
          <w:p>
            <w:pPr>
              <w:pStyle w:val="Compact"/>
            </w:pPr>
            <w:r>
              <w:t xml:space="preserve">Not applicable</w:t>
            </w:r>
          </w:p>
        </w:tc>
        <w:tc>
          <w:tcPr/>
          <w:p>
            <w:pPr>
              <w:pStyle w:val="Compact"/>
            </w:pPr>
            <w:r>
              <w:t xml:space="preserve">4 hours or less</w:t>
            </w:r>
          </w:p>
        </w:tc>
        <w:tc>
          <w:tcPr/>
          <w:p>
            <w:pPr>
              <w:pStyle w:val="Compact"/>
            </w:pPr>
            <w:r>
              <w:t xml:space="preserve">Phase 1 launch</w:t>
            </w:r>
          </w:p>
        </w:tc>
      </w:tr>
    </w:tbl>
    <w:bookmarkEnd w:id="29"/>
    <w:bookmarkStart w:id="30" w:name="X76babcab5ed1567a69fb7e4cd77aea0d11df46a"/>
    <w:p>
      <w:pPr>
        <w:pStyle w:val="Heading3"/>
      </w:pPr>
      <w:r>
        <w:t xml:space="preserve">7.5 Donor and Programme Reporting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Metric</w:t>
            </w:r>
          </w:p>
        </w:tc>
        <w:tc>
          <w:tcPr/>
          <w:p>
            <w:pPr>
              <w:pStyle w:val="Compact"/>
            </w:pPr>
            <w:r>
              <w:t xml:space="preserve">Baseline</w:t>
            </w:r>
          </w:p>
        </w:tc>
        <w:tc>
          <w:tcPr/>
          <w:p>
            <w:pPr>
              <w:pStyle w:val="Compact"/>
            </w:pPr>
            <w:r>
              <w:t xml:space="preserve">Target</w:t>
            </w:r>
          </w:p>
        </w:tc>
        <w:tc>
          <w:tcPr/>
          <w:p>
            <w:pPr>
              <w:pStyle w:val="Compact"/>
            </w:pPr>
            <w:r>
              <w:t xml:space="preserve">Timeline</w:t>
            </w:r>
          </w:p>
        </w:tc>
      </w:tr>
      <w:tr>
        <w:tc>
          <w:tcPr/>
          <w:p>
            <w:pPr>
              <w:pStyle w:val="Compact"/>
            </w:pPr>
            <w:r>
              <w:t xml:space="preserve">PEPFAR MER indicator accuracy</w:t>
            </w:r>
          </w:p>
        </w:tc>
        <w:tc>
          <w:tcPr/>
          <w:p>
            <w:pPr>
              <w:pStyle w:val="Compact"/>
            </w:pPr>
            <w:r>
              <w:t xml:space="preserve">Variance between Medic8-calculated and manual tally for TX_CURR, TX_NEW, TX_PVLS</w:t>
            </w:r>
          </w:p>
        </w:tc>
        <w:tc>
          <w:tcPr/>
          <w:p>
            <w:pPr>
              <w:pStyle w:val="Compact"/>
            </w:pPr>
            <w:r>
              <w:t xml:space="preserve">[BASELINE-TBD]</w:t>
            </w:r>
          </w:p>
        </w:tc>
        <w:tc>
          <w:tcPr/>
          <w:p>
            <w:pPr>
              <w:pStyle w:val="Compact"/>
            </w:pPr>
            <w:r>
              <w:t xml:space="preserve">Less than 1% variance</w:t>
            </w:r>
          </w:p>
        </w:tc>
        <w:tc>
          <w:tcPr/>
          <w:p>
            <w:pPr>
              <w:pStyle w:val="Compact"/>
            </w:pPr>
            <w:r>
              <w:t xml:space="preserve">Phase 3 gate</w:t>
            </w:r>
          </w:p>
        </w:tc>
      </w:tr>
      <w:tr>
        <w:tc>
          <w:tcPr/>
          <w:p>
            <w:pPr>
              <w:pStyle w:val="Compact"/>
            </w:pPr>
            <w:r>
              <w:t xml:space="preserve">FHIR R4 conformance</w:t>
            </w:r>
          </w:p>
        </w:tc>
        <w:tc>
          <w:tcPr/>
          <w:p>
            <w:pPr>
              <w:pStyle w:val="Compact"/>
            </w:pPr>
            <w:r>
              <w:t xml:space="preserve">Pass rate on ONC certification test suite</w:t>
            </w:r>
          </w:p>
        </w:tc>
        <w:tc>
          <w:tcPr/>
          <w:p>
            <w:pPr>
              <w:pStyle w:val="Compact"/>
            </w:pPr>
            <w:r>
              <w:t xml:space="preserve">0%</w:t>
            </w:r>
          </w:p>
        </w:tc>
        <w:tc>
          <w:tcPr/>
          <w:p>
            <w:pPr>
              <w:pStyle w:val="Compact"/>
            </w:pPr>
            <w:r>
              <w:t xml:space="preserve">100% pass</w:t>
            </w:r>
          </w:p>
        </w:tc>
        <w:tc>
          <w:tcPr/>
          <w:p>
            <w:pPr>
              <w:pStyle w:val="Compact"/>
            </w:pPr>
            <w:r>
              <w:t xml:space="preserve">Phase 3 gate</w:t>
            </w:r>
          </w:p>
        </w:tc>
      </w:tr>
      <w:tr>
        <w:tc>
          <w:tcPr/>
          <w:p>
            <w:pPr>
              <w:pStyle w:val="Compact"/>
            </w:pPr>
            <w:r>
              <w:t xml:space="preserve">Insurance claims processing</w:t>
            </w:r>
          </w:p>
        </w:tc>
        <w:tc>
          <w:tcPr/>
          <w:p>
            <w:pPr>
              <w:pStyle w:val="Compact"/>
            </w:pPr>
            <w:r>
              <w:t xml:space="preserve">Claims validated with 3+ Uganda insurers</w:t>
            </w:r>
          </w:p>
        </w:tc>
        <w:tc>
          <w:tcPr/>
          <w:p>
            <w:pPr>
              <w:pStyle w:val="Compact"/>
            </w:pPr>
            <w:r>
              <w:t xml:space="preserve">0 insurers</w:t>
            </w:r>
          </w:p>
        </w:tc>
        <w:tc>
          <w:tcPr/>
          <w:p>
            <w:pPr>
              <w:pStyle w:val="Compact"/>
            </w:pPr>
            <w:r>
              <w:t xml:space="preserve">3 or more insurers</w:t>
            </w:r>
          </w:p>
        </w:tc>
        <w:tc>
          <w:tcPr/>
          <w:p>
            <w:pPr>
              <w:pStyle w:val="Compact"/>
            </w:pPr>
            <w:r>
              <w:t xml:space="preserve">Phase 4 gate</w:t>
            </w:r>
          </w:p>
        </w:tc>
      </w:tr>
    </w:tbl>
    <w:bookmarkEnd w:id="30"/>
    <w:bookmarkStart w:id="31" w:name="X8bae4c7f32c61cfad4ab8f462df0227611373dd"/>
    <w:p>
      <w:pPr>
        <w:pStyle w:val="Heading3"/>
      </w:pPr>
      <w:r>
        <w:t xml:space="preserve">7.6 User Satisfaction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Metric</w:t>
            </w:r>
          </w:p>
        </w:tc>
        <w:tc>
          <w:tcPr/>
          <w:p>
            <w:pPr>
              <w:pStyle w:val="Compact"/>
            </w:pPr>
            <w:r>
              <w:t xml:space="preserve">Baseline</w:t>
            </w:r>
          </w:p>
        </w:tc>
        <w:tc>
          <w:tcPr/>
          <w:p>
            <w:pPr>
              <w:pStyle w:val="Compact"/>
            </w:pPr>
            <w:r>
              <w:t xml:space="preserve">Target</w:t>
            </w:r>
          </w:p>
        </w:tc>
        <w:tc>
          <w:tcPr/>
          <w:p>
            <w:pPr>
              <w:pStyle w:val="Compact"/>
            </w:pPr>
            <w:r>
              <w:t xml:space="preserve">Timeline</w:t>
            </w:r>
          </w:p>
        </w:tc>
      </w:tr>
      <w:tr>
        <w:tc>
          <w:tcPr/>
          <w:p>
            <w:pPr>
              <w:pStyle w:val="Compact"/>
            </w:pPr>
            <w:r>
              <w:t xml:space="preserve">Net Promoter Score (NPS)</w:t>
            </w:r>
          </w:p>
        </w:tc>
        <w:tc>
          <w:tcPr/>
          <w:p>
            <w:pPr>
              <w:pStyle w:val="Compact"/>
            </w:pPr>
            <w:r>
              <w:t xml:space="preserve">NPS from facility administrators</w:t>
            </w:r>
          </w:p>
        </w:tc>
        <w:tc>
          <w:tcPr/>
          <w:p>
            <w:pPr>
              <w:pStyle w:val="Compact"/>
            </w:pPr>
            <w:r>
              <w:t xml:space="preserve">[BASELINE-TBD]</w:t>
            </w:r>
          </w:p>
        </w:tc>
        <w:tc>
          <w:tcPr/>
          <w:p>
            <w:pPr>
              <w:pStyle w:val="Compact"/>
            </w:pPr>
            <w:r>
              <w:t xml:space="preserve">40 or higher</w:t>
            </w:r>
          </w:p>
        </w:tc>
        <w:tc>
          <w:tcPr/>
          <w:p>
            <w:pPr>
              <w:pStyle w:val="Compact"/>
            </w:pPr>
            <w:r>
              <w:t xml:space="preserve">Phase 2 + 6 months</w:t>
            </w:r>
          </w:p>
        </w:tc>
      </w:tr>
      <w:tr>
        <w:tc>
          <w:tcPr/>
          <w:p>
            <w:pPr>
              <w:pStyle w:val="Compact"/>
            </w:pPr>
            <w:r>
              <w:t xml:space="preserve">Support ticket volume</w:t>
            </w:r>
          </w:p>
        </w:tc>
        <w:tc>
          <w:tcPr/>
          <w:p>
            <w:pPr>
              <w:pStyle w:val="Compact"/>
            </w:pPr>
            <w:r>
              <w:t xml:space="preserve">Tickets per facility per month</w:t>
            </w:r>
          </w:p>
        </w:tc>
        <w:tc>
          <w:tcPr/>
          <w:p>
            <w:pPr>
              <w:pStyle w:val="Compact"/>
            </w:pPr>
            <w:r>
              <w:t xml:space="preserve">[BASELINE-TBD]</w:t>
            </w:r>
          </w:p>
        </w:tc>
        <w:tc>
          <w:tcPr/>
          <w:p>
            <w:pPr>
              <w:pStyle w:val="Compact"/>
            </w:pPr>
            <w:r>
              <w:t xml:space="preserve">Declining trend after onboarding (target: fewer than 5 tickets per facility per month after 90 days)</w:t>
            </w:r>
          </w:p>
        </w:tc>
        <w:tc>
          <w:tcPr/>
          <w:p>
            <w:pPr>
              <w:pStyle w:val="Compact"/>
            </w:pPr>
            <w:r>
              <w:t xml:space="preserve">Phase 1 + 3 months</w:t>
            </w:r>
          </w:p>
        </w:tc>
      </w:tr>
      <w:tr>
        <w:tc>
          <w:tcPr/>
          <w:p>
            <w:pPr>
              <w:pStyle w:val="Compact"/>
            </w:pPr>
            <w:r>
              <w:t xml:space="preserve">Post-onboarding retention</w:t>
            </w:r>
          </w:p>
        </w:tc>
        <w:tc>
          <w:tcPr/>
          <w:p>
            <w:pPr>
              <w:pStyle w:val="Compact"/>
            </w:pPr>
            <w:r>
              <w:t xml:space="preserve">% of facilities active after 90 days</w:t>
            </w:r>
          </w:p>
        </w:tc>
        <w:tc>
          <w:tcPr/>
          <w:p>
            <w:pPr>
              <w:pStyle w:val="Compact"/>
            </w:pPr>
            <w:r>
              <w:t xml:space="preserve">[BASELINE-TBD]</w:t>
            </w:r>
          </w:p>
        </w:tc>
        <w:tc>
          <w:tcPr/>
          <w:p>
            <w:pPr>
              <w:pStyle w:val="Compact"/>
            </w:pPr>
            <w:r>
              <w:t xml:space="preserve">90% or higher</w:t>
            </w:r>
          </w:p>
        </w:tc>
        <w:tc>
          <w:tcPr/>
          <w:p>
            <w:pPr>
              <w:pStyle w:val="Compact"/>
            </w:pPr>
            <w:r>
              <w:t xml:space="preserve">Phase 1 + 3 months</w:t>
            </w:r>
          </w:p>
        </w:tc>
      </w:tr>
    </w:tbl>
    <w:p>
      <w:r>
        <w:pict>
          <v:rect style="width:0;height:1.5pt" o:hralign="center" o:hrstd="t" o:hr="t"/>
        </w:pict>
      </w:r>
    </w:p>
    <w:bookmarkEnd w:id="31"/>
    <w:bookmarkEnd w:id="32"/>
    <w:bookmarkStart w:id="35" w:name="X0a7ebf1827e4ee0d4f8c4bd9e4aee390f413cf5"/>
    <w:p>
      <w:pPr>
        <w:pStyle w:val="Heading2"/>
      </w:pPr>
      <w:r>
        <w:t xml:space="preserve">8 Scope Boundaries</w:t>
      </w:r>
    </w:p>
    <w:bookmarkStart w:id="33" w:name="X3eeca94692e27b6c6df37d20127ea9f804ce515"/>
    <w:p>
      <w:pPr>
        <w:pStyle w:val="Heading3"/>
      </w:pPr>
      <w:r>
        <w:t xml:space="preserve">8.1 In-Scope Modules (31 Modules Across 4 Phases)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Module</w:t>
            </w:r>
          </w:p>
        </w:tc>
        <w:tc>
          <w:tcPr/>
          <w:p>
            <w:pPr>
              <w:pStyle w:val="Compact"/>
            </w:pPr>
            <w:r>
              <w:t xml:space="preserve">Phase</w:t>
            </w:r>
          </w:p>
        </w:tc>
        <w:tc>
          <w:tcPr/>
          <w:p>
            <w:pPr>
              <w:pStyle w:val="Compact"/>
            </w:pPr>
            <w:r>
              <w:t xml:space="preserve">Tier</w:t>
            </w:r>
          </w:p>
        </w:tc>
      </w:tr>
      <w:tr>
        <w:tc>
          <w:tcPr/>
          <w:p>
            <w:pPr>
              <w:pStyle w:val="Compact"/>
            </w:pPr>
            <w:r>
              <w:t xml:space="preserve">1</w:t>
            </w:r>
          </w:p>
        </w:tc>
        <w:tc>
          <w:tcPr/>
          <w:p>
            <w:pPr>
              <w:pStyle w:val="Compact"/>
            </w:pPr>
            <w:r>
              <w:t xml:space="preserve">Patient Registration and Master Index</w:t>
            </w:r>
          </w:p>
        </w:tc>
        <w:tc>
          <w:tcPr/>
          <w:p>
            <w:pPr>
              <w:pStyle w:val="Compact"/>
            </w:pPr>
            <w:r>
              <w:t xml:space="preserve">1</w:t>
            </w:r>
          </w:p>
        </w:tc>
        <w:tc>
          <w:tcPr/>
          <w:p>
            <w:pPr>
              <w:pStyle w:val="Compact"/>
            </w:pPr>
            <w:r>
              <w:t xml:space="preserve">All</w:t>
            </w:r>
          </w:p>
        </w:tc>
      </w:tr>
      <w:tr>
        <w:tc>
          <w:tcPr/>
          <w:p>
            <w:pPr>
              <w:pStyle w:val="Compact"/>
            </w:pPr>
            <w:r>
              <w:t xml:space="preserve">2</w:t>
            </w:r>
          </w:p>
        </w:tc>
        <w:tc>
          <w:tcPr/>
          <w:p>
            <w:pPr>
              <w:pStyle w:val="Compact"/>
            </w:pPr>
            <w:r>
              <w:t xml:space="preserve">Outpatient Department (OPD)</w:t>
            </w:r>
          </w:p>
        </w:tc>
        <w:tc>
          <w:tcPr/>
          <w:p>
            <w:pPr>
              <w:pStyle w:val="Compact"/>
            </w:pPr>
            <w:r>
              <w:t xml:space="preserve">1</w:t>
            </w:r>
          </w:p>
        </w:tc>
        <w:tc>
          <w:tcPr/>
          <w:p>
            <w:pPr>
              <w:pStyle w:val="Compact"/>
            </w:pPr>
            <w:r>
              <w:t xml:space="preserve">All</w:t>
            </w:r>
          </w:p>
        </w:tc>
      </w:tr>
      <w:tr>
        <w:tc>
          <w:tcPr/>
          <w:p>
            <w:pPr>
              <w:pStyle w:val="Compact"/>
            </w:pPr>
            <w:r>
              <w:t xml:space="preserve">3</w:t>
            </w:r>
          </w:p>
        </w:tc>
        <w:tc>
          <w:tcPr/>
          <w:p>
            <w:pPr>
              <w:pStyle w:val="Compact"/>
            </w:pPr>
            <w:r>
              <w:t xml:space="preserve">Laboratory Information System (LIS)</w:t>
            </w:r>
          </w:p>
        </w:tc>
        <w:tc>
          <w:tcPr/>
          <w:p>
            <w:pPr>
              <w:pStyle w:val="Compact"/>
            </w:pPr>
            <w:r>
              <w:t xml:space="preserve">1</w:t>
            </w:r>
          </w:p>
        </w:tc>
        <w:tc>
          <w:tcPr/>
          <w:p>
            <w:pPr>
              <w:pStyle w:val="Compact"/>
            </w:pPr>
            <w:r>
              <w:t xml:space="preserve">All</w:t>
            </w:r>
          </w:p>
        </w:tc>
      </w:tr>
      <w:tr>
        <w:tc>
          <w:tcPr/>
          <w:p>
            <w:pPr>
              <w:pStyle w:val="Compact"/>
            </w:pPr>
            <w:r>
              <w:t xml:space="preserve">4</w:t>
            </w:r>
          </w:p>
        </w:tc>
        <w:tc>
          <w:tcPr/>
          <w:p>
            <w:pPr>
              <w:pStyle w:val="Compact"/>
            </w:pPr>
            <w:r>
              <w:t xml:space="preserve">Pharmacy and Dispensary</w:t>
            </w:r>
          </w:p>
        </w:tc>
        <w:tc>
          <w:tcPr/>
          <w:p>
            <w:pPr>
              <w:pStyle w:val="Compact"/>
            </w:pPr>
            <w:r>
              <w:t xml:space="preserve">1</w:t>
            </w:r>
          </w:p>
        </w:tc>
        <w:tc>
          <w:tcPr/>
          <w:p>
            <w:pPr>
              <w:pStyle w:val="Compact"/>
            </w:pPr>
            <w:r>
              <w:t xml:space="preserve">All</w:t>
            </w:r>
          </w:p>
        </w:tc>
      </w:tr>
      <w:tr>
        <w:tc>
          <w:tcPr/>
          <w:p>
            <w:pPr>
              <w:pStyle w:val="Compact"/>
            </w:pPr>
            <w:r>
              <w:t xml:space="preserve">5</w:t>
            </w:r>
          </w:p>
        </w:tc>
        <w:tc>
          <w:tcPr/>
          <w:p>
            <w:pPr>
              <w:pStyle w:val="Compact"/>
            </w:pPr>
            <w:r>
              <w:t xml:space="preserve">Billing and Revenue Management</w:t>
            </w:r>
          </w:p>
        </w:tc>
        <w:tc>
          <w:tcPr/>
          <w:p>
            <w:pPr>
              <w:pStyle w:val="Compact"/>
            </w:pPr>
            <w:r>
              <w:t xml:space="preserve">1</w:t>
            </w:r>
          </w:p>
        </w:tc>
        <w:tc>
          <w:tcPr/>
          <w:p>
            <w:pPr>
              <w:pStyle w:val="Compact"/>
            </w:pPr>
            <w:r>
              <w:t xml:space="preserve">All</w:t>
            </w:r>
          </w:p>
        </w:tc>
      </w:tr>
      <w:tr>
        <w:tc>
          <w:tcPr/>
          <w:p>
            <w:pPr>
              <w:pStyle w:val="Compact"/>
            </w:pPr>
            <w:r>
              <w:t xml:space="preserve">6</w:t>
            </w:r>
          </w:p>
        </w:tc>
        <w:tc>
          <w:tcPr/>
          <w:p>
            <w:pPr>
              <w:pStyle w:val="Compact"/>
            </w:pPr>
            <w:r>
              <w:t xml:space="preserve">Appointments and Scheduling</w:t>
            </w:r>
          </w:p>
        </w:tc>
        <w:tc>
          <w:tcPr/>
          <w:p>
            <w:pPr>
              <w:pStyle w:val="Compact"/>
            </w:pPr>
            <w:r>
              <w:t xml:space="preserve">1</w:t>
            </w:r>
          </w:p>
        </w:tc>
        <w:tc>
          <w:tcPr/>
          <w:p>
            <w:pPr>
              <w:pStyle w:val="Compact"/>
            </w:pPr>
            <w:r>
              <w:t xml:space="preserve">All</w:t>
            </w:r>
          </w:p>
        </w:tc>
      </w:tr>
      <w:tr>
        <w:tc>
          <w:tcPr/>
          <w:p>
            <w:pPr>
              <w:pStyle w:val="Compact"/>
            </w:pPr>
            <w:r>
              <w:t xml:space="preserve">7</w:t>
            </w:r>
          </w:p>
        </w:tc>
        <w:tc>
          <w:tcPr/>
          <w:p>
            <w:pPr>
              <w:pStyle w:val="Compact"/>
            </w:pPr>
            <w:r>
              <w:t xml:space="preserve">Inpatient Department (IPD) and Ward Management</w:t>
            </w:r>
          </w:p>
        </w:tc>
        <w:tc>
          <w:tcPr/>
          <w:p>
            <w:pPr>
              <w:pStyle w:val="Compact"/>
            </w:pPr>
            <w:r>
              <w:t xml:space="preserve">2</w:t>
            </w:r>
          </w:p>
        </w:tc>
        <w:tc>
          <w:tcPr/>
          <w:p>
            <w:pPr>
              <w:pStyle w:val="Compact"/>
            </w:pPr>
            <w:r>
              <w:t xml:space="preserve">All</w:t>
            </w:r>
          </w:p>
        </w:tc>
      </w:tr>
      <w:tr>
        <w:tc>
          <w:tcPr/>
          <w:p>
            <w:pPr>
              <w:pStyle w:val="Compact"/>
            </w:pPr>
            <w:r>
              <w:t xml:space="preserve">8</w:t>
            </w:r>
          </w:p>
        </w:tc>
        <w:tc>
          <w:tcPr/>
          <w:p>
            <w:pPr>
              <w:pStyle w:val="Compact"/>
            </w:pPr>
            <w:r>
              <w:t xml:space="preserve">Emergency Department (A&amp;E)</w:t>
            </w:r>
          </w:p>
        </w:tc>
        <w:tc>
          <w:tcPr/>
          <w:p>
            <w:pPr>
              <w:pStyle w:val="Compact"/>
            </w:pPr>
            <w:r>
              <w:t xml:space="preserve">2</w:t>
            </w:r>
          </w:p>
        </w:tc>
        <w:tc>
          <w:tcPr/>
          <w:p>
            <w:pPr>
              <w:pStyle w:val="Compact"/>
            </w:pPr>
            <w:r>
              <w:t xml:space="preserve">All</w:t>
            </w:r>
          </w:p>
        </w:tc>
      </w:tr>
      <w:tr>
        <w:tc>
          <w:tcPr/>
          <w:p>
            <w:pPr>
              <w:pStyle w:val="Compact"/>
            </w:pPr>
            <w:r>
              <w:t xml:space="preserve">9</w:t>
            </w:r>
          </w:p>
        </w:tc>
        <w:tc>
          <w:tcPr/>
          <w:p>
            <w:pPr>
              <w:pStyle w:val="Compact"/>
            </w:pPr>
            <w:r>
              <w:t xml:space="preserve">Maternity, ANC and Reproductive Health</w:t>
            </w:r>
          </w:p>
        </w:tc>
        <w:tc>
          <w:tcPr/>
          <w:p>
            <w:pPr>
              <w:pStyle w:val="Compact"/>
            </w:pPr>
            <w:r>
              <w:t xml:space="preserve">2</w:t>
            </w:r>
          </w:p>
        </w:tc>
        <w:tc>
          <w:tcPr/>
          <w:p>
            <w:pPr>
              <w:pStyle w:val="Compact"/>
            </w:pPr>
            <w:r>
              <w:t xml:space="preserve">All</w:t>
            </w:r>
          </w:p>
        </w:tc>
      </w:tr>
      <w:tr>
        <w:tc>
          <w:tcPr/>
          <w:p>
            <w:pPr>
              <w:pStyle w:val="Compact"/>
            </w:pPr>
            <w:r>
              <w:t xml:space="preserve">10</w:t>
            </w:r>
          </w:p>
        </w:tc>
        <w:tc>
          <w:tcPr/>
          <w:p>
            <w:pPr>
              <w:pStyle w:val="Compact"/>
            </w:pPr>
            <w:r>
              <w:t xml:space="preserve">Immunisation and Vaccination</w:t>
            </w:r>
          </w:p>
        </w:tc>
        <w:tc>
          <w:tcPr/>
          <w:p>
            <w:pPr>
              <w:pStyle w:val="Compact"/>
            </w:pPr>
            <w:r>
              <w:t xml:space="preserve">2</w:t>
            </w:r>
          </w:p>
        </w:tc>
        <w:tc>
          <w:tcPr/>
          <w:p>
            <w:pPr>
              <w:pStyle w:val="Compact"/>
            </w:pPr>
            <w:r>
              <w:t xml:space="preserve">All</w:t>
            </w:r>
          </w:p>
        </w:tc>
      </w:tr>
      <w:tr>
        <w:tc>
          <w:tcPr/>
          <w:p>
            <w:pPr>
              <w:pStyle w:val="Compact"/>
            </w:pPr>
            <w:r>
              <w:t xml:space="preserve">11</w:t>
            </w:r>
          </w:p>
        </w:tc>
        <w:tc>
          <w:tcPr/>
          <w:p>
            <w:pPr>
              <w:pStyle w:val="Compact"/>
            </w:pPr>
            <w:r>
              <w:t xml:space="preserve">Radiology and Imaging</w:t>
            </w:r>
          </w:p>
        </w:tc>
        <w:tc>
          <w:tcPr/>
          <w:p>
            <w:pPr>
              <w:pStyle w:val="Compact"/>
            </w:pPr>
            <w:r>
              <w:t xml:space="preserve">2</w:t>
            </w:r>
          </w:p>
        </w:tc>
        <w:tc>
          <w:tcPr/>
          <w:p>
            <w:pPr>
              <w:pStyle w:val="Compact"/>
            </w:pPr>
            <w:r>
              <w:t xml:space="preserve">All</w:t>
            </w:r>
          </w:p>
        </w:tc>
      </w:tr>
      <w:tr>
        <w:tc>
          <w:tcPr/>
          <w:p>
            <w:pPr>
              <w:pStyle w:val="Compact"/>
            </w:pPr>
            <w:r>
              <w:t xml:space="preserve">12</w:t>
            </w:r>
          </w:p>
        </w:tc>
        <w:tc>
          <w:tcPr/>
          <w:p>
            <w:pPr>
              <w:pStyle w:val="Compact"/>
            </w:pPr>
            <w:r>
              <w:t xml:space="preserve">Dental Services</w:t>
            </w:r>
          </w:p>
        </w:tc>
        <w:tc>
          <w:tcPr/>
          <w:p>
            <w:pPr>
              <w:pStyle w:val="Compact"/>
            </w:pPr>
            <w:r>
              <w:t xml:space="preserve">2</w:t>
            </w:r>
          </w:p>
        </w:tc>
        <w:tc>
          <w:tcPr/>
          <w:p>
            <w:pPr>
              <w:pStyle w:val="Compact"/>
            </w:pPr>
            <w:r>
              <w:t xml:space="preserve">All</w:t>
            </w:r>
          </w:p>
        </w:tc>
      </w:tr>
      <w:tr>
        <w:tc>
          <w:tcPr/>
          <w:p>
            <w:pPr>
              <w:pStyle w:val="Compact"/>
            </w:pPr>
            <w:r>
              <w:t xml:space="preserve">13</w:t>
            </w:r>
          </w:p>
        </w:tc>
        <w:tc>
          <w:tcPr/>
          <w:p>
            <w:pPr>
              <w:pStyle w:val="Compact"/>
            </w:pPr>
            <w:r>
              <w:t xml:space="preserve">Eye Care and Optical</w:t>
            </w:r>
          </w:p>
        </w:tc>
        <w:tc>
          <w:tcPr/>
          <w:p>
            <w:pPr>
              <w:pStyle w:val="Compact"/>
            </w:pPr>
            <w:r>
              <w:t xml:space="preserve">2</w:t>
            </w:r>
          </w:p>
        </w:tc>
        <w:tc>
          <w:tcPr/>
          <w:p>
            <w:pPr>
              <w:pStyle w:val="Compact"/>
            </w:pPr>
            <w:r>
              <w:t xml:space="preserve">All</w:t>
            </w:r>
          </w:p>
        </w:tc>
      </w:tr>
      <w:tr>
        <w:tc>
          <w:tcPr/>
          <w:p>
            <w:pPr>
              <w:pStyle w:val="Compact"/>
            </w:pPr>
            <w:r>
              <w:t xml:space="preserve">14</w:t>
            </w:r>
          </w:p>
        </w:tc>
        <w:tc>
          <w:tcPr/>
          <w:p>
            <w:pPr>
              <w:pStyle w:val="Compact"/>
            </w:pPr>
            <w:r>
              <w:t xml:space="preserve">Mortuary Management</w:t>
            </w:r>
          </w:p>
        </w:tc>
        <w:tc>
          <w:tcPr/>
          <w:p>
            <w:pPr>
              <w:pStyle w:val="Compact"/>
            </w:pPr>
            <w:r>
              <w:t xml:space="preserve">2</w:t>
            </w:r>
          </w:p>
        </w:tc>
        <w:tc>
          <w:tcPr/>
          <w:p>
            <w:pPr>
              <w:pStyle w:val="Compact"/>
            </w:pPr>
            <w:r>
              <w:t xml:space="preserve">All</w:t>
            </w:r>
          </w:p>
        </w:tc>
      </w:tr>
      <w:tr>
        <w:tc>
          <w:tcPr/>
          <w:p>
            <w:pPr>
              <w:pStyle w:val="Compact"/>
            </w:pPr>
            <w:r>
              <w:t xml:space="preserve">15</w:t>
            </w:r>
          </w:p>
        </w:tc>
        <w:tc>
          <w:tcPr/>
          <w:p>
            <w:pPr>
              <w:pStyle w:val="Compact"/>
            </w:pPr>
            <w:r>
              <w:t xml:space="preserve">Referral Management</w:t>
            </w:r>
          </w:p>
        </w:tc>
        <w:tc>
          <w:tcPr/>
          <w:p>
            <w:pPr>
              <w:pStyle w:val="Compact"/>
            </w:pPr>
            <w:r>
              <w:t xml:space="preserve">2</w:t>
            </w:r>
          </w:p>
        </w:tc>
        <w:tc>
          <w:tcPr/>
          <w:p>
            <w:pPr>
              <w:pStyle w:val="Compact"/>
            </w:pPr>
            <w:r>
              <w:t xml:space="preserve">All</w:t>
            </w:r>
          </w:p>
        </w:tc>
      </w:tr>
      <w:tr>
        <w:tc>
          <w:tcPr/>
          <w:p>
            <w:pPr>
              <w:pStyle w:val="Compact"/>
            </w:pPr>
            <w:r>
              <w:t xml:space="preserve">16</w:t>
            </w:r>
          </w:p>
        </w:tc>
        <w:tc>
          <w:tcPr/>
          <w:p>
            <w:pPr>
              <w:pStyle w:val="Compact"/>
            </w:pPr>
            <w:r>
              <w:t xml:space="preserve">Human Resource and Payroll</w:t>
            </w:r>
          </w:p>
        </w:tc>
        <w:tc>
          <w:tcPr/>
          <w:p>
            <w:pPr>
              <w:pStyle w:val="Compact"/>
            </w:pPr>
            <w:r>
              <w:t xml:space="preserve">2</w:t>
            </w:r>
          </w:p>
        </w:tc>
        <w:tc>
          <w:tcPr/>
          <w:p>
            <w:pPr>
              <w:pStyle w:val="Compact"/>
            </w:pPr>
            <w:r>
              <w:t xml:space="preserve">All</w:t>
            </w:r>
          </w:p>
        </w:tc>
      </w:tr>
      <w:tr>
        <w:tc>
          <w:tcPr/>
          <w:p>
            <w:pPr>
              <w:pStyle w:val="Compact"/>
            </w:pPr>
            <w:r>
              <w:t xml:space="preserve">17</w:t>
            </w:r>
          </w:p>
        </w:tc>
        <w:tc>
          <w:tcPr/>
          <w:p>
            <w:pPr>
              <w:pStyle w:val="Compact"/>
            </w:pPr>
            <w:r>
              <w:t xml:space="preserve">Medical Records and Health Information</w:t>
            </w:r>
          </w:p>
        </w:tc>
        <w:tc>
          <w:tcPr/>
          <w:p>
            <w:pPr>
              <w:pStyle w:val="Compact"/>
            </w:pPr>
            <w:r>
              <w:t xml:space="preserve">2</w:t>
            </w:r>
          </w:p>
        </w:tc>
        <w:tc>
          <w:tcPr/>
          <w:p>
            <w:pPr>
              <w:pStyle w:val="Compact"/>
            </w:pPr>
            <w:r>
              <w:t xml:space="preserve">All</w:t>
            </w:r>
          </w:p>
        </w:tc>
      </w:tr>
      <w:tr>
        <w:tc>
          <w:tcPr/>
          <w:p>
            <w:pPr>
              <w:pStyle w:val="Compact"/>
            </w:pPr>
            <w:r>
              <w:t xml:space="preserve">18</w:t>
            </w:r>
          </w:p>
        </w:tc>
        <w:tc>
          <w:tcPr/>
          <w:p>
            <w:pPr>
              <w:pStyle w:val="Compact"/>
            </w:pPr>
            <w:r>
              <w:t xml:space="preserve">Insurance Management</w:t>
            </w:r>
          </w:p>
        </w:tc>
        <w:tc>
          <w:tcPr/>
          <w:p>
            <w:pPr>
              <w:pStyle w:val="Compact"/>
            </w:pPr>
            <w:r>
              <w:t xml:space="preserve">2</w:t>
            </w:r>
          </w:p>
        </w:tc>
        <w:tc>
          <w:tcPr/>
          <w:p>
            <w:pPr>
              <w:pStyle w:val="Compact"/>
            </w:pPr>
            <w:r>
              <w:t xml:space="preserve">All</w:t>
            </w:r>
          </w:p>
        </w:tc>
      </w:tr>
      <w:tr>
        <w:tc>
          <w:tcPr/>
          <w:p>
            <w:pPr>
              <w:pStyle w:val="Compact"/>
            </w:pPr>
            <w:r>
              <w:t xml:space="preserve">19</w:t>
            </w:r>
          </w:p>
        </w:tc>
        <w:tc>
          <w:tcPr/>
          <w:p>
            <w:pPr>
              <w:pStyle w:val="Compact"/>
            </w:pPr>
            <w:r>
              <w:t xml:space="preserve">Financial Accounting (Dual Mode)</w:t>
            </w:r>
          </w:p>
        </w:tc>
        <w:tc>
          <w:tcPr/>
          <w:p>
            <w:pPr>
              <w:pStyle w:val="Compact"/>
            </w:pPr>
            <w:r>
              <w:t xml:space="preserve">2</w:t>
            </w:r>
          </w:p>
        </w:tc>
        <w:tc>
          <w:tcPr/>
          <w:p>
            <w:pPr>
              <w:pStyle w:val="Compact"/>
            </w:pPr>
            <w:r>
              <w:t xml:space="preserve">All</w:t>
            </w:r>
          </w:p>
        </w:tc>
      </w:tr>
      <w:tr>
        <w:tc>
          <w:tcPr/>
          <w:p>
            <w:pPr>
              <w:pStyle w:val="Compact"/>
            </w:pPr>
            <w:r>
              <w:t xml:space="preserve">20</w:t>
            </w:r>
          </w:p>
        </w:tc>
        <w:tc>
          <w:tcPr/>
          <w:p>
            <w:pPr>
              <w:pStyle w:val="Compact"/>
            </w:pPr>
            <w:r>
              <w:t xml:space="preserve">Inventory and Stores Management</w:t>
            </w:r>
          </w:p>
        </w:tc>
        <w:tc>
          <w:tcPr/>
          <w:p>
            <w:pPr>
              <w:pStyle w:val="Compact"/>
            </w:pPr>
            <w:r>
              <w:t xml:space="preserve">2</w:t>
            </w:r>
          </w:p>
        </w:tc>
        <w:tc>
          <w:tcPr/>
          <w:p>
            <w:pPr>
              <w:pStyle w:val="Compact"/>
            </w:pPr>
            <w:r>
              <w:t xml:space="preserve">All</w:t>
            </w:r>
          </w:p>
        </w:tc>
      </w:tr>
      <w:tr>
        <w:tc>
          <w:tcPr/>
          <w:p>
            <w:pPr>
              <w:pStyle w:val="Compact"/>
            </w:pPr>
            <w:r>
              <w:t xml:space="preserve">21</w:t>
            </w:r>
          </w:p>
        </w:tc>
        <w:tc>
          <w:tcPr/>
          <w:p>
            <w:pPr>
              <w:pStyle w:val="Compact"/>
            </w:pPr>
            <w:r>
              <w:t xml:space="preserve">Uganda HMIS Reporting</w:t>
            </w:r>
          </w:p>
        </w:tc>
        <w:tc>
          <w:tcPr/>
          <w:p>
            <w:pPr>
              <w:pStyle w:val="Compact"/>
            </w:pPr>
            <w:r>
              <w:t xml:space="preserve">2</w:t>
            </w:r>
          </w:p>
        </w:tc>
        <w:tc>
          <w:tcPr/>
          <w:p>
            <w:pPr>
              <w:pStyle w:val="Compact"/>
            </w:pPr>
            <w:r>
              <w:t xml:space="preserve">All</w:t>
            </w:r>
          </w:p>
        </w:tc>
      </w:tr>
      <w:tr>
        <w:tc>
          <w:tcPr/>
          <w:p>
            <w:pPr>
              <w:pStyle w:val="Compact"/>
            </w:pPr>
            <w:r>
              <w:t xml:space="preserve">22</w:t>
            </w:r>
          </w:p>
        </w:tc>
        <w:tc>
          <w:tcPr/>
          <w:p>
            <w:pPr>
              <w:pStyle w:val="Compact"/>
            </w:pPr>
            <w:r>
              <w:t xml:space="preserve">Disease Surveillance and Outbreak Detection</w:t>
            </w:r>
          </w:p>
        </w:tc>
        <w:tc>
          <w:tcPr/>
          <w:p>
            <w:pPr>
              <w:pStyle w:val="Compact"/>
            </w:pPr>
            <w:r>
              <w:t xml:space="preserve">2</w:t>
            </w:r>
          </w:p>
        </w:tc>
        <w:tc>
          <w:tcPr/>
          <w:p>
            <w:pPr>
              <w:pStyle w:val="Compact"/>
            </w:pPr>
            <w:r>
              <w:t xml:space="preserve">All</w:t>
            </w:r>
          </w:p>
        </w:tc>
      </w:tr>
      <w:tr>
        <w:tc>
          <w:tcPr/>
          <w:p>
            <w:pPr>
              <w:pStyle w:val="Compact"/>
            </w:pPr>
            <w:r>
              <w:t xml:space="preserve">23</w:t>
            </w:r>
          </w:p>
        </w:tc>
        <w:tc>
          <w:tcPr/>
          <w:p>
            <w:pPr>
              <w:pStyle w:val="Compact"/>
            </w:pPr>
            <w:r>
              <w:t xml:space="preserve">HIV/AIDS Programme Management</w:t>
            </w:r>
          </w:p>
        </w:tc>
        <w:tc>
          <w:tcPr/>
          <w:p>
            <w:pPr>
              <w:pStyle w:val="Compact"/>
            </w:pPr>
            <w:r>
              <w:t xml:space="preserve">3</w:t>
            </w:r>
          </w:p>
        </w:tc>
        <w:tc>
          <w:tcPr/>
          <w:p>
            <w:pPr>
              <w:pStyle w:val="Compact"/>
            </w:pPr>
            <w:r>
              <w:t xml:space="preserve">All</w:t>
            </w:r>
          </w:p>
        </w:tc>
      </w:tr>
      <w:tr>
        <w:tc>
          <w:tcPr/>
          <w:p>
            <w:pPr>
              <w:pStyle w:val="Compact"/>
            </w:pPr>
            <w:r>
              <w:t xml:space="preserve">24</w:t>
            </w:r>
          </w:p>
        </w:tc>
        <w:tc>
          <w:tcPr/>
          <w:p>
            <w:pPr>
              <w:pStyle w:val="Compact"/>
            </w:pPr>
            <w:r>
              <w:t xml:space="preserve">TB Programme Management</w:t>
            </w:r>
          </w:p>
        </w:tc>
        <w:tc>
          <w:tcPr/>
          <w:p>
            <w:pPr>
              <w:pStyle w:val="Compact"/>
            </w:pPr>
            <w:r>
              <w:t xml:space="preserve">3</w:t>
            </w:r>
          </w:p>
        </w:tc>
        <w:tc>
          <w:tcPr/>
          <w:p>
            <w:pPr>
              <w:pStyle w:val="Compact"/>
            </w:pPr>
            <w:r>
              <w:t xml:space="preserve">All</w:t>
            </w:r>
          </w:p>
        </w:tc>
      </w:tr>
      <w:tr>
        <w:tc>
          <w:tcPr/>
          <w:p>
            <w:pPr>
              <w:pStyle w:val="Compact"/>
            </w:pPr>
            <w:r>
              <w:t xml:space="preserve">25</w:t>
            </w:r>
          </w:p>
        </w:tc>
        <w:tc>
          <w:tcPr/>
          <w:p>
            <w:pPr>
              <w:pStyle w:val="Compact"/>
            </w:pPr>
            <w:r>
              <w:t xml:space="preserve">Nutrition and Dietetics</w:t>
            </w:r>
          </w:p>
        </w:tc>
        <w:tc>
          <w:tcPr/>
          <w:p>
            <w:pPr>
              <w:pStyle w:val="Compact"/>
            </w:pPr>
            <w:r>
              <w:t xml:space="preserve">3</w:t>
            </w:r>
          </w:p>
        </w:tc>
        <w:tc>
          <w:tcPr/>
          <w:p>
            <w:pPr>
              <w:pStyle w:val="Compact"/>
            </w:pPr>
            <w:r>
              <w:t xml:space="preserve">Pro+</w:t>
            </w:r>
          </w:p>
        </w:tc>
      </w:tr>
      <w:tr>
        <w:tc>
          <w:tcPr/>
          <w:p>
            <w:pPr>
              <w:pStyle w:val="Compact"/>
            </w:pPr>
            <w:r>
              <w:t xml:space="preserve">26</w:t>
            </w:r>
          </w:p>
        </w:tc>
        <w:tc>
          <w:tcPr/>
          <w:p>
            <w:pPr>
              <w:pStyle w:val="Compact"/>
            </w:pPr>
            <w:r>
              <w:t xml:space="preserve">Community Health Integration</w:t>
            </w:r>
          </w:p>
        </w:tc>
        <w:tc>
          <w:tcPr/>
          <w:p>
            <w:pPr>
              <w:pStyle w:val="Compact"/>
            </w:pPr>
            <w:r>
              <w:t xml:space="preserve">3</w:t>
            </w:r>
          </w:p>
        </w:tc>
        <w:tc>
          <w:tcPr/>
          <w:p>
            <w:pPr>
              <w:pStyle w:val="Compact"/>
            </w:pPr>
            <w:r>
              <w:t xml:space="preserve">Pro+</w:t>
            </w:r>
          </w:p>
        </w:tc>
      </w:tr>
      <w:tr>
        <w:tc>
          <w:tcPr/>
          <w:p>
            <w:pPr>
              <w:pStyle w:val="Compact"/>
            </w:pPr>
            <w:r>
              <w:t xml:space="preserve">27</w:t>
            </w:r>
          </w:p>
        </w:tc>
        <w:tc>
          <w:tcPr/>
          <w:p>
            <w:pPr>
              <w:pStyle w:val="Compact"/>
            </w:pPr>
            <w:r>
              <w:t xml:space="preserve">Patient Portal and Mobile App</w:t>
            </w:r>
          </w:p>
        </w:tc>
        <w:tc>
          <w:tcPr/>
          <w:p>
            <w:pPr>
              <w:pStyle w:val="Compact"/>
            </w:pPr>
            <w:r>
              <w:t xml:space="preserve">3</w:t>
            </w:r>
          </w:p>
        </w:tc>
        <w:tc>
          <w:tcPr/>
          <w:p>
            <w:pPr>
              <w:pStyle w:val="Compact"/>
            </w:pPr>
            <w:r>
              <w:t xml:space="preserve">All</w:t>
            </w:r>
          </w:p>
        </w:tc>
      </w:tr>
      <w:tr>
        <w:tc>
          <w:tcPr/>
          <w:p>
            <w:pPr>
              <w:pStyle w:val="Compact"/>
            </w:pPr>
            <w:r>
              <w:t xml:space="preserve">28</w:t>
            </w:r>
          </w:p>
        </w:tc>
        <w:tc>
          <w:tcPr/>
          <w:p>
            <w:pPr>
              <w:pStyle w:val="Compact"/>
            </w:pPr>
            <w:r>
              <w:t xml:space="preserve">Theatre and Surgical Management</w:t>
            </w:r>
          </w:p>
        </w:tc>
        <w:tc>
          <w:tcPr/>
          <w:p>
            <w:pPr>
              <w:pStyle w:val="Compact"/>
            </w:pPr>
            <w:r>
              <w:t xml:space="preserve">4</w:t>
            </w:r>
          </w:p>
        </w:tc>
        <w:tc>
          <w:tcPr/>
          <w:p>
            <w:pPr>
              <w:pStyle w:val="Compact"/>
            </w:pPr>
            <w:r>
              <w:t xml:space="preserve">Pro+</w:t>
            </w:r>
          </w:p>
        </w:tc>
      </w:tr>
      <w:tr>
        <w:tc>
          <w:tcPr/>
          <w:p>
            <w:pPr>
              <w:pStyle w:val="Compact"/>
            </w:pPr>
            <w:r>
              <w:t xml:space="preserve">29</w:t>
            </w:r>
          </w:p>
        </w:tc>
        <w:tc>
          <w:tcPr/>
          <w:p>
            <w:pPr>
              <w:pStyle w:val="Compact"/>
            </w:pPr>
            <w:r>
              <w:t xml:space="preserve">Blood Bank and Transfusion</w:t>
            </w:r>
          </w:p>
        </w:tc>
        <w:tc>
          <w:tcPr/>
          <w:p>
            <w:pPr>
              <w:pStyle w:val="Compact"/>
            </w:pPr>
            <w:r>
              <w:t xml:space="preserve">4</w:t>
            </w:r>
          </w:p>
        </w:tc>
        <w:tc>
          <w:tcPr/>
          <w:p>
            <w:pPr>
              <w:pStyle w:val="Compact"/>
            </w:pPr>
            <w:r>
              <w:t xml:space="preserve">Pro+</w:t>
            </w:r>
          </w:p>
        </w:tc>
      </w:tr>
      <w:tr>
        <w:tc>
          <w:tcPr/>
          <w:p>
            <w:pPr>
              <w:pStyle w:val="Compact"/>
            </w:pPr>
            <w:r>
              <w:t xml:space="preserve">30</w:t>
            </w:r>
          </w:p>
        </w:tc>
        <w:tc>
          <w:tcPr/>
          <w:p>
            <w:pPr>
              <w:pStyle w:val="Compact"/>
            </w:pPr>
            <w:r>
              <w:t xml:space="preserve">Ambulance Management</w:t>
            </w:r>
          </w:p>
        </w:tc>
        <w:tc>
          <w:tcPr/>
          <w:p>
            <w:pPr>
              <w:pStyle w:val="Compact"/>
            </w:pPr>
            <w:r>
              <w:t xml:space="preserve">4</w:t>
            </w:r>
          </w:p>
        </w:tc>
        <w:tc>
          <w:tcPr/>
          <w:p>
            <w:pPr>
              <w:pStyle w:val="Compact"/>
            </w:pPr>
            <w:r>
              <w:t xml:space="preserve">Pro+</w:t>
            </w:r>
          </w:p>
        </w:tc>
      </w:tr>
      <w:tr>
        <w:tc>
          <w:tcPr/>
          <w:p>
            <w:pPr>
              <w:pStyle w:val="Compact"/>
            </w:pPr>
            <w:r>
              <w:t xml:space="preserve">31</w:t>
            </w:r>
          </w:p>
        </w:tc>
        <w:tc>
          <w:tcPr/>
          <w:p>
            <w:pPr>
              <w:pStyle w:val="Compact"/>
            </w:pPr>
            <w:r>
              <w:t xml:space="preserve">Physiotherapy and Rehabilitation</w:t>
            </w:r>
          </w:p>
        </w:tc>
        <w:tc>
          <w:tcPr/>
          <w:p>
            <w:pPr>
              <w:pStyle w:val="Compact"/>
            </w:pPr>
            <w:r>
              <w:t xml:space="preserve">4</w:t>
            </w:r>
          </w:p>
        </w:tc>
        <w:tc>
          <w:tcPr/>
          <w:p>
            <w:pPr>
              <w:pStyle w:val="Compact"/>
            </w:pPr>
            <w:r>
              <w:t xml:space="preserve">Pro+</w:t>
            </w:r>
          </w:p>
        </w:tc>
      </w:tr>
    </w:tbl>
    <w:p>
      <w:pPr>
        <w:pStyle w:val="BodyText"/>
      </w:pPr>
      <w:r>
        <w:rPr>
          <w:b/>
          <w:bCs/>
        </w:rPr>
        <w:t xml:space="preserve">Phase summary:</w:t>
      </w:r>
      <w:r>
        <w:t xml:space="preserve"> </w:t>
      </w:r>
      <w:r>
        <w:t xml:space="preserve">Phase 1 delivers 6 modules (core clinical and billing). Phase 2 delivers 16 modules (inpatient, specialty, financial, reporting). Phase 3 delivers 5 modules (disease programmes, patient engagement). Phase 4 delivers 4 modules (advanced specialty).</w:t>
      </w:r>
    </w:p>
    <w:bookmarkEnd w:id="33"/>
    <w:bookmarkStart w:id="34" w:name="X9b4074ba0b7d4142617728991a05480218a893b"/>
    <w:p>
      <w:pPr>
        <w:pStyle w:val="Heading3"/>
      </w:pPr>
      <w:r>
        <w:t xml:space="preserve">8.2 Out-of-Scope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Exclusion</w:t>
            </w:r>
          </w:p>
        </w:tc>
        <w:tc>
          <w:tcPr/>
          <w:p>
            <w:pPr>
              <w:pStyle w:val="Compact"/>
            </w:pPr>
            <w:r>
              <w:t xml:space="preserve">Rationale</w:t>
            </w:r>
          </w:p>
        </w:tc>
      </w:tr>
      <w:tr>
        <w:tc>
          <w:tcPr/>
          <w:p>
            <w:pPr>
              <w:pStyle w:val="Compact"/>
            </w:pPr>
            <w:r>
              <w:t xml:space="preserve">Genomics and precision medicine</w:t>
            </w:r>
          </w:p>
        </w:tc>
        <w:tc>
          <w:tcPr/>
          <w:p>
            <w:pPr>
              <w:pStyle w:val="Compact"/>
            </w:pPr>
            <w:r>
              <w:t xml:space="preserve">Phase 5+ consideration. Requires specialised laboratory infrastructure and bioinformatics capability not present in the target market within the 4-phase horizon.</w:t>
            </w:r>
          </w:p>
        </w:tc>
      </w:tr>
      <w:tr>
        <w:tc>
          <w:tcPr/>
          <w:p>
            <w:pPr>
              <w:pStyle w:val="Compact"/>
            </w:pPr>
            <w:r>
              <w:t xml:space="preserve">Medical device manufacturing compliance</w:t>
            </w:r>
          </w:p>
        </w:tc>
        <w:tc>
          <w:tcPr/>
          <w:p>
            <w:pPr>
              <w:pStyle w:val="Compact"/>
            </w:pPr>
            <w:r>
              <w:t xml:space="preserve">Medic8 is healthcare management software, not a medical device. It does not control, monitor, or interface with implantable or life-sustaining equipment. CDS is decision support only; clinical liability remains with the prescribing clinician.</w:t>
            </w:r>
          </w:p>
        </w:tc>
      </w:tr>
      <w:tr>
        <w:tc>
          <w:tcPr/>
          <w:p>
            <w:pPr>
              <w:pStyle w:val="Compact"/>
            </w:pPr>
            <w:r>
              <w:t xml:space="preserve">Clinical trial management</w:t>
            </w:r>
          </w:p>
        </w:tc>
        <w:tc>
          <w:tcPr/>
          <w:p>
            <w:pPr>
              <w:pStyle w:val="Compact"/>
            </w:pPr>
            <w:r>
              <w:t xml:space="preserve">Clinical trial management systems (CTMS) constitute a separate product category with distinct regulatory requirements (ICH-GCP, FDA 21 CFR Part 11). Medic8 may expose FHIR R4 APIs for research data extraction but does not manage trial protocols, randomisation, or regulatory submissions.</w:t>
            </w:r>
          </w:p>
        </w:tc>
      </w:tr>
      <w:tr>
        <w:tc>
          <w:tcPr/>
          <w:p>
            <w:pPr>
              <w:pStyle w:val="Compact"/>
            </w:pPr>
            <w:r>
              <w:t xml:space="preserve">Health insurance underwriting</w:t>
            </w:r>
          </w:p>
        </w:tc>
        <w:tc>
          <w:tcPr/>
          <w:p>
            <w:pPr>
              <w:pStyle w:val="Compact"/>
            </w:pPr>
            <w:r>
              <w:t xml:space="preserve">Medic8 is a provider-side system. It submits claims to insurers and reconciles payments. Underwriting -- risk assessment, premium calculation, policy issuance -- is the insurer's function and falls outside the provider workflow.</w:t>
            </w:r>
          </w:p>
        </w:tc>
      </w:tr>
      <w:tr>
        <w:tc>
          <w:tcPr/>
          <w:p>
            <w:pPr>
              <w:pStyle w:val="Compact"/>
            </w:pPr>
            <w:r>
              <w:t xml:space="preserve">ERP for non-healthcare businesses</w:t>
            </w:r>
          </w:p>
        </w:tc>
        <w:tc>
          <w:tcPr/>
          <w:p>
            <w:pPr>
              <w:pStyle w:val="Compact"/>
            </w:pPr>
            <w:r>
              <w:t xml:space="preserve">Medic8 includes HR/payroll, accounting, and inventory modules purpose-built for healthcare facilities (healthcare chart of accounts, drug formulary, NMS commodity codes). These modules are not general-purpose ERP and are not marketed to non-healthcare businesses.</w:t>
            </w:r>
          </w:p>
        </w:tc>
      </w:tr>
    </w:tbl>
    <w:p>
      <w:r>
        <w:pict>
          <v:rect style="width:0;height:1.5pt" o:hralign="center" o:hrstd="t" o:hr="t"/>
        </w:pict>
      </w:r>
    </w:p>
    <w:bookmarkEnd w:id="34"/>
    <w:bookmarkEnd w:id="35"/>
    <w:bookmarkStart w:id="38" w:name="X329d0542ebc49cac0b4eed4d42caa60102b3e0c"/>
    <w:p>
      <w:pPr>
        <w:pStyle w:val="Heading2"/>
      </w:pPr>
      <w:r>
        <w:t xml:space="preserve">9 Assumptions and Risks</w:t>
      </w:r>
    </w:p>
    <w:bookmarkStart w:id="36" w:name="X32bab9959b4d3a84f705843b1d96aff69f6d555"/>
    <w:p>
      <w:pPr>
        <w:pStyle w:val="Heading3"/>
      </w:pPr>
      <w:r>
        <w:t xml:space="preserve">9.1 Assumptions</w:t>
      </w:r>
    </w:p>
    <w:p>
      <w:pPr>
        <w:pStyle w:val="FirstParagraph"/>
      </w:pPr>
      <w:r>
        <w:t xml:space="preserve">The following statements are taken as true for the purposes of this project. If any assumption is invalidated, the affected requirements and phase plan must be re-evaluated.</w:t>
      </w:r>
    </w:p>
    <w:p>
      <w:pPr>
        <w:pStyle w:val="Compact"/>
        <w:numPr>
          <w:ilvl w:val="0"/>
          <w:numId w:val="1002"/>
        </w:numPr>
      </w:pPr>
      <w:r>
        <w:t xml:space="preserve">Uganda's Data Protection and Privacy Act 2019 (PDPA) governs healthcare data processing in Uganda, and a lawful basis exists for processing clinical records in the course of healthcare delivery.</w:t>
      </w:r>
    </w:p>
    <w:p>
      <w:pPr>
        <w:pStyle w:val="Compact"/>
        <w:numPr>
          <w:ilvl w:val="0"/>
          <w:numId w:val="1002"/>
        </w:numPr>
      </w:pPr>
      <w:r>
        <w:t xml:space="preserve">The Uganda Ministry of Health will continue to mandate HMIS 105, HMIS 108, and HMIS 033b reporting from all health facilities, and DHIS2 will remain the national health data platform.</w:t>
      </w:r>
    </w:p>
    <w:p>
      <w:pPr>
        <w:pStyle w:val="Compact"/>
        <w:numPr>
          <w:ilvl w:val="0"/>
          <w:numId w:val="1002"/>
        </w:numPr>
      </w:pPr>
      <w:r>
        <w:t xml:space="preserve">MTN Mobile Money and Airtel Money APIs will remain commercially available for integration by third-party software vendors in Uganda.</w:t>
      </w:r>
    </w:p>
    <w:p>
      <w:pPr>
        <w:pStyle w:val="Compact"/>
        <w:numPr>
          <w:ilvl w:val="0"/>
          <w:numId w:val="1002"/>
        </w:numPr>
      </w:pPr>
      <w:r>
        <w:t xml:space="preserve">PEPFAR will continue to fund HIV/AIDS programmes in Uganda through at least Phase 3 delivery, and MER indicator definitions (TX_CURR, TX_NEW, TX_PVLS) will remain stable or change with documented notice.</w:t>
      </w:r>
    </w:p>
    <w:p>
      <w:pPr>
        <w:pStyle w:val="Compact"/>
        <w:numPr>
          <w:ilvl w:val="0"/>
          <w:numId w:val="1002"/>
        </w:numPr>
      </w:pPr>
      <w:r>
        <w:t xml:space="preserve">Internet connectivity in urban Uganda will support cloud SaaS delivery (minimum 1 Mbps downstream). Rural facilities may have intermittent or no connectivity, requiring offline-first architecture.</w:t>
      </w:r>
    </w:p>
    <w:p>
      <w:pPr>
        <w:pStyle w:val="Compact"/>
        <w:numPr>
          <w:ilvl w:val="0"/>
          <w:numId w:val="1002"/>
        </w:numPr>
      </w:pPr>
      <w:r>
        <w:t xml:space="preserve">Uganda's National Health Insurance Scheme (NHIS) will publish a provider-facing API or claims submission format before Phase 2 completion.</w:t>
      </w:r>
    </w:p>
    <w:p>
      <w:pPr>
        <w:pStyle w:val="Compact"/>
        <w:numPr>
          <w:ilvl w:val="0"/>
          <w:numId w:val="1002"/>
        </w:numPr>
      </w:pPr>
      <w:r>
        <w:t xml:space="preserve">A third-party drug interaction database (DrugBank, RxNorm/NLM, or Uganda NDA formulary) can be licensed at a cost sustainable for a startup within Phase 1 budget.</w:t>
      </w:r>
    </w:p>
    <w:p>
      <w:pPr>
        <w:pStyle w:val="Compact"/>
        <w:numPr>
          <w:ilvl w:val="0"/>
          <w:numId w:val="1002"/>
        </w:numPr>
      </w:pPr>
      <w:r>
        <w:t xml:space="preserve">Health facilities in Uganda will accept SaaS delivery (cloud-hosted, multi-tenant) as an alternative to on-premise software, provided data residency remains in-country.</w:t>
      </w:r>
    </w:p>
    <w:p>
      <w:pPr>
        <w:pStyle w:val="Compact"/>
        <w:numPr>
          <w:ilvl w:val="0"/>
          <w:numId w:val="1002"/>
        </w:numPr>
      </w:pPr>
      <w:r>
        <w:t xml:space="preserve">The target market will accept UGX-denominated monthly subscription pricing as published in the Medic8 pricing tiers (Starter UGX 150,000, Growth UGX 350,000, Pro UGX 700,000, Enterprise custom).</w:t>
      </w:r>
    </w:p>
    <w:p>
      <w:pPr>
        <w:pStyle w:val="Compact"/>
        <w:numPr>
          <w:ilvl w:val="0"/>
          <w:numId w:val="1002"/>
        </w:numPr>
      </w:pPr>
      <w:r>
        <w:t xml:space="preserve">HL7 FHIR R4 will remain the dominant interoperability standard for healthcare data exchange throughout the 4-phase build horizon.</w:t>
      </w:r>
    </w:p>
    <w:p>
      <w:pPr>
        <w:pStyle w:val="Compact"/>
        <w:numPr>
          <w:ilvl w:val="0"/>
          <w:numId w:val="1002"/>
        </w:numPr>
      </w:pPr>
      <w:r>
        <w:t xml:space="preserve">openEHR two-level modelling will provide sufficient clinical data flexibility for multi-country configurability without codebase forking.</w:t>
      </w:r>
    </w:p>
    <w:p>
      <w:pPr>
        <w:pStyle w:val="Compact"/>
        <w:numPr>
          <w:ilvl w:val="0"/>
          <w:numId w:val="1002"/>
        </w:numPr>
      </w:pPr>
      <w:r>
        <w:t xml:space="preserve">The solo developer (Peter) can sustain development velocity across all 4 phases with AI-assisted development tooling augmenting individual capacity.</w:t>
      </w:r>
    </w:p>
    <w:bookmarkEnd w:id="36"/>
    <w:bookmarkStart w:id="37" w:name="Xa617e1abbc2638c9d85095167440a0de7140b57"/>
    <w:p>
      <w:pPr>
        <w:pStyle w:val="Heading3"/>
      </w:pPr>
      <w:r>
        <w:t xml:space="preserve">9.2 Risks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Mitigation</w:t>
            </w:r>
          </w:p>
        </w:tc>
      </w:tr>
      <w:tr>
        <w:tc>
          <w:tcPr/>
          <w:p>
            <w:pPr>
              <w:pStyle w:val="Compact"/>
            </w:pPr>
            <w:r>
              <w:t xml:space="preserve">Drug interaction database licensing delay -- no suitable database is licensable at startup budget within Phase 1 timeline</w:t>
            </w:r>
          </w:p>
        </w:tc>
        <w:tc>
          <w:tcPr/>
          <w:p>
            <w:pPr>
              <w:pStyle w:val="Compact"/>
            </w:pPr>
            <w:r>
              <w:t xml:space="preserve">HIGH</w:t>
            </w:r>
          </w:p>
        </w:tc>
        <w:tc>
          <w:tcPr/>
          <w:p>
            <w:pPr>
              <w:pStyle w:val="Compact"/>
            </w:pPr>
            <w:r>
              <w:t xml:space="preserve">HIGH</w:t>
            </w:r>
          </w:p>
        </w:tc>
        <w:tc>
          <w:tcPr/>
          <w:p>
            <w:pPr>
              <w:pStyle w:val="Compact"/>
            </w:pPr>
            <w:r>
              <w:t xml:space="preserve">Begin licensing negotiations immediately. Evaluate 3 options in parallel: DrugBank commercial licence, RxNorm/NLM (free, US-centric, requires Uganda formulary mapping), Uganda NDA formulary (may not include interaction data). If no licence is secured, launch Phase 1 with allergy-only checking and defer interaction checking to Phase 1.1.</w:t>
            </w:r>
          </w:p>
        </w:tc>
      </w:tr>
      <w:tr>
        <w:tc>
          <w:tcPr/>
          <w:p>
            <w:pPr>
              <w:pStyle w:val="Compact"/>
            </w:pPr>
            <w:r>
              <w:t xml:space="preserve">UMDPC software registration requirement -- Medic8 may require registration as medical software with the Uganda Medical and Dental Practitioners Council before commercial sale to licensed facilities</w:t>
            </w:r>
          </w:p>
        </w:tc>
        <w:tc>
          <w:tcPr/>
          <w:p>
            <w:pPr>
              <w:pStyle w:val="Compact"/>
            </w:pPr>
            <w:r>
              <w:t xml:space="preserve">MEDIUM</w:t>
            </w:r>
          </w:p>
        </w:tc>
        <w:tc>
          <w:tcPr/>
          <w:p>
            <w:pPr>
              <w:pStyle w:val="Compact"/>
            </w:pPr>
            <w:r>
              <w:t xml:space="preserve">HIGH</w:t>
            </w:r>
          </w:p>
        </w:tc>
        <w:tc>
          <w:tcPr/>
          <w:p>
            <w:pPr>
              <w:pStyle w:val="Compact"/>
            </w:pPr>
            <w:r>
              <w:t xml:space="preserve">Submit enquiry to UMDPC immediately (gap HIGH-003). If registration is required, budget 3--6 months for the process. Design CDS disclaimers and Terms of Service to clarify that Medic8 is decision support, not a diagnostic tool.</w:t>
            </w:r>
          </w:p>
        </w:tc>
      </w:tr>
      <w:tr>
        <w:tc>
          <w:tcPr/>
          <w:p>
            <w:pPr>
              <w:pStyle w:val="Compact"/>
            </w:pPr>
            <w:r>
              <w:t xml:space="preserve">ClinicMaster pivots to SaaS -- ClinicMaster launches a cloud-hosted version with mobile money and offline capability, neutralising Medic8's primary differentiators</w:t>
            </w:r>
          </w:p>
        </w:tc>
        <w:tc>
          <w:tcPr/>
          <w:p>
            <w:pPr>
              <w:pStyle w:val="Compact"/>
            </w:pPr>
            <w:r>
              <w:t xml:space="preserve">LOW</w:t>
            </w:r>
          </w:p>
        </w:tc>
        <w:tc>
          <w:tcPr/>
          <w:p>
            <w:pPr>
              <w:pStyle w:val="Compact"/>
            </w:pPr>
            <w:r>
              <w:t xml:space="preserve">HIGH</w:t>
            </w:r>
          </w:p>
        </w:tc>
        <w:tc>
          <w:tcPr/>
          <w:p>
            <w:pPr>
              <w:pStyle w:val="Compact"/>
            </w:pPr>
            <w:r>
              <w:t xml:space="preserve">Maintain a 15-feature advantage (currently documented in competitor analysis). Prioritise speed to market: first-mover in SaaS healthcare for Uganda. Build switching costs through data network effects (global patient identity, cross-facility records).</w:t>
            </w:r>
          </w:p>
        </w:tc>
      </w:tr>
      <w:tr>
        <w:tc>
          <w:tcPr/>
          <w:p>
            <w:pPr>
              <w:pStyle w:val="Compact"/>
            </w:pPr>
            <w:r>
              <w:t xml:space="preserve">Internet infrastructure remains unreliable in rural Uganda -- rural facilities cannot sustain cloud connectivity for SaaS operation</w:t>
            </w:r>
          </w:p>
        </w:tc>
        <w:tc>
          <w:tcPr/>
          <w:p>
            <w:pPr>
              <w:pStyle w:val="Compact"/>
            </w:pPr>
            <w:r>
              <w:t xml:space="preserve">HIGH</w:t>
            </w:r>
          </w:p>
        </w:tc>
        <w:tc>
          <w:tcPr/>
          <w:p>
            <w:pPr>
              <w:pStyle w:val="Compact"/>
            </w:pPr>
            <w:r>
              <w:t xml:space="preserve">MEDIUM</w:t>
            </w:r>
          </w:p>
        </w:tc>
        <w:tc>
          <w:tcPr/>
          <w:p>
            <w:pPr>
              <w:pStyle w:val="Compact"/>
            </w:pPr>
            <w:r>
              <w:t xml:space="preserve">Mitigated by offline-first architecture. Core clinical workflows (patient registration, vitals, prescribing, dispensing) operate without internet. Data synchronises when connectivity resumes. This is a design covenant constraint, not a workaround.</w:t>
            </w:r>
          </w:p>
        </w:tc>
      </w:tr>
      <w:tr>
        <w:tc>
          <w:tcPr/>
          <w:p>
            <w:pPr>
              <w:pStyle w:val="Compact"/>
            </w:pPr>
            <w:r>
              <w:t xml:space="preserve">NHIS API not published on time -- the National Health Insurance Scheme does not release a provider API before Phase 2 insurance module delivery</w:t>
            </w:r>
          </w:p>
        </w:tc>
        <w:tc>
          <w:tcPr/>
          <w:p>
            <w:pPr>
              <w:pStyle w:val="Compact"/>
            </w:pPr>
            <w:r>
              <w:t xml:space="preserve">MEDIUM</w:t>
            </w:r>
          </w:p>
        </w:tc>
        <w:tc>
          <w:tcPr/>
          <w:p>
            <w:pPr>
              <w:pStyle w:val="Compact"/>
            </w:pPr>
            <w:r>
              <w:t xml:space="preserve">MEDIUM</w:t>
            </w:r>
          </w:p>
        </w:tc>
        <w:tc>
          <w:tcPr/>
          <w:p>
            <w:pPr>
              <w:pStyle w:val="Compact"/>
            </w:pPr>
            <w:r>
              <w:t xml:space="preserve">Design insurance module with a pluggable claims adapter. Launch Phase 2 with manual NHIS claims export (CSV/PDF). Integrate API when published. Support private insurers (AAR, Jubilee, Prudential) first since they have established electronic claims processes.</w:t>
            </w:r>
          </w:p>
        </w:tc>
      </w:tr>
      <w:tr>
        <w:tc>
          <w:tcPr/>
          <w:p>
            <w:pPr>
              <w:pStyle w:val="Compact"/>
            </w:pPr>
            <w:r>
              <w:t xml:space="preserve">Solo developer capacity constraint -- Peter is the sole developer, architect, and business operator, creating a single point of failure for development velocity and project continuity</w:t>
            </w:r>
          </w:p>
        </w:tc>
        <w:tc>
          <w:tcPr/>
          <w:p>
            <w:pPr>
              <w:pStyle w:val="Compact"/>
            </w:pPr>
            <w:r>
              <w:t xml:space="preserve">HIGH</w:t>
            </w:r>
          </w:p>
        </w:tc>
        <w:tc>
          <w:tcPr/>
          <w:p>
            <w:pPr>
              <w:pStyle w:val="Compact"/>
            </w:pPr>
            <w:r>
              <w:t xml:space="preserve">HIGH</w:t>
            </w:r>
          </w:p>
        </w:tc>
        <w:tc>
          <w:tcPr/>
          <w:p>
            <w:pPr>
              <w:pStyle w:val="Compact"/>
            </w:pPr>
            <w:r>
              <w:t xml:space="preserve">Use AI-assisted development tooling (Claude Code, Cursor) to multiply individual output. Prioritise ruthlessly: Phase 1 MVP scope is 6 modules only. Defer non-core features. Adopt Water-Scrum-Fall methodology with formal phase gates to prevent scope creep. Plan contractor engagement for Phase 2 if MRR supports it.</w:t>
            </w:r>
          </w:p>
        </w:tc>
      </w:tr>
      <w:tr>
        <w:tc>
          <w:tcPr/>
          <w:p>
            <w:pPr>
              <w:pStyle w:val="Compact"/>
            </w:pPr>
            <w:r>
              <w:t xml:space="preserve">OpenMRS community resistance to migration messaging -- positioning Medic8 as lower-TCO than OpenMRS may trigger negative community response from the open-source ecosystem</w:t>
            </w:r>
          </w:p>
        </w:tc>
        <w:tc>
          <w:tcPr/>
          <w:p>
            <w:pPr>
              <w:pStyle w:val="Compact"/>
            </w:pPr>
            <w:r>
              <w:t xml:space="preserve">MEDIUM</w:t>
            </w:r>
          </w:p>
        </w:tc>
        <w:tc>
          <w:tcPr/>
          <w:p>
            <w:pPr>
              <w:pStyle w:val="Compact"/>
            </w:pPr>
            <w:r>
              <w:t xml:space="preserve">LOW</w:t>
            </w:r>
          </w:p>
        </w:tc>
        <w:tc>
          <w:tcPr/>
          <w:p>
            <w:pPr>
              <w:pStyle w:val="Compact"/>
            </w:pPr>
            <w:r>
              <w:t xml:space="preserve">Frame messaging as complementary, not adversarial. Position Medic8 as "for facilities that need billing, insurance, HR, and payroll in addition to EMR" rather than "OpenMRS replacement." Offer validated data migration from OpenMRS/UgandaEMR as a service, not a hostile fork.</w:t>
            </w:r>
          </w:p>
        </w:tc>
      </w:tr>
      <w:tr>
        <w:tc>
          <w:tcPr/>
          <w:p>
            <w:pPr>
              <w:pStyle w:val="Compact"/>
            </w:pPr>
            <w:r>
              <w:t xml:space="preserve">Uganda PDPA enforcement on healthcare data -- regulatory enforcement of the Data Protection and Privacy Act 2019 on health data processing may impose requirements not yet anticipated</w:t>
            </w:r>
          </w:p>
        </w:tc>
        <w:tc>
          <w:tcPr/>
          <w:p>
            <w:pPr>
              <w:pStyle w:val="Compact"/>
            </w:pPr>
            <w:r>
              <w:t xml:space="preserve">MEDIUM</w:t>
            </w:r>
          </w:p>
        </w:tc>
        <w:tc>
          <w:tcPr/>
          <w:p>
            <w:pPr>
              <w:pStyle w:val="Compact"/>
            </w:pPr>
            <w:r>
              <w:t xml:space="preserve">HIGH</w:t>
            </w:r>
          </w:p>
        </w:tc>
        <w:tc>
          <w:tcPr/>
          <w:p>
            <w:pPr>
              <w:pStyle w:val="Compact"/>
            </w:pPr>
            <w:r>
              <w:t xml:space="preserve">Engage a Uganda data protection lawyer before Phase 1 launch (gap HIGH-002). Document consent categories per data type. Implement breach notification procedures (72 hours to PDPO). Design data residency controls as a configurable parameter per tenant.</w:t>
            </w:r>
          </w:p>
        </w:tc>
      </w:tr>
      <w:tr>
        <w:tc>
          <w:tcPr/>
          <w:p>
            <w:pPr>
              <w:pStyle w:val="Compact"/>
            </w:pPr>
            <w:r>
              <w:t xml:space="preserve">Power infrastructure unreliability -- health facilities experience frequent power outages affecting device availability</w:t>
            </w:r>
          </w:p>
        </w:tc>
        <w:tc>
          <w:tcPr/>
          <w:p>
            <w:pPr>
              <w:pStyle w:val="Compact"/>
            </w:pPr>
            <w:r>
              <w:t xml:space="preserve">HIGH</w:t>
            </w:r>
          </w:p>
        </w:tc>
        <w:tc>
          <w:tcPr/>
          <w:p>
            <w:pPr>
              <w:pStyle w:val="Compact"/>
            </w:pPr>
            <w:r>
              <w:t xml:space="preserve">LOW</w:t>
            </w:r>
          </w:p>
        </w:tc>
        <w:tc>
          <w:tcPr/>
          <w:p>
            <w:pPr>
              <w:pStyle w:val="Compact"/>
            </w:pPr>
            <w:r>
              <w:t xml:space="preserve">Medic8 is cloud-hosted; server availability is unaffected by facility power. Client-side offline-first architecture with local storage preserves unsaved work. Mobile devices (tablets, phones) provide battery backup for continued data entry during outages.</w:t>
            </w:r>
          </w:p>
        </w:tc>
      </w:tr>
      <w:tr>
        <w:tc>
          <w:tcPr/>
          <w:p>
            <w:pPr>
              <w:pStyle w:val="Compact"/>
            </w:pPr>
            <w:r>
              <w:t xml:space="preserve">PEPFAR funding reduction or programme restructuring -- PEPFAR reduces Uganda funding, shrinking the implementing partner market segment</w:t>
            </w:r>
          </w:p>
        </w:tc>
        <w:tc>
          <w:tcPr/>
          <w:p>
            <w:pPr>
              <w:pStyle w:val="Compact"/>
            </w:pPr>
            <w:r>
              <w:t xml:space="preserve">LOW</w:t>
            </w:r>
          </w:p>
        </w:tc>
        <w:tc>
          <w:tcPr/>
          <w:p>
            <w:pPr>
              <w:pStyle w:val="Compact"/>
            </w:pPr>
            <w:r>
              <w:t xml:space="preserve">MEDIUM</w:t>
            </w:r>
          </w:p>
        </w:tc>
        <w:tc>
          <w:tcPr/>
          <w:p>
            <w:pPr>
              <w:pStyle w:val="Compact"/>
            </w:pPr>
            <w:r>
              <w:t xml:space="preserve">Diversify revenue across all 6 market segments. PEPFAR facilities are a Phase 3 target, not a Phase 1 dependency. Private clinics and mission hospitals provide the revenue foundation before programme modules are built.</w:t>
            </w:r>
          </w:p>
        </w:tc>
      </w:tr>
    </w:tbl>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2026-04-03T09:56:20Z</dcterms:created>
  <dcterms:modified xsi:type="dcterms:W3CDTF">2026-04-03T09:56:20Z</dcterms:modified>
</cp:coreProperties>
</file>

<file path=docProps/custom.xml><?xml version="1.0" encoding="utf-8"?>
<Properties xmlns="http://schemas.openxmlformats.org/officeDocument/2006/custom-properties" xmlns:vt="http://schemas.openxmlformats.org/officeDocument/2006/docPropsVTypes"/>
</file>