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Vragen voor Advocaat</w:t>
      </w:r>
    </w:p>
    <w:p>
      <w:pPr>
        <w:spacing w:after="40"/>
      </w:pPr>
      <w:r>
        <w:rPr>
          <w:rFonts w:ascii="Arial" w:cs="Arial" w:eastAsia="Arial" w:hAnsi="Arial"/>
          <w:sz w:val="22"/>
          <w:szCs w:val="22"/>
        </w:rPr>
        <w:t xml:space="preserve">Maud van der Zee (Omnius)</w:t>
      </w:r>
    </w:p>
    <w:p>
      <w:pPr>
        <w:spacing w:after="80"/>
      </w:pPr>
    </w:p>
    <w:p>
      <w:pPr>
        <w:spacing w:after="80"/>
      </w:pPr>
      <w:r>
        <w:rPr>
          <w:rFonts w:ascii="Arial" w:cs="Arial" w:eastAsia="Arial" w:hAnsi="Arial"/>
          <w:b/>
          <w:bCs/>
          <w:sz w:val="22"/>
          <w:szCs w:val="22"/>
        </w:rPr>
        <w:t xml:space="preserve">Intake: </w:t>
      </w:r>
      <w:r>
        <w:rPr>
          <w:rFonts w:ascii="Arial" w:cs="Arial" w:eastAsia="Arial" w:hAnsi="Arial"/>
          <w:sz w:val="22"/>
          <w:szCs w:val="22"/>
        </w:rPr>
        <w:t xml:space="preserve">6 februari 2026</w:t>
      </w:r>
    </w:p>
    <w:p>
      <w:pPr>
        <w:spacing w:after="80"/>
      </w:pPr>
      <w:r>
        <w:rPr>
          <w:rFonts w:ascii="Arial" w:cs="Arial" w:eastAsia="Arial" w:hAnsi="Arial"/>
          <w:b/>
          <w:bCs/>
          <w:sz w:val="22"/>
          <w:szCs w:val="22"/>
        </w:rPr>
        <w:t xml:space="preserve">Bijgewerkt: </w:t>
      </w:r>
      <w:r>
        <w:rPr>
          <w:rFonts w:ascii="Arial" w:cs="Arial" w:eastAsia="Arial" w:hAnsi="Arial"/>
          <w:sz w:val="22"/>
          <w:szCs w:val="22"/>
        </w:rPr>
        <w:t xml:space="preserve">9 februari 2026 (n.a.v. nieuwe ontwikkelingen)</w:t>
      </w:r>
    </w:p>
    <w:p>
      <w:pPr>
        <w:spacing w:after="80"/>
      </w:pPr>
      <w:r>
        <w:rPr>
          <w:rFonts w:ascii="Arial" w:cs="Arial" w:eastAsia="Arial" w:hAnsi="Arial"/>
          <w:b/>
          <w:bCs/>
          <w:sz w:val="22"/>
          <w:szCs w:val="22"/>
        </w:rPr>
        <w:t xml:space="preserve">Context: </w:t>
      </w:r>
      <w:r>
        <w:rPr>
          <w:rFonts w:ascii="Arial" w:cs="Arial" w:eastAsia="Arial" w:hAnsi="Arial"/>
          <w:sz w:val="22"/>
          <w:szCs w:val="22"/>
        </w:rPr>
        <w:t xml:space="preserve">Peter Berkenbosch / PHBX Holding B.V. — uittreding Dinck B.V.</w:t>
      </w:r>
    </w:p>
    <w:p>
      <w:pPr>
        <w:spacing w:after="80"/>
      </w:pPr>
      <w:r>
        <w:rPr>
          <w:rFonts w:ascii="Arial" w:cs="Arial" w:eastAsia="Arial" w:hAnsi="Arial"/>
          <w:b/>
          <w:bCs/>
          <w:sz w:val="22"/>
          <w:szCs w:val="22"/>
        </w:rPr>
        <w:t xml:space="preserve">Zaak: </w:t>
      </w:r>
      <w:r>
        <w:rPr>
          <w:rFonts w:ascii="Arial" w:cs="Arial" w:eastAsia="Arial" w:hAnsi="Arial"/>
          <w:sz w:val="22"/>
          <w:szCs w:val="22"/>
        </w:rPr>
        <w:t xml:space="preserve">#547764</w:t>
      </w:r>
    </w:p>
    <w:p>
      <w:pPr>
        <w:pBdr>
          <w:bottom w:val="single" w:color="CCCCCC" w:sz="1"/>
        </w:pBdr>
        <w:spacing w:before="200" w:after="200"/>
      </w:pPr>
    </w:p>
    <w:p>
      <w:pPr>
        <w:pStyle w:val="Heading1"/>
      </w:pPr>
      <w:r>
        <w:t xml:space="preserve">URGENT — Vóór Meeting Woensdag 11 Februari</w:t>
      </w:r>
    </w:p>
    <w:p>
      <w:pPr>
        <w:pStyle w:val="Heading2"/>
      </w:pPr>
      <w:r>
        <w:t xml:space="preserve">A. Stopzetting Financiering (6 feb 2026)</w:t>
      </w:r>
    </w:p>
    <w:p>
      <w:pPr>
        <w:spacing w:after="100"/>
      </w:pPr>
      <w:r>
        <w:rPr>
          <w:rFonts w:ascii="Arial" w:cs="Arial" w:eastAsia="Arial" w:hAnsi="Arial"/>
          <w:b/>
          <w:bCs/>
          <w:sz w:val="22"/>
          <w:szCs w:val="22"/>
        </w:rPr>
        <w:t xml:space="preserve">Context: </w:t>
      </w:r>
      <w:r>
        <w:rPr>
          <w:rFonts w:ascii="Arial" w:cs="Arial" w:eastAsia="Arial" w:hAnsi="Arial"/>
          <w:i/>
          <w:iCs/>
          <w:sz w:val="22"/>
          <w:szCs w:val="22"/>
        </w:rPr>
        <w:t xml:space="preserve">Douwine heeft per e-mail van 6 feb 2026 aangekondigd de financiering van Dinck per direct te beëindigen wegens “tegenslag in eigen onderneming.” Dinck heeft werknemers in dienst en onvoldoende eigen kasstroom voor salarisverplichtingen.</w:t>
      </w:r>
    </w:p>
    <w:p>
      <w:pPr>
        <w:spacing w:after="80"/>
      </w:pPr>
      <w:r>
        <w:rPr>
          <w:rFonts w:ascii="Arial" w:cs="Arial" w:eastAsia="Arial" w:hAnsi="Arial"/>
          <w:b/>
          <w:bCs/>
          <w:sz w:val="22"/>
          <w:szCs w:val="22"/>
        </w:rPr>
        <w:t xml:space="preserve">A1. </w:t>
      </w:r>
      <w:r>
        <w:rPr>
          <w:rFonts w:ascii="Arial" w:cs="Arial" w:eastAsia="Arial" w:hAnsi="Arial"/>
          <w:sz w:val="22"/>
          <w:szCs w:val="22"/>
        </w:rPr>
        <w:t xml:space="preserve">Kan Douwine als bestuurder van VDenD/Freca eenzijdig de operationele financiering van Dinck stopzetten, terwijl zij tegelijk bestuurder van Dinck is? Hoe verhoudt dit zich tot haar bestuurdersplicht jegens Dinck (Art. 2:9 BW) en het tegenstrijdig belang (Art. 2:239 lid 6 BW)?</w:t>
      </w:r>
    </w:p>
    <w:p>
      <w:pPr>
        <w:spacing w:after="80"/>
      </w:pPr>
      <w:r>
        <w:rPr>
          <w:rFonts w:ascii="Arial" w:cs="Arial" w:eastAsia="Arial" w:hAnsi="Arial"/>
          <w:b/>
          <w:bCs/>
          <w:sz w:val="22"/>
          <w:szCs w:val="22"/>
        </w:rPr>
        <w:t xml:space="preserve">A2. </w:t>
      </w:r>
      <w:r>
        <w:rPr>
          <w:rFonts w:ascii="Arial" w:cs="Arial" w:eastAsia="Arial" w:hAnsi="Arial"/>
          <w:sz w:val="22"/>
          <w:szCs w:val="22"/>
        </w:rPr>
        <w:t xml:space="preserve">Wat zijn Peters verplichtingen als mede-bestuurder (tot 1 maart) nu de salarisverplichtingen aan werknemers mogelijk niet kunnen worden voldaan? Loopt Peter risico op bestuurdersaansprakelijkheid als salarissen niet worden betaald?</w:t>
      </w:r>
    </w:p>
    <w:p>
      <w:pPr>
        <w:spacing w:after="80"/>
      </w:pPr>
      <w:r>
        <w:rPr>
          <w:rFonts w:ascii="Arial" w:cs="Arial" w:eastAsia="Arial" w:hAnsi="Arial"/>
          <w:b/>
          <w:bCs/>
          <w:sz w:val="22"/>
          <w:szCs w:val="22"/>
        </w:rPr>
        <w:t xml:space="preserve">A3. </w:t>
      </w:r>
      <w:r>
        <w:rPr>
          <w:rFonts w:ascii="Arial" w:cs="Arial" w:eastAsia="Arial" w:hAnsi="Arial"/>
          <w:sz w:val="22"/>
          <w:szCs w:val="22"/>
        </w:rPr>
        <w:t xml:space="preserve">Douwine meldt gesprekken met een “externe partij” komende dinsdag over een “mogelijke samenwerking.” Peter is niet geïnformeerd of betrokken. Wat zijn Peters rechten als mede-bestuurder? Kan hij eisen dat er geen toezeggingen worden gedaan zonder zijn betrokkenheid?</w:t>
      </w:r>
    </w:p>
    <w:p>
      <w:pPr>
        <w:spacing w:after="80"/>
      </w:pPr>
      <w:r>
        <w:rPr>
          <w:rFonts w:ascii="Arial" w:cs="Arial" w:eastAsia="Arial" w:hAnsi="Arial"/>
          <w:b/>
          <w:bCs/>
          <w:sz w:val="22"/>
          <w:szCs w:val="22"/>
        </w:rPr>
        <w:t xml:space="preserve">A4. </w:t>
      </w:r>
      <w:r>
        <w:rPr>
          <w:rFonts w:ascii="Arial" w:cs="Arial" w:eastAsia="Arial" w:hAnsi="Arial"/>
          <w:sz w:val="22"/>
          <w:szCs w:val="22"/>
        </w:rPr>
        <w:t xml:space="preserve">De meeting woensdag is bij Grady Hofstra (Douwine’s accountant/adviseur). Zijn er aandachtspunten of risico’s voor Peter? Moet hij eigen adviseur meenemen? Wat moet Peter wel/niet zeggen of toezeggen?</w:t>
      </w:r>
    </w:p>
    <w:p>
      <w:pPr>
        <w:spacing w:after="80"/>
      </w:pPr>
      <w:r>
        <w:rPr>
          <w:rFonts w:ascii="Arial" w:cs="Arial" w:eastAsia="Arial" w:hAnsi="Arial"/>
          <w:b/>
          <w:bCs/>
          <w:sz w:val="22"/>
          <w:szCs w:val="22"/>
        </w:rPr>
        <w:t xml:space="preserve">A5. </w:t>
      </w:r>
      <w:r>
        <w:rPr>
          <w:rFonts w:ascii="Arial" w:cs="Arial" w:eastAsia="Arial" w:hAnsi="Arial"/>
          <w:sz w:val="22"/>
          <w:szCs w:val="22"/>
        </w:rPr>
        <w:t xml:space="preserve">De conceptbrief financiële zorgen was al opgesteld vóór Douwine’s email. Is het raadzaam deze alsnog te verzenden vóór de meeting van woensdag? Of wachten?</w:t>
      </w:r>
    </w:p>
    <w:p>
      <w:pPr>
        <w:spacing w:after="80"/>
      </w:pPr>
      <w:r>
        <w:rPr>
          <w:rFonts w:ascii="Arial" w:cs="Arial" w:eastAsia="Arial" w:hAnsi="Arial"/>
          <w:b/>
          <w:bCs/>
          <w:sz w:val="22"/>
          <w:szCs w:val="22"/>
        </w:rPr>
        <w:t xml:space="preserve">A6. </w:t>
      </w:r>
      <w:r>
        <w:rPr>
          <w:rFonts w:ascii="Arial" w:cs="Arial" w:eastAsia="Arial" w:hAnsi="Arial"/>
          <w:sz w:val="22"/>
          <w:szCs w:val="22"/>
        </w:rPr>
        <w:t xml:space="preserve">Heeft Peter als mede-bestuurder een informatieplicht jegens de werknemers van Dinck B.V. nu de operationele financiering is stopgezet en salarisbetaling onzeker is? Zo ja, wanneer moet hij hen informeren — vóór de meeting van woensdag 11 feb, of pas als na de meeting blijkt dat er geen oplossing komt? Wat zijn de risico’s van te vroeg vs. te laat informeren (paniek vs. bestuurdersaansprakelijkheid)?</w:t>
      </w:r>
    </w:p>
    <w:p>
      <w:pPr>
        <w:pStyle w:val="Heading2"/>
      </w:pPr>
      <w:r>
        <w:t xml:space="preserve">B. Managementovereenkomst — Wel of Niet Opzeggen</w:t>
      </w:r>
    </w:p>
    <w:p>
      <w:pPr>
        <w:spacing w:after="100"/>
      </w:pPr>
      <w:r>
        <w:rPr>
          <w:rFonts w:ascii="Arial" w:cs="Arial" w:eastAsia="Arial" w:hAnsi="Arial"/>
          <w:b/>
          <w:bCs/>
          <w:sz w:val="22"/>
          <w:szCs w:val="22"/>
        </w:rPr>
        <w:t xml:space="preserve">Context: </w:t>
      </w:r>
      <w:r>
        <w:rPr>
          <w:rFonts w:ascii="Arial" w:cs="Arial" w:eastAsia="Arial" w:hAnsi="Arial"/>
          <w:i/>
          <w:iCs/>
          <w:sz w:val="22"/>
          <w:szCs w:val="22"/>
        </w:rPr>
        <w:t xml:space="preserve">Het bestuurdersontslag per 1 maart beëindigt de managementovereenkomst PHBX ↔ Dinck niet automatisch. De MO is nooit formeel opgezegd — alleen de fee is op nihil gesteld.</w:t>
      </w:r>
    </w:p>
    <w:p>
      <w:pPr>
        <w:spacing w:after="80"/>
      </w:pPr>
      <w:r>
        <w:rPr>
          <w:rFonts w:ascii="Arial" w:cs="Arial" w:eastAsia="Arial" w:hAnsi="Arial"/>
          <w:b/>
          <w:bCs/>
          <w:sz w:val="22"/>
          <w:szCs w:val="22"/>
        </w:rPr>
        <w:t xml:space="preserve">B1. </w:t>
      </w:r>
      <w:r>
        <w:rPr>
          <w:rFonts w:ascii="Arial" w:cs="Arial" w:eastAsia="Arial" w:hAnsi="Arial"/>
          <w:sz w:val="22"/>
          <w:szCs w:val="22"/>
        </w:rPr>
        <w:t xml:space="preserve">Eindigt de managementovereenkomst automatisch bij ontslag als bestuurder, of vereist dit formele opzegging conform Art. 5.1 (3 maanden schriftelijk)?</w:t>
      </w:r>
    </w:p>
    <w:p>
      <w:pPr>
        <w:spacing w:after="80"/>
      </w:pPr>
      <w:r>
        <w:rPr>
          <w:rFonts w:ascii="Arial" w:cs="Arial" w:eastAsia="Arial" w:hAnsi="Arial"/>
          <w:b/>
          <w:bCs/>
          <w:sz w:val="22"/>
          <w:szCs w:val="22"/>
        </w:rPr>
        <w:t xml:space="preserve">B2. </w:t>
      </w:r>
      <w:r>
        <w:rPr>
          <w:rFonts w:ascii="Arial" w:cs="Arial" w:eastAsia="Arial" w:hAnsi="Arial"/>
          <w:sz w:val="22"/>
          <w:szCs w:val="22"/>
        </w:rPr>
        <w:t xml:space="preserve">Is het strategisch raadzaam de MO wél of juist niet op te zeggen? Afwegingen:</w:t>
      </w:r>
    </w:p>
    <w:p>
      <w:pPr>
        <w:pStyle w:val="ListParagraph"/>
        <w:numPr>
          <w:ilvl w:val="0"/>
          <w:numId w:val="2"/>
        </w:numPr>
        <w:spacing w:after="40"/>
      </w:pPr>
      <w:r>
        <w:rPr>
          <w:rFonts w:ascii="Arial" w:cs="Arial" w:eastAsia="Arial" w:hAnsi="Arial"/>
          <w:b/>
          <w:bCs/>
          <w:sz w:val="22"/>
          <w:szCs w:val="22"/>
        </w:rPr>
        <w:t xml:space="preserve">Niet opzeggen: </w:t>
      </w:r>
      <w:r>
        <w:rPr>
          <w:rFonts w:ascii="Arial" w:cs="Arial" w:eastAsia="Arial" w:hAnsi="Arial"/>
          <w:sz w:val="22"/>
          <w:szCs w:val="22"/>
        </w:rPr>
        <w:t xml:space="preserve">vrijwaring Art. 4.2 blijft actief, geen staking-signaal (Art. 7.1.g leningsovereenkomst), ongerechtvaardigde verrijking-argument loopt door</w:t>
      </w:r>
    </w:p>
    <w:p>
      <w:pPr>
        <w:pStyle w:val="ListParagraph"/>
        <w:numPr>
          <w:ilvl w:val="0"/>
          <w:numId w:val="2"/>
        </w:numPr>
        <w:spacing w:after="40"/>
      </w:pPr>
      <w:r>
        <w:rPr>
          <w:rFonts w:ascii="Arial" w:cs="Arial" w:eastAsia="Arial" w:hAnsi="Arial"/>
          <w:b/>
          <w:bCs/>
          <w:sz w:val="22"/>
          <w:szCs w:val="22"/>
        </w:rPr>
        <w:t xml:space="preserve">Wel opzeggen: </w:t>
      </w:r>
      <w:r>
        <w:rPr>
          <w:rFonts w:ascii="Arial" w:cs="Arial" w:eastAsia="Arial" w:hAnsi="Arial"/>
          <w:sz w:val="22"/>
          <w:szCs w:val="22"/>
        </w:rPr>
        <w:t xml:space="preserve">juridische helderheid, geen doorlopende fulltime verplichting voor €0</w:t>
      </w:r>
    </w:p>
    <w:p>
      <w:pPr>
        <w:spacing w:after="80"/>
      </w:pPr>
      <w:r>
        <w:rPr>
          <w:rFonts w:ascii="Arial" w:cs="Arial" w:eastAsia="Arial" w:hAnsi="Arial"/>
          <w:b/>
          <w:bCs/>
          <w:sz w:val="22"/>
          <w:szCs w:val="22"/>
        </w:rPr>
        <w:t xml:space="preserve">B3. </w:t>
      </w:r>
      <w:r>
        <w:rPr>
          <w:rFonts w:ascii="Arial" w:cs="Arial" w:eastAsia="Arial" w:hAnsi="Arial"/>
          <w:sz w:val="22"/>
          <w:szCs w:val="22"/>
        </w:rPr>
        <w:t xml:space="preserve">Kan Dinck stellen dat PHBX een vervanger moet aanwijzen (Art. 2.2), ook nadat Peter als bestuurder is afgetreden?</w:t>
      </w:r>
    </w:p>
    <w:p>
      <w:pPr>
        <w:pStyle w:val="Heading2"/>
      </w:pPr>
      <w:r>
        <w:t xml:space="preserve">C. Art. 3.1 Gelijke Behandeling — Formele Schending</w:t>
      </w:r>
    </w:p>
    <w:p>
      <w:pPr>
        <w:spacing w:after="100"/>
      </w:pPr>
      <w:r>
        <w:rPr>
          <w:rFonts w:ascii="Arial" w:cs="Arial" w:eastAsia="Arial" w:hAnsi="Arial"/>
          <w:b/>
          <w:bCs/>
          <w:sz w:val="22"/>
          <w:szCs w:val="22"/>
        </w:rPr>
        <w:t xml:space="preserve">Context: </w:t>
      </w:r>
      <w:r>
        <w:rPr>
          <w:rFonts w:ascii="Arial" w:cs="Arial" w:eastAsia="Arial" w:hAnsi="Arial"/>
          <w:i/>
          <w:iCs/>
          <w:sz w:val="22"/>
          <w:szCs w:val="22"/>
        </w:rPr>
        <w:t xml:space="preserve">Het AVA-besluit van 30 november 2024 wijzigt uitsluitend de managementovereenkomst met PHBX. Freca’s MO wordt niet genoemd. Art. 3.1 vereist dat wijzigingen gelijk zijn voor beide bestuurders. Feitelijk zijn beide fees gestopt, maar er is geen formeel besluit voor Freca.</w:t>
      </w:r>
    </w:p>
    <w:p>
      <w:pPr>
        <w:spacing w:after="80"/>
      </w:pPr>
      <w:r>
        <w:rPr>
          <w:rFonts w:ascii="Arial" w:cs="Arial" w:eastAsia="Arial" w:hAnsi="Arial"/>
          <w:b/>
          <w:bCs/>
          <w:sz w:val="22"/>
          <w:szCs w:val="22"/>
        </w:rPr>
        <w:t xml:space="preserve">C1. </w:t>
      </w:r>
      <w:r>
        <w:rPr>
          <w:rFonts w:ascii="Arial" w:cs="Arial" w:eastAsia="Arial" w:hAnsi="Arial"/>
          <w:sz w:val="22"/>
          <w:szCs w:val="22"/>
        </w:rPr>
        <w:t xml:space="preserve">Is het AVA-besluit aantastbaar omdat het in strijd is met Art. 3.1 van de managementovereenkomst (ongelijke behandeling — alleen PHBX’s fee gewijzigd, niet Freca’s)?</w:t>
      </w:r>
    </w:p>
    <w:p>
      <w:pPr>
        <w:spacing w:after="80"/>
      </w:pPr>
      <w:r>
        <w:rPr>
          <w:rFonts w:ascii="Arial" w:cs="Arial" w:eastAsia="Arial" w:hAnsi="Arial"/>
          <w:b/>
          <w:bCs/>
          <w:sz w:val="22"/>
          <w:szCs w:val="22"/>
        </w:rPr>
        <w:t xml:space="preserve">C2. </w:t>
      </w:r>
      <w:r>
        <w:rPr>
          <w:rFonts w:ascii="Arial" w:cs="Arial" w:eastAsia="Arial" w:hAnsi="Arial"/>
          <w:sz w:val="22"/>
          <w:szCs w:val="22"/>
        </w:rPr>
        <w:t xml:space="preserve">Loopt Freca’s fee van €8.000/maand juridisch nog steeds door? Zo ja, bouwt Freca vordering op Dinck op die niet in de boekhouding staat? Hoeveel maanden (apr 2024 t/m heden)?</w:t>
      </w:r>
    </w:p>
    <w:p>
      <w:pPr>
        <w:spacing w:after="80"/>
      </w:pPr>
      <w:r>
        <w:rPr>
          <w:rFonts w:ascii="Arial" w:cs="Arial" w:eastAsia="Arial" w:hAnsi="Arial"/>
          <w:b/>
          <w:bCs/>
          <w:sz w:val="22"/>
          <w:szCs w:val="22"/>
        </w:rPr>
        <w:t xml:space="preserve">C3. </w:t>
      </w:r>
      <w:r>
        <w:rPr>
          <w:rFonts w:ascii="Arial" w:cs="Arial" w:eastAsia="Arial" w:hAnsi="Arial"/>
          <w:sz w:val="22"/>
          <w:szCs w:val="22"/>
        </w:rPr>
        <w:t xml:space="preserve">Kan Peter zich beroepen op Art. 3.1 om te stellen dat zijn fee óók niet op nihil had mogen worden gesteld zonder dezelfde formele wijziging voor Freca — en dus met terugwerkende kracht aanspraak maken op de managementfee?</w:t>
      </w:r>
    </w:p>
    <w:p>
      <w:pPr>
        <w:pBdr>
          <w:bottom w:val="single" w:color="CCCCCC" w:sz="1"/>
        </w:pBdr>
        <w:spacing w:before="200" w:after="200"/>
      </w:pPr>
    </w:p>
    <w:p>
      <w:pPr>
        <w:pStyle w:val="Heading1"/>
      </w:pPr>
      <w:r>
        <w:t xml:space="preserve">BELANGRIJK — Vóór 1 Maart 2026</w:t>
      </w:r>
    </w:p>
    <w:p>
      <w:pPr>
        <w:pStyle w:val="Heading2"/>
      </w:pPr>
      <w:r>
        <w:t xml:space="preserve">D. Bestuurdersaansprakelijkheid</w:t>
      </w:r>
    </w:p>
    <w:p>
      <w:pPr>
        <w:spacing w:after="80"/>
      </w:pPr>
      <w:r>
        <w:rPr>
          <w:rFonts w:ascii="Arial" w:cs="Arial" w:eastAsia="Arial" w:hAnsi="Arial"/>
          <w:b/>
          <w:bCs/>
          <w:sz w:val="22"/>
          <w:szCs w:val="22"/>
        </w:rPr>
        <w:t xml:space="preserve">D1. </w:t>
      </w:r>
      <w:r>
        <w:rPr>
          <w:rFonts w:ascii="Arial" w:cs="Arial" w:eastAsia="Arial" w:hAnsi="Arial"/>
          <w:sz w:val="22"/>
          <w:szCs w:val="22"/>
        </w:rPr>
        <w:t xml:space="preserve">Peter treedt af als bestuurder per 1 maart 2026. Dinck’s schuldpositie is €612K, ARR is €6.4K, aflossing 28 maart is onmogelijk. Loopt Peter risico op bestuurdersaansprakelijkheid (Art. 2:248 BW) voor de periode vóór zijn vertrek?</w:t>
      </w:r>
    </w:p>
    <w:p>
      <w:pPr>
        <w:spacing w:after="80"/>
      </w:pPr>
      <w:r>
        <w:rPr>
          <w:rFonts w:ascii="Arial" w:cs="Arial" w:eastAsia="Arial" w:hAnsi="Arial"/>
          <w:b/>
          <w:bCs/>
          <w:sz w:val="22"/>
          <w:szCs w:val="22"/>
        </w:rPr>
        <w:t xml:space="preserve">D2. </w:t>
      </w:r>
      <w:r>
        <w:rPr>
          <w:rFonts w:ascii="Arial" w:cs="Arial" w:eastAsia="Arial" w:hAnsi="Arial"/>
          <w:sz w:val="22"/>
          <w:szCs w:val="22"/>
        </w:rPr>
        <w:t xml:space="preserve">Peter was structureel buitengesloten van besluitvorming (10 gedocumenteerde incidenten). Is dit een verweer tegen bestuurdersaansprakelijkheid?</w:t>
      </w:r>
    </w:p>
    <w:p>
      <w:pPr>
        <w:spacing w:after="80"/>
      </w:pPr>
      <w:r>
        <w:rPr>
          <w:rFonts w:ascii="Arial" w:cs="Arial" w:eastAsia="Arial" w:hAnsi="Arial"/>
          <w:b/>
          <w:bCs/>
          <w:sz w:val="22"/>
          <w:szCs w:val="22"/>
        </w:rPr>
        <w:t xml:space="preserve">D3. </w:t>
      </w:r>
      <w:r>
        <w:rPr>
          <w:rFonts w:ascii="Arial" w:cs="Arial" w:eastAsia="Arial" w:hAnsi="Arial"/>
          <w:sz w:val="22"/>
          <w:szCs w:val="22"/>
        </w:rPr>
        <w:t xml:space="preserve">Douwine’s vage aansprakelijkheidsdreiging (e-mail 1 feb 2026: “verantwoordelijkheden of aansprakelijkheden verdwijnen niet”) — is hier een reële grondslag voor?</w:t>
      </w:r>
    </w:p>
    <w:p>
      <w:pPr>
        <w:spacing w:after="80"/>
      </w:pPr>
      <w:r>
        <w:rPr>
          <w:rFonts w:ascii="Arial" w:cs="Arial" w:eastAsia="Arial" w:hAnsi="Arial"/>
          <w:b/>
          <w:bCs/>
          <w:sz w:val="22"/>
          <w:szCs w:val="22"/>
        </w:rPr>
        <w:t xml:space="preserve">D4. </w:t>
      </w:r>
      <w:r>
        <w:rPr>
          <w:rFonts w:ascii="Arial" w:cs="Arial" w:eastAsia="Arial" w:hAnsi="Arial"/>
          <w:sz w:val="22"/>
          <w:szCs w:val="22"/>
        </w:rPr>
        <w:t xml:space="preserve">Is de jaarrekening 2024 van Dinck B.V. tijdig gedeponeerd? Art. 2:248 lid 2 BW bevat een bewijsvermoeden: als de jaarrekening niet tijdig is gedeponeerd, wordt vermoed dat er sprake is van onbehoorlijk bestuur. Peter was structureel buitengesloten van de financiële administratie — is dit een verweer?</w:t>
      </w:r>
    </w:p>
    <w:p>
      <w:pPr>
        <w:pStyle w:val="Heading2"/>
      </w:pPr>
      <w:r>
        <w:t xml:space="preserve">E. Leningsovereenkomst Freca → Dinck</w:t>
      </w:r>
    </w:p>
    <w:p>
      <w:pPr>
        <w:spacing w:after="100"/>
      </w:pPr>
      <w:r>
        <w:rPr>
          <w:rFonts w:ascii="Arial" w:cs="Arial" w:eastAsia="Arial" w:hAnsi="Arial"/>
          <w:b/>
          <w:bCs/>
          <w:sz w:val="22"/>
          <w:szCs w:val="22"/>
        </w:rPr>
        <w:t xml:space="preserve">Context: </w:t>
      </w:r>
      <w:r>
        <w:rPr>
          <w:rFonts w:ascii="Arial" w:cs="Arial" w:eastAsia="Arial" w:hAnsi="Arial"/>
          <w:i/>
          <w:iCs/>
          <w:sz w:val="22"/>
          <w:szCs w:val="22"/>
        </w:rPr>
        <w:t xml:space="preserve">Leningsovereenkomst 28 maart 2024 + addendum 31 december 2024. Max €500K, 5% rente, eerste aflossing 28 maart 2026.</w:t>
      </w:r>
    </w:p>
    <w:p>
      <w:pPr>
        <w:spacing w:after="80"/>
      </w:pPr>
      <w:r>
        <w:rPr>
          <w:rFonts w:ascii="Arial" w:cs="Arial" w:eastAsia="Arial" w:hAnsi="Arial"/>
          <w:b/>
          <w:bCs/>
          <w:sz w:val="22"/>
          <w:szCs w:val="22"/>
        </w:rPr>
        <w:t xml:space="preserve">E1. </w:t>
      </w:r>
      <w:r>
        <w:rPr>
          <w:rFonts w:ascii="Arial" w:cs="Arial" w:eastAsia="Arial" w:hAnsi="Arial"/>
          <w:sz w:val="22"/>
          <w:szCs w:val="22"/>
        </w:rPr>
        <w:t xml:space="preserve">Dinck kan de aflossing van ~€55-75K op 28 maart 2026 niet betalen. Dit leidt tot automatisch verzuim (Art. 11.2) en directe opeisbaarheid (Art. 7.1.a/b). Wat zijn de juridische gevolgen als Freca niet onmiddellijk opeist? Stilzwijgende acceptatie?</w:t>
      </w:r>
    </w:p>
    <w:p>
      <w:pPr>
        <w:spacing w:after="80"/>
      </w:pPr>
      <w:r>
        <w:rPr>
          <w:rFonts w:ascii="Arial" w:cs="Arial" w:eastAsia="Arial" w:hAnsi="Arial"/>
          <w:b/>
          <w:bCs/>
          <w:sz w:val="22"/>
          <w:szCs w:val="22"/>
        </w:rPr>
        <w:t xml:space="preserve">E2. </w:t>
      </w:r>
      <w:r>
        <w:rPr>
          <w:rFonts w:ascii="Arial" w:cs="Arial" w:eastAsia="Arial" w:hAnsi="Arial"/>
          <w:sz w:val="22"/>
          <w:szCs w:val="22"/>
        </w:rPr>
        <w:t xml:space="preserve">Leidt rente-accumulatie die het saldo boven €500K brengt tot een overtreding onder Art. 7.1.f (overtreding bepaling)?</w:t>
      </w:r>
    </w:p>
    <w:p>
      <w:pPr>
        <w:spacing w:after="80"/>
      </w:pPr>
      <w:r>
        <w:rPr>
          <w:rFonts w:ascii="Arial" w:cs="Arial" w:eastAsia="Arial" w:hAnsi="Arial"/>
          <w:b/>
          <w:bCs/>
          <w:sz w:val="22"/>
          <w:szCs w:val="22"/>
        </w:rPr>
        <w:t xml:space="preserve">E3. </w:t>
      </w:r>
      <w:r>
        <w:rPr>
          <w:rFonts w:ascii="Arial" w:cs="Arial" w:eastAsia="Arial" w:hAnsi="Arial"/>
          <w:sz w:val="22"/>
          <w:szCs w:val="22"/>
        </w:rPr>
        <w:t xml:space="preserve">Peter tekende het addendum (verhoging naar €500K) 14 dagen nadat zijn management fee eenzijdig was stopgezet. Is er grond voor vernietiging wegens misbruik van omstandigheden (Art. 3:44 lid 4 BW)?</w:t>
      </w:r>
    </w:p>
    <w:p>
      <w:pPr>
        <w:spacing w:after="80"/>
      </w:pPr>
      <w:r>
        <w:rPr>
          <w:rFonts w:ascii="Arial" w:cs="Arial" w:eastAsia="Arial" w:hAnsi="Arial"/>
          <w:b/>
          <w:bCs/>
          <w:sz w:val="22"/>
          <w:szCs w:val="22"/>
        </w:rPr>
        <w:t xml:space="preserve">E4. </w:t>
      </w:r>
      <w:r>
        <w:rPr>
          <w:rFonts w:ascii="Arial" w:cs="Arial" w:eastAsia="Arial" w:hAnsi="Arial"/>
          <w:sz w:val="22"/>
          <w:szCs w:val="22"/>
        </w:rPr>
        <w:t xml:space="preserve">PHBX Holding is geen partij bij de leningsovereenkomst. Kan Freca toch verhaal halen op PHBX (bijv. via bestuurdersaansprakelijkheid)?</w:t>
      </w:r>
    </w:p>
    <w:p>
      <w:pPr>
        <w:spacing w:after="80"/>
      </w:pPr>
      <w:r>
        <w:rPr>
          <w:rFonts w:ascii="Arial" w:cs="Arial" w:eastAsia="Arial" w:hAnsi="Arial"/>
          <w:b/>
          <w:bCs/>
          <w:sz w:val="22"/>
          <w:szCs w:val="22"/>
        </w:rPr>
        <w:t xml:space="preserve">E5. </w:t>
      </w:r>
      <w:r>
        <w:rPr>
          <w:rFonts w:ascii="Arial" w:cs="Arial" w:eastAsia="Arial" w:hAnsi="Arial"/>
          <w:sz w:val="22"/>
          <w:szCs w:val="22"/>
        </w:rPr>
        <w:t xml:space="preserve">Douwine is bestuurder van zowel Dinck (schuldenaar) als Freca (schuldeiser). Hoe werkt het tegenstrijdig belang (Art. 2:239 lid 6 BW) bij het opeisen of niet-opeisen van de lening?</w:t>
      </w:r>
    </w:p>
    <w:p>
      <w:pPr>
        <w:spacing w:after="80"/>
      </w:pPr>
      <w:r>
        <w:rPr>
          <w:rFonts w:ascii="Arial" w:cs="Arial" w:eastAsia="Arial" w:hAnsi="Arial"/>
          <w:b/>
          <w:bCs/>
          <w:sz w:val="22"/>
          <w:szCs w:val="22"/>
        </w:rPr>
        <w:t xml:space="preserve">E6. </w:t>
      </w:r>
      <w:r>
        <w:rPr>
          <w:rFonts w:ascii="Arial" w:cs="Arial" w:eastAsia="Arial" w:hAnsi="Arial"/>
          <w:sz w:val="22"/>
          <w:szCs w:val="22"/>
        </w:rPr>
        <w:t xml:space="preserve">Is het ontslag van Peter als bestuurder op zichzelf een “staking of beëindiging van de bedrijfsuitoefening” in de zin van Art. 7.1.g? Of is dat pas het geval als Dinck feitelijk stopt met opereren?</w:t>
      </w:r>
    </w:p>
    <w:p>
      <w:pPr>
        <w:spacing w:after="80"/>
      </w:pPr>
      <w:r>
        <w:rPr>
          <w:rFonts w:ascii="Arial" w:cs="Arial" w:eastAsia="Arial" w:hAnsi="Arial"/>
          <w:b/>
          <w:bCs/>
          <w:sz w:val="22"/>
          <w:szCs w:val="22"/>
        </w:rPr>
        <w:t xml:space="preserve">E7. </w:t>
      </w:r>
      <w:r>
        <w:rPr>
          <w:rFonts w:ascii="Arial" w:cs="Arial" w:eastAsia="Arial" w:hAnsi="Arial"/>
          <w:sz w:val="22"/>
          <w:szCs w:val="22"/>
        </w:rPr>
        <w:t xml:space="preserve">Als de managementovereenkomst niet wordt opgezegd, vermindert dat dan het risico dat Peters vertrek als “staking” wordt gekwalificeerd onder Art. 7.1.g?</w:t>
      </w:r>
    </w:p>
    <w:p>
      <w:pPr>
        <w:pStyle w:val="Heading2"/>
      </w:pPr>
      <w:r>
        <w:t xml:space="preserve">F. Vrijwaring en Aansprakelijkheidsbeperking</w:t>
      </w:r>
    </w:p>
    <w:p>
      <w:pPr>
        <w:spacing w:after="80"/>
      </w:pPr>
      <w:r>
        <w:rPr>
          <w:rFonts w:ascii="Arial" w:cs="Arial" w:eastAsia="Arial" w:hAnsi="Arial"/>
          <w:b/>
          <w:bCs/>
          <w:sz w:val="22"/>
          <w:szCs w:val="22"/>
        </w:rPr>
        <w:t xml:space="preserve">F1. </w:t>
      </w:r>
      <w:r>
        <w:rPr>
          <w:rFonts w:ascii="Arial" w:cs="Arial" w:eastAsia="Arial" w:hAnsi="Arial"/>
          <w:sz w:val="22"/>
          <w:szCs w:val="22"/>
        </w:rPr>
        <w:t xml:space="preserve">Art. 4.2 MO (vrijwaring): Dekt deze ook claims die na beëindiging van de MO worden ingediend, maar betrekking hebben op werkzaamheden verricht tijdens de looptijd? Of eindigt de bescherming bij beëindiging?</w:t>
      </w:r>
    </w:p>
    <w:p>
      <w:pPr>
        <w:spacing w:after="80"/>
      </w:pPr>
      <w:r>
        <w:rPr>
          <w:rFonts w:ascii="Arial" w:cs="Arial" w:eastAsia="Arial" w:hAnsi="Arial"/>
          <w:b/>
          <w:bCs/>
          <w:sz w:val="22"/>
          <w:szCs w:val="22"/>
        </w:rPr>
        <w:t xml:space="preserve">F2. </w:t>
      </w:r>
      <w:r>
        <w:rPr>
          <w:rFonts w:ascii="Arial" w:cs="Arial" w:eastAsia="Arial" w:hAnsi="Arial"/>
          <w:sz w:val="22"/>
          <w:szCs w:val="22"/>
        </w:rPr>
        <w:t xml:space="preserve">Als Dinck failliet gaat, is de vrijwaring (Art. 4.2) nog afdwingbaar jegens de boedel?</w:t>
      </w:r>
    </w:p>
    <w:p>
      <w:pPr>
        <w:spacing w:after="80"/>
      </w:pPr>
      <w:r>
        <w:rPr>
          <w:rFonts w:ascii="Arial" w:cs="Arial" w:eastAsia="Arial" w:hAnsi="Arial"/>
          <w:b/>
          <w:bCs/>
          <w:sz w:val="22"/>
          <w:szCs w:val="22"/>
        </w:rPr>
        <w:t xml:space="preserve">F3. </w:t>
      </w:r>
      <w:r>
        <w:rPr>
          <w:rFonts w:ascii="Arial" w:cs="Arial" w:eastAsia="Arial" w:hAnsi="Arial"/>
          <w:sz w:val="22"/>
          <w:szCs w:val="22"/>
        </w:rPr>
        <w:t xml:space="preserve">Verzwakt of versterkt het opzeggen van de MO door PHBX de vordering uit ongerechtvaardigde verrijking (Art. 6:212 BW)?</w:t>
      </w:r>
    </w:p>
    <w:p>
      <w:pPr>
        <w:pStyle w:val="Heading2"/>
      </w:pPr>
      <w:r>
        <w:t xml:space="preserve">G. Ongerechtvaardigde Verrijking</w:t>
      </w:r>
    </w:p>
    <w:p>
      <w:pPr>
        <w:spacing w:after="80"/>
      </w:pPr>
      <w:r>
        <w:rPr>
          <w:rFonts w:ascii="Arial" w:cs="Arial" w:eastAsia="Arial" w:hAnsi="Arial"/>
          <w:b/>
          <w:bCs/>
          <w:sz w:val="22"/>
          <w:szCs w:val="22"/>
        </w:rPr>
        <w:t xml:space="preserve">G1. </w:t>
      </w:r>
      <w:r>
        <w:rPr>
          <w:rFonts w:ascii="Arial" w:cs="Arial" w:eastAsia="Arial" w:hAnsi="Arial"/>
          <w:sz w:val="22"/>
          <w:szCs w:val="22"/>
        </w:rPr>
        <w:t xml:space="preserve">Kan PHBX een vordering ex Art. 6:212 BW instellen voor ~1.440 uren onbetaald werk (geschatte waarde €108-180K)? Tegen wie: Dinck B.V.?</w:t>
      </w:r>
    </w:p>
    <w:p>
      <w:pPr>
        <w:spacing w:after="80"/>
      </w:pPr>
      <w:r>
        <w:rPr>
          <w:rFonts w:ascii="Arial" w:cs="Arial" w:eastAsia="Arial" w:hAnsi="Arial"/>
          <w:b/>
          <w:bCs/>
          <w:sz w:val="22"/>
          <w:szCs w:val="22"/>
        </w:rPr>
        <w:t xml:space="preserve">G2. </w:t>
      </w:r>
      <w:r>
        <w:rPr>
          <w:rFonts w:ascii="Arial" w:cs="Arial" w:eastAsia="Arial" w:hAnsi="Arial"/>
          <w:sz w:val="22"/>
          <w:szCs w:val="22"/>
        </w:rPr>
        <w:t xml:space="preserve">Verzwakt Peters eigen instemming met het AVA-besluit (30 nov 2024) dit argument? De herlevingsclausule was expliciet tijdelijk.</w:t>
      </w:r>
    </w:p>
    <w:p>
      <w:pPr>
        <w:spacing w:after="80"/>
      </w:pPr>
      <w:r>
        <w:rPr>
          <w:rFonts w:ascii="Arial" w:cs="Arial" w:eastAsia="Arial" w:hAnsi="Arial"/>
          <w:b/>
          <w:bCs/>
          <w:sz w:val="22"/>
          <w:szCs w:val="22"/>
        </w:rPr>
        <w:t xml:space="preserve">G3. </w:t>
      </w:r>
      <w:r>
        <w:rPr>
          <w:rFonts w:ascii="Arial" w:cs="Arial" w:eastAsia="Arial" w:hAnsi="Arial"/>
          <w:sz w:val="22"/>
          <w:szCs w:val="22"/>
        </w:rPr>
        <w:t xml:space="preserve">Kan Peter de ongerechtvaardigde verrijking-vordering gebruiken als tegenwicht tegen de leningsvordering van Freca?</w:t>
      </w:r>
    </w:p>
    <w:p>
      <w:pPr>
        <w:pBdr>
          <w:bottom w:val="single" w:color="CCCCCC" w:sz="1"/>
        </w:pBdr>
        <w:spacing w:before="200" w:after="200"/>
      </w:pPr>
    </w:p>
    <w:p>
      <w:pPr>
        <w:pStyle w:val="Heading1"/>
      </w:pPr>
      <w:r>
        <w:t xml:space="preserve">STRATEGISCH — Uittreding</w:t>
      </w:r>
    </w:p>
    <w:p>
      <w:pPr>
        <w:pStyle w:val="Heading2"/>
      </w:pPr>
      <w:r>
        <w:t xml:space="preserve">H. Aandelenoverdracht Marlou / Schijnconstructie</w:t>
      </w:r>
    </w:p>
    <w:p>
      <w:pPr>
        <w:spacing w:after="100"/>
      </w:pPr>
      <w:r>
        <w:rPr>
          <w:rFonts w:ascii="Arial" w:cs="Arial" w:eastAsia="Arial" w:hAnsi="Arial"/>
          <w:b/>
          <w:bCs/>
          <w:sz w:val="22"/>
          <w:szCs w:val="22"/>
        </w:rPr>
        <w:t xml:space="preserve">Context: </w:t>
      </w:r>
      <w:r>
        <w:rPr>
          <w:rFonts w:ascii="Arial" w:cs="Arial" w:eastAsia="Arial" w:hAnsi="Arial"/>
          <w:i/>
          <w:iCs/>
          <w:sz w:val="22"/>
          <w:szCs w:val="22"/>
        </w:rPr>
        <w:t xml:space="preserve">Freca verkocht 8 aandelen aan Marlou Woltmeijer (vriendin + werknemer Douwine) voor €1, met mondelinge terugkoopafspraak €1,50. Doel: UBO-wijziging voor hypotheek Douwine.</w:t>
      </w:r>
    </w:p>
    <w:p>
      <w:pPr>
        <w:spacing w:after="80"/>
      </w:pPr>
      <w:r>
        <w:rPr>
          <w:rFonts w:ascii="Arial" w:cs="Arial" w:eastAsia="Arial" w:hAnsi="Arial"/>
          <w:b/>
          <w:bCs/>
          <w:sz w:val="22"/>
          <w:szCs w:val="22"/>
        </w:rPr>
        <w:t xml:space="preserve">H1. </w:t>
      </w:r>
      <w:r>
        <w:rPr>
          <w:rFonts w:ascii="Arial" w:cs="Arial" w:eastAsia="Arial" w:hAnsi="Arial"/>
          <w:sz w:val="22"/>
          <w:szCs w:val="22"/>
        </w:rPr>
        <w:t xml:space="preserve">Is de combinatie van €1 koopprijs + voorziene teruglevering + mondelinge overeenkomst voldoende om schijnhandeling (Art. 3:44 BW) te stellen?</w:t>
      </w:r>
    </w:p>
    <w:p>
      <w:pPr>
        <w:spacing w:after="80"/>
      </w:pPr>
      <w:r>
        <w:rPr>
          <w:rFonts w:ascii="Arial" w:cs="Arial" w:eastAsia="Arial" w:hAnsi="Arial"/>
          <w:b/>
          <w:bCs/>
          <w:sz w:val="22"/>
          <w:szCs w:val="22"/>
        </w:rPr>
        <w:t xml:space="preserve">H2. </w:t>
      </w:r>
      <w:r>
        <w:rPr>
          <w:rFonts w:ascii="Arial" w:cs="Arial" w:eastAsia="Arial" w:hAnsi="Arial"/>
          <w:sz w:val="22"/>
          <w:szCs w:val="22"/>
        </w:rPr>
        <w:t xml:space="preserve">Hoe kan het bestaan van de mondelinge €1,50 terugkoopafspraak worden bewezen?</w:t>
      </w:r>
    </w:p>
    <w:p>
      <w:pPr>
        <w:spacing w:after="80"/>
      </w:pPr>
      <w:r>
        <w:rPr>
          <w:rFonts w:ascii="Arial" w:cs="Arial" w:eastAsia="Arial" w:hAnsi="Arial"/>
          <w:b/>
          <w:bCs/>
          <w:sz w:val="22"/>
          <w:szCs w:val="22"/>
        </w:rPr>
        <w:t xml:space="preserve">H3. </w:t>
      </w:r>
      <w:r>
        <w:rPr>
          <w:rFonts w:ascii="Arial" w:cs="Arial" w:eastAsia="Arial" w:hAnsi="Arial"/>
          <w:sz w:val="22"/>
          <w:szCs w:val="22"/>
        </w:rPr>
        <w:t xml:space="preserve">Staat de afstand van ontbindingsrecht in de akte (Art. 10/11) in de weg aan een vordering tot vernietiging wegens wilsgebrek?</w:t>
      </w:r>
    </w:p>
    <w:p>
      <w:pPr>
        <w:spacing w:after="80"/>
      </w:pPr>
      <w:r>
        <w:rPr>
          <w:rFonts w:ascii="Arial" w:cs="Arial" w:eastAsia="Arial" w:hAnsi="Arial"/>
          <w:b/>
          <w:bCs/>
          <w:sz w:val="22"/>
          <w:szCs w:val="22"/>
        </w:rPr>
        <w:t xml:space="preserve">H4. </w:t>
      </w:r>
      <w:r>
        <w:rPr>
          <w:rFonts w:ascii="Arial" w:cs="Arial" w:eastAsia="Arial" w:hAnsi="Arial"/>
          <w:sz w:val="22"/>
          <w:szCs w:val="22"/>
        </w:rPr>
        <w:t xml:space="preserve">Verzwakt Peters medetekening van de akte een eventuele schijnhandeling-vordering? Hij tekende onder tijdsdruk en met beperkte informatie over het werkelijke doel.</w:t>
      </w:r>
    </w:p>
    <w:p>
      <w:pPr>
        <w:spacing w:after="80"/>
      </w:pPr>
      <w:r>
        <w:rPr>
          <w:rFonts w:ascii="Arial" w:cs="Arial" w:eastAsia="Arial" w:hAnsi="Arial"/>
          <w:b/>
          <w:bCs/>
          <w:sz w:val="22"/>
          <w:szCs w:val="22"/>
        </w:rPr>
        <w:t xml:space="preserve">H5. </w:t>
      </w:r>
      <w:r>
        <w:rPr>
          <w:rFonts w:ascii="Arial" w:cs="Arial" w:eastAsia="Arial" w:hAnsi="Arial"/>
          <w:sz w:val="22"/>
          <w:szCs w:val="22"/>
        </w:rPr>
        <w:t xml:space="preserve">Als Marlou de aandelen aan een andere partij dan Freca wil overdragen, herleeft dan Peters voorkeursrecht volledig? (Afstand was beperkt tot “deze levering en mogelijke teruglevering”)</w:t>
      </w:r>
    </w:p>
    <w:p>
      <w:pPr>
        <w:pStyle w:val="Heading2"/>
      </w:pPr>
      <w:r>
        <w:t xml:space="preserve">I. Uittreding Vorderen</w:t>
      </w:r>
    </w:p>
    <w:p>
      <w:pPr>
        <w:spacing w:after="80"/>
      </w:pPr>
      <w:r>
        <w:rPr>
          <w:rFonts w:ascii="Arial" w:cs="Arial" w:eastAsia="Arial" w:hAnsi="Arial"/>
          <w:b/>
          <w:bCs/>
          <w:sz w:val="22"/>
          <w:szCs w:val="22"/>
        </w:rPr>
        <w:t xml:space="preserve">I1. </w:t>
      </w:r>
      <w:r>
        <w:rPr>
          <w:rFonts w:ascii="Arial" w:cs="Arial" w:eastAsia="Arial" w:hAnsi="Arial"/>
          <w:sz w:val="22"/>
          <w:szCs w:val="22"/>
        </w:rPr>
        <w:t xml:space="preserve">Hoe sterk is het dossier voor een Art. 2:343 BW procedure (uittreding vorderen)? Peter heeft 10+ gedocumenteerde incidenten van structurele buitensluiting, waaronder de recente stopzetting van financiering en buitensluiting bij gesprekken met externe partij.</w:t>
      </w:r>
    </w:p>
    <w:p>
      <w:pPr>
        <w:spacing w:after="80"/>
      </w:pPr>
      <w:r>
        <w:rPr>
          <w:rFonts w:ascii="Arial" w:cs="Arial" w:eastAsia="Arial" w:hAnsi="Arial"/>
          <w:b/>
          <w:bCs/>
          <w:sz w:val="22"/>
          <w:szCs w:val="22"/>
        </w:rPr>
        <w:t xml:space="preserve">I2. </w:t>
      </w:r>
      <w:r>
        <w:rPr>
          <w:rFonts w:ascii="Arial" w:cs="Arial" w:eastAsia="Arial" w:hAnsi="Arial"/>
          <w:sz w:val="22"/>
          <w:szCs w:val="22"/>
        </w:rPr>
        <w:t xml:space="preserve">Hoe wordt de prijs van de aandelen bepaald bij Art. 2:343? Wordt de vervangingswaarde van het platform (€250-350K) meegewogen, of alleen de boekwaarde?</w:t>
      </w:r>
    </w:p>
    <w:p>
      <w:pPr>
        <w:spacing w:after="80"/>
      </w:pPr>
      <w:r>
        <w:rPr>
          <w:rFonts w:ascii="Arial" w:cs="Arial" w:eastAsia="Arial" w:hAnsi="Arial"/>
          <w:b/>
          <w:bCs/>
          <w:sz w:val="22"/>
          <w:szCs w:val="22"/>
        </w:rPr>
        <w:t xml:space="preserve">I3. </w:t>
      </w:r>
      <w:r>
        <w:rPr>
          <w:rFonts w:ascii="Arial" w:cs="Arial" w:eastAsia="Arial" w:hAnsi="Arial"/>
          <w:sz w:val="22"/>
          <w:szCs w:val="22"/>
        </w:rPr>
        <w:t xml:space="preserve">Wat zijn de geschatte kosten en doorlooptijd van een Art. 2:343 procedure?</w:t>
      </w:r>
    </w:p>
    <w:p>
      <w:pPr>
        <w:spacing w:after="80"/>
      </w:pPr>
      <w:r>
        <w:rPr>
          <w:rFonts w:ascii="Arial" w:cs="Arial" w:eastAsia="Arial" w:hAnsi="Arial"/>
          <w:b/>
          <w:bCs/>
          <w:sz w:val="22"/>
          <w:szCs w:val="22"/>
        </w:rPr>
        <w:t xml:space="preserve">I4. </w:t>
      </w:r>
      <w:r>
        <w:rPr>
          <w:rFonts w:ascii="Arial" w:cs="Arial" w:eastAsia="Arial" w:hAnsi="Arial"/>
          <w:sz w:val="22"/>
          <w:szCs w:val="22"/>
        </w:rPr>
        <w:t xml:space="preserve">Is een enquêteprocedure (Art. 2:345 BW) een realistisch alternatief? Welke voorlopige voorzieningen zijn haalbaar?</w:t>
      </w:r>
    </w:p>
    <w:p>
      <w:pPr>
        <w:pStyle w:val="Heading2"/>
      </w:pPr>
      <w:r>
        <w:t xml:space="preserve">J. Freca’s Managementovereenkomst</w:t>
      </w:r>
    </w:p>
    <w:p>
      <w:pPr>
        <w:spacing w:after="80"/>
      </w:pPr>
      <w:r>
        <w:rPr>
          <w:rFonts w:ascii="Arial" w:cs="Arial" w:eastAsia="Arial" w:hAnsi="Arial"/>
          <w:b/>
          <w:bCs/>
          <w:sz w:val="22"/>
          <w:szCs w:val="22"/>
        </w:rPr>
        <w:t xml:space="preserve">J1. </w:t>
      </w:r>
      <w:r>
        <w:rPr>
          <w:rFonts w:ascii="Arial" w:cs="Arial" w:eastAsia="Arial" w:hAnsi="Arial"/>
          <w:sz w:val="22"/>
          <w:szCs w:val="22"/>
        </w:rPr>
        <w:t xml:space="preserve">Freca is geen aandeelhouder meer (verkocht aan Marlou). Is Freca’s managementovereenkomst nog van kracht? Freca is geen “moedervennootschap” meer in de zin van aandeelhouder.</w:t>
      </w:r>
    </w:p>
    <w:p>
      <w:pPr>
        <w:spacing w:after="80"/>
      </w:pPr>
      <w:r>
        <w:rPr>
          <w:rFonts w:ascii="Arial" w:cs="Arial" w:eastAsia="Arial" w:hAnsi="Arial"/>
          <w:b/>
          <w:bCs/>
          <w:sz w:val="22"/>
          <w:szCs w:val="22"/>
        </w:rPr>
        <w:t xml:space="preserve">J2. </w:t>
      </w:r>
      <w:r>
        <w:rPr>
          <w:rFonts w:ascii="Arial" w:cs="Arial" w:eastAsia="Arial" w:hAnsi="Arial"/>
          <w:sz w:val="22"/>
          <w:szCs w:val="22"/>
        </w:rPr>
        <w:t xml:space="preserve">Als Freca’s MO nog loopt en de fee juridisch nooit is gestopt (geen AVA-besluit): bouwt Freca dan vordering op Dinck op? Hoe verhoudt dit zich tot de leningsovereenkomst (limiet €500K)?</w:t>
      </w:r>
    </w:p>
    <w:p>
      <w:pPr>
        <w:pStyle w:val="Heading2"/>
      </w:pPr>
      <w:r>
        <w:t xml:space="preserve">K. Overig</w:t>
      </w:r>
    </w:p>
    <w:p>
      <w:pPr>
        <w:spacing w:after="80"/>
      </w:pPr>
      <w:r>
        <w:rPr>
          <w:rFonts w:ascii="Arial" w:cs="Arial" w:eastAsia="Arial" w:hAnsi="Arial"/>
          <w:b/>
          <w:bCs/>
          <w:sz w:val="22"/>
          <w:szCs w:val="22"/>
        </w:rPr>
        <w:t xml:space="preserve">K1. </w:t>
      </w:r>
      <w:r>
        <w:rPr>
          <w:rFonts w:ascii="Arial" w:cs="Arial" w:eastAsia="Arial" w:hAnsi="Arial"/>
          <w:sz w:val="22"/>
          <w:szCs w:val="22"/>
        </w:rPr>
        <w:t xml:space="preserve">Heeft Freca jaarlijkse saldo-overzichten verstrekt (Art. 9 leningsovereenkomst)? Heeft Dinck tijdig bezwaar gemaakt? Zo niet, is het saldo juridisch vastgesteld?</w:t>
      </w:r>
    </w:p>
    <w:p>
      <w:pPr>
        <w:spacing w:after="80"/>
      </w:pPr>
      <w:r>
        <w:rPr>
          <w:rFonts w:ascii="Arial" w:cs="Arial" w:eastAsia="Arial" w:hAnsi="Arial"/>
          <w:b/>
          <w:bCs/>
          <w:sz w:val="22"/>
          <w:szCs w:val="22"/>
        </w:rPr>
        <w:t xml:space="preserve">K2. </w:t>
      </w:r>
      <w:r>
        <w:rPr>
          <w:rFonts w:ascii="Arial" w:cs="Arial" w:eastAsia="Arial" w:hAnsi="Arial"/>
          <w:sz w:val="22"/>
          <w:szCs w:val="22"/>
        </w:rPr>
        <w:t xml:space="preserve">Is Art. 11.3 (uitsluiting ontbinding leningsovereenkomst) houdbaar? Kan de overeenkomst desondanks worden aangetast?</w:t>
      </w:r>
    </w:p>
    <w:p>
      <w:pPr>
        <w:spacing w:after="80"/>
      </w:pPr>
      <w:r>
        <w:rPr>
          <w:rFonts w:ascii="Arial" w:cs="Arial" w:eastAsia="Arial" w:hAnsi="Arial"/>
          <w:b/>
          <w:bCs/>
          <w:sz w:val="22"/>
          <w:szCs w:val="22"/>
        </w:rPr>
        <w:t xml:space="preserve">K3. </w:t>
      </w:r>
      <w:r>
        <w:rPr>
          <w:rFonts w:ascii="Arial" w:cs="Arial" w:eastAsia="Arial" w:hAnsi="Arial"/>
          <w:sz w:val="22"/>
          <w:szCs w:val="22"/>
        </w:rPr>
        <w:t xml:space="preserve">Is er aanleiding om de Belastingdienst te informeren over de mogelijk hogere waarde van de aandelen bij de €1 overdracht? Kan dit indirect druk zetten?</w:t>
      </w:r>
    </w:p>
    <w:p>
      <w:pPr>
        <w:pBdr>
          <w:bottom w:val="single" w:color="CCCCCC" w:sz="1"/>
        </w:pBdr>
        <w:spacing w:before="200" w:after="200"/>
      </w:pPr>
    </w:p>
    <w:p>
      <w:pPr>
        <w:pStyle w:val="Heading1"/>
      </w:pPr>
      <w:r>
        <w:t xml:space="preserve">Prioritering voor Eerste Gesprek</w:t>
      </w:r>
    </w:p>
    <w:p>
      <w:pPr>
        <w:spacing w:after="80"/>
      </w:pPr>
      <w:r>
        <w:rPr>
          <w:rFonts w:ascii="Arial" w:cs="Arial" w:eastAsia="Arial" w:hAnsi="Arial"/>
          <w:sz w:val="22"/>
          <w:szCs w:val="22"/>
        </w:rPr>
        <w:t xml:space="preserve">Gezien de urgentie (meeting woensdag 11 feb, werknemersverplichtingen, vertrek per 1 maart):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8EDF2" w:val="clear"/>
          </w:tcPr>
          <w:p>
            <w:r>
              <w:rPr>
                <w:rFonts w:ascii="Arial" w:cs="Arial" w:eastAsia="Arial" w:hAnsi="Arial"/>
                <w:b/>
                <w:bCs/>
                <w:sz w:val="20"/>
                <w:szCs w:val="20"/>
              </w:rPr>
              <w:t xml:space="preserve">Prioriteit</w:t>
            </w:r>
          </w:p>
        </w:tc>
        <w:tc>
          <w:tcPr>
            <w:tcW w:type="dxa" w:w="3000"/>
            <w:tcBorders>
              <w:top w:val="single" w:color="CCCCCC" w:sz="1"/>
              <w:left w:val="single" w:color="CCCCCC" w:sz="1"/>
              <w:bottom w:val="single" w:color="CCCCCC" w:sz="1"/>
              <w:right w:val="single" w:color="CCCCCC" w:sz="1"/>
            </w:tcBorders>
            <w:shd w:fill="E8EDF2" w:val="clear"/>
          </w:tcPr>
          <w:p>
            <w:r>
              <w:rPr>
                <w:rFonts w:ascii="Arial" w:cs="Arial" w:eastAsia="Arial" w:hAnsi="Arial"/>
                <w:b/>
                <w:bCs/>
                <w:sz w:val="20"/>
                <w:szCs w:val="20"/>
              </w:rPr>
              <w:t xml:space="preserve">Vragen</w:t>
            </w:r>
          </w:p>
        </w:tc>
        <w:tc>
          <w:tcPr>
            <w:tcW w:type="dxa" w:w="3960"/>
            <w:tcBorders>
              <w:top w:val="single" w:color="CCCCCC" w:sz="1"/>
              <w:left w:val="single" w:color="CCCCCC" w:sz="1"/>
              <w:bottom w:val="single" w:color="CCCCCC" w:sz="1"/>
              <w:right w:val="single" w:color="CCCCCC" w:sz="1"/>
            </w:tcBorders>
            <w:shd w:fill="E8EDF2" w:val="clear"/>
          </w:tcPr>
          <w:p>
            <w:r>
              <w:rPr>
                <w:rFonts w:ascii="Arial" w:cs="Arial" w:eastAsia="Arial" w:hAnsi="Arial"/>
                <w:b/>
                <w:bCs/>
                <w:sz w:val="20"/>
                <w:szCs w:val="20"/>
              </w:rPr>
              <w:t xml:space="preserve">Reden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 — DIRECT</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A1-A6</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Stopzetting financiering, meeting woensdag</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 — DEZE WEEK</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B1-B3, C1-C3</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MO-keuze en Art. 3.1 beïnvloeden Peters positie in meeting</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 — VOOR 1 MAART</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D1-D4, E1-E7, F1-F3, G1-G3</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Bestuurdersaansprakelijkheid en leningsrisico’s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 — STRATEGISCH</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H1-H5, I1-I4, J1-J2, K1-K3</w:t>
            </w:r>
          </w:p>
        </w:tc>
        <w:tc>
          <w:tcPr>
            <w:tcW w:type="dxa" w:w="3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Uittreding, schijnconstructie, overig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van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Zaak #547764 — Dinck B.V.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
    </w:pPr>
    <w:rPr>
      <w:rFonts w:ascii="Arial" w:cs="Arial" w:eastAsia="Arial" w:hAnsi="Arial"/>
      <w:b/>
      <w:bCs/>
      <w:color w:val="1a1a1a"/>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2026-02-09T08:19:11.111Z</dcterms:created>
  <dcterms:modified xsi:type="dcterms:W3CDTF">2026-02-09T08:19:11.111Z</dcterms:modified>
</cp:coreProperties>
</file>

<file path=docProps/custom.xml><?xml version="1.0" encoding="utf-8"?>
<Properties xmlns="http://schemas.openxmlformats.org/officeDocument/2006/custom-properties" xmlns:vt="http://schemas.openxmlformats.org/officeDocument/2006/docPropsVTypes"/>
</file>