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00"/>
      </w:pPr>
      <w:r>
        <w:rPr>
          <w:rFonts w:ascii="Arial" w:cs="Arial" w:eastAsia="Arial" w:hAnsi="Arial"/>
          <w:sz w:val="22"/>
          <w:szCs w:val="22"/>
        </w:rPr>
        <w:t xml:space="preserve"/>
      </w:r>
    </w:p>
    <w:p>
      <w:pPr>
        <w:spacing w:before="2400" w:after="100"/>
      </w:pPr>
      <w:r>
        <w:rPr>
          <w:rFonts w:ascii="Arial" w:cs="Arial" w:eastAsia="Arial" w:hAnsi="Arial"/>
          <w:sz w:val="22"/>
          <w:szCs w:val="22"/>
        </w:rPr>
        <w:t xml:space="preserve"/>
      </w:r>
    </w:p>
    <w:p>
      <w:pPr>
        <w:spacing w:before="0" w:after="600"/>
        <w:jc w:val="center"/>
      </w:pPr>
      <w:r>
        <w:drawing>
          <wp:inline distT="0" distB="0" distL="0" distR="0">
            <wp:extent cx="4476750" cy="1400175"/>
            <wp:effectExtent t="0" r="0" b="0" l="0"/>
            <wp:docPr id="1" descr="Company logo" title="Peter Berkenbosch Consul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1400175"/>
                    </a:xfrm>
                    <a:prstGeom prst="rect">
                      <a:avLst/>
                    </a:prstGeom>
                  </pic:spPr>
                </pic:pic>
              </a:graphicData>
            </a:graphic>
          </wp:inline>
        </w:drawing>
      </w:r>
    </w:p>
    <w:p>
      <w:pPr>
        <w:spacing w:before="400" w:after="100"/>
        <w:jc w:val="center"/>
      </w:pPr>
      <w:r>
        <w:rPr>
          <w:rFonts w:ascii="Arial" w:cs="Arial" w:eastAsia="Arial" w:hAnsi="Arial"/>
          <w:b/>
          <w:bCs/>
          <w:sz w:val="32"/>
          <w:szCs w:val="32"/>
        </w:rPr>
        <w:t xml:space="preserve">OVEREENKOMST VAN DIENSTVERLENING</w:t>
      </w:r>
    </w:p>
    <w:p>
      <w:pPr>
        <w:spacing w:before="0" w:after="600"/>
        <w:jc w:val="center"/>
      </w:pPr>
      <w:r>
        <w:rPr>
          <w:rFonts w:ascii="Arial" w:cs="Arial" w:eastAsia="Arial" w:hAnsi="Arial"/>
          <w:color w:val="444444"/>
          <w:sz w:val="26"/>
          <w:szCs w:val="26"/>
        </w:rPr>
        <w:t xml:space="preserve">KTLO Platform app.dinck.nl</w:t>
      </w:r>
    </w:p>
    <w:p>
      <w:pPr>
        <w:spacing w:before="400" w:after="100"/>
        <w:jc w:val="center"/>
      </w:pPr>
      <w:r>
        <w:rPr>
          <w:rFonts w:ascii="Arial" w:cs="Arial" w:eastAsia="Arial" w:hAnsi="Arial"/>
          <w:color w:val="666666"/>
          <w:sz w:val="22"/>
          <w:szCs w:val="22"/>
        </w:rPr>
        <w:t xml:space="preserve">10 maart 2026</w:t>
      </w:r>
    </w:p>
    <w:p>
      <w:pPr>
        <w:spacing w:before="800" w:after="60"/>
        <w:jc w:val="center"/>
      </w:pPr>
      <w:r>
        <w:rPr>
          <w:rFonts w:ascii="Arial" w:cs="Arial" w:eastAsia="Arial" w:hAnsi="Arial"/>
          <w:b/>
          <w:bCs/>
          <w:sz w:val="28"/>
          <w:szCs w:val="28"/>
        </w:rPr>
        <w:t xml:space="preserve">Peter Berkenbosch Consultancy B.V.</w:t>
      </w:r>
    </w:p>
    <w:p>
      <w:pPr>
        <w:spacing w:before="60" w:after="60"/>
        <w:jc w:val="center"/>
      </w:pPr>
      <w:r>
        <w:rPr>
          <w:rFonts w:ascii="Arial" w:cs="Arial" w:eastAsia="Arial" w:hAnsi="Arial"/>
          <w:color w:val="888888"/>
          <w:sz w:val="20"/>
          <w:szCs w:val="20"/>
        </w:rPr>
        <w:t xml:space="preserve">en</w:t>
      </w:r>
    </w:p>
    <w:p>
      <w:pPr>
        <w:spacing w:before="60" w:after="100"/>
        <w:jc w:val="center"/>
      </w:pPr>
      <w:r>
        <w:rPr>
          <w:rFonts w:ascii="Arial" w:cs="Arial" w:eastAsia="Arial" w:hAnsi="Arial"/>
          <w:b/>
          <w:bCs/>
          <w:sz w:val="28"/>
          <w:szCs w:val="28"/>
        </w:rPr>
        <w:t xml:space="preserve">Dinck B.V.</w:t>
      </w:r>
    </w:p>
    <w:p>
      <w:pPr>
        <w:sectPr>
          <w:pgSz w:w="11906" w:h="16838" w:orient="portrait"/>
          <w:pgMar w:top="1440" w:right="1440" w:bottom="1440" w:left="1440" w:header="708" w:footer="708" w:gutter="0"/>
          <w:pgNumType/>
          <w:docGrid w:linePitch="360"/>
        </w:sectPr>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Partijen nemen het volgende in aanmerking: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 Het Platform omvat de volledige Rails-applicatie, met inbegrip van de Hotwire Native-weergaven en bijbehorende code die de Dinckly mobiele applicatie bedienen.</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Beveiligingsupdate: </w:t>
      </w:r>
      <w:r>
        <w:rPr>
          <w:rFonts w:ascii="Arial" w:cs="Arial" w:eastAsia="Arial" w:hAnsi="Arial"/>
          <w:sz w:val="22"/>
          <w:szCs w:val="22"/>
        </w:rPr>
        <w:t xml:space="preserve">Een update ter verhelping van een beveiligingskwetsbaarheid met een CVE-score van 7.0 of hoger (high/critical), of een direct exploiteerbare kwetsbaarheid in een kernafhankelijkheid.</w:t>
      </w:r>
    </w:p>
    <w:p>
      <w:pPr>
        <w:spacing w:before="100" w:after="100"/>
      </w:pPr>
      <w:r>
        <w:rPr>
          <w:rFonts w:ascii="Arial" w:cs="Arial" w:eastAsia="Arial" w:hAnsi="Arial"/>
          <w:b/>
          <w:bCs/>
          <w:sz w:val="22"/>
          <w:szCs w:val="22"/>
        </w:rPr>
        <w:t xml:space="preserve">1.6 Meerwerk: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Omvang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Bewaking en signalering</w:t>
      </w:r>
    </w:p>
    <w:p>
      <w:pPr>
        <w:spacing w:before="60" w:after="60"/>
        <w:ind w:left="720"/>
      </w:pPr>
      <w:r>
        <w:rPr>
          <w:rFonts w:ascii="Arial" w:cs="Arial" w:eastAsia="Arial" w:hAnsi="Arial"/>
          <w:sz w:val="22"/>
          <w:szCs w:val="22"/>
        </w:rPr>
        <w:t xml:space="preserve">–  Serverbewaking en meldingen</w:t>
      </w:r>
    </w:p>
    <w:p>
      <w:pPr>
        <w:spacing w:before="60" w:after="60"/>
        <w:ind w:left="720"/>
      </w:pPr>
      <w:r>
        <w:rPr>
          <w:rFonts w:ascii="Arial" w:cs="Arial" w:eastAsia="Arial" w:hAnsi="Arial"/>
          <w:sz w:val="22"/>
          <w:szCs w:val="22"/>
        </w:rPr>
        <w:t xml:space="preserve">–  Beschikbaarheidsbewaking</w:t>
      </w:r>
    </w:p>
    <w:p>
      <w:pPr>
        <w:spacing w:before="60" w:after="60"/>
        <w:ind w:left="720"/>
      </w:pPr>
      <w:r>
        <w:rPr>
          <w:rFonts w:ascii="Arial" w:cs="Arial" w:eastAsia="Arial" w:hAnsi="Arial"/>
          <w:sz w:val="22"/>
          <w:szCs w:val="22"/>
        </w:rPr>
        <w:t xml:space="preserve">–  Foutregistratie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Beveiligingsupdates</w:t>
      </w:r>
    </w:p>
    <w:p>
      <w:pPr>
        <w:spacing w:before="60" w:after="60"/>
        <w:ind w:left="720"/>
      </w:pPr>
      <w:r>
        <w:rPr>
          <w:rFonts w:ascii="Arial" w:cs="Arial" w:eastAsia="Arial" w:hAnsi="Arial"/>
          <w:sz w:val="22"/>
          <w:szCs w:val="22"/>
        </w:rPr>
        <w:t xml:space="preserve">–  Toepassen van Beveiligingsupdates zoals gedefinieerd in artikel 1.5</w:t>
      </w:r>
    </w:p>
    <w:p>
      <w:pPr>
        <w:spacing w:before="60" w:after="60"/>
        <w:ind w:left="720"/>
      </w:pPr>
      <w:r>
        <w:rPr>
          <w:rFonts w:ascii="Arial" w:cs="Arial" w:eastAsia="Arial" w:hAnsi="Arial"/>
          <w:sz w:val="22"/>
          <w:szCs w:val="22"/>
        </w:rPr>
        <w:t xml:space="preserve">–  Updates van kernafhankelijkheden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Verificatie van back-ups</w:t>
      </w:r>
    </w:p>
    <w:p>
      <w:pPr>
        <w:spacing w:before="60" w:after="60"/>
        <w:ind w:left="720"/>
      </w:pPr>
      <w:r>
        <w:rPr>
          <w:rFonts w:ascii="Arial" w:cs="Arial" w:eastAsia="Arial" w:hAnsi="Arial"/>
          <w:sz w:val="22"/>
          <w:szCs w:val="22"/>
        </w:rPr>
        <w:t xml:space="preserve">–  Vernieuwing van SSL-certificaten</w:t>
      </w:r>
    </w:p>
    <w:p>
      <w:pPr>
        <w:spacing w:before="60" w:after="60"/>
        <w:ind w:left="720"/>
      </w:pPr>
      <w:r>
        <w:rPr>
          <w:rFonts w:ascii="Arial" w:cs="Arial" w:eastAsia="Arial" w:hAnsi="Arial"/>
          <w:sz w:val="22"/>
          <w:szCs w:val="22"/>
        </w:rPr>
        <w:t xml:space="preserve">–  DNS-beheer</w:t>
      </w:r>
    </w:p>
    <w:p>
      <w:pPr>
        <w:spacing w:before="60" w:after="60"/>
        <w:ind w:left="720"/>
      </w:pPr>
      <w:r>
        <w:rPr>
          <w:rFonts w:ascii="Arial" w:cs="Arial" w:eastAsia="Arial" w:hAnsi="Arial"/>
          <w:sz w:val="22"/>
          <w:szCs w:val="22"/>
        </w:rPr>
        <w:t xml:space="preserve">–  Standaard databaseonderhoud</w:t>
      </w:r>
    </w:p>
    <w:p>
      <w:pPr>
        <w:spacing w:before="200" w:after="100"/>
      </w:pPr>
      <w:r>
        <w:rPr>
          <w:rFonts w:ascii="Arial" w:cs="Arial" w:eastAsia="Arial" w:hAnsi="Arial"/>
          <w:b/>
          <w:bCs/>
          <w:sz w:val="22"/>
          <w:szCs w:val="22"/>
        </w:rPr>
        <w:t xml:space="preserve">2.2 Prioriteiten en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80"/>
        <w:gridCol w:w="2280"/>
      </w:tblGrid>
      <w:tr>
        <w:trPr>
          <w:tblHeader/>
        </w:trPr>
        <w:tc>
          <w:tcPr>
            <w:tcW w:type="dxa" w:w="18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Prioriteit</w:t>
            </w:r>
          </w:p>
        </w:tc>
        <w:tc>
          <w:tcPr>
            <w:tcW w:type="dxa" w:w="32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Omschrijving</w:t>
            </w:r>
          </w:p>
        </w:tc>
        <w:tc>
          <w:tcPr>
            <w:tcW w:type="dxa" w:w="20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2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P1 — Kritiek</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onbereikbaar, dataverlies, actieve uitbuiting van een beveiligingslek</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P2 — Hoog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 (Art. 1.4), ernstige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P3 — Medium</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Beveiligingsupdate (Art. 1.5), gedeeltelijke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werkuren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 werkdagen</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P4 — Laag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Standaard onderhoud, certificaten, back-upverificatie</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 werkdagen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10 werkdagen</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Reactie- en oplostijden worden gemeten in werkuren respectievelijk werkdagen, tenzij anders vermeld. Meldingen buiten werktijden worden geacht te zijn ontvangen bij aanvang van de eerstvolgende werkdag.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classificatie van prioriteit wordt bepaald door Opdrachtnemer.</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 en worden aangemerkt als Meerwerk:</w:t>
      </w:r>
    </w:p>
    <w:p>
      <w:pPr>
        <w:spacing w:before="60" w:after="60"/>
        <w:ind w:left="720"/>
      </w:pPr>
      <w:r>
        <w:rPr>
          <w:rFonts w:ascii="Arial" w:cs="Arial" w:eastAsia="Arial" w:hAnsi="Arial"/>
          <w:sz w:val="22"/>
          <w:szCs w:val="22"/>
        </w:rPr>
        <w:t xml:space="preserve">–  Eindgebruikersondersteuning, training of inwerkbegeleiding</w:t>
      </w:r>
    </w:p>
    <w:p>
      <w:pPr>
        <w:spacing w:before="60" w:after="60"/>
        <w:ind w:left="720"/>
      </w:pPr>
      <w:r>
        <w:rPr>
          <w:rFonts w:ascii="Arial" w:cs="Arial" w:eastAsia="Arial" w:hAnsi="Arial"/>
          <w:sz w:val="22"/>
          <w:szCs w:val="22"/>
        </w:rPr>
        <w:t xml:space="preserve">–  Nieuwe functionaliteit of verzoeken tot nieuwe functionaliteit</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w:t>
      </w:r>
    </w:p>
    <w:p>
      <w:pPr>
        <w:spacing w:before="60" w:after="60"/>
        <w:ind w:left="720"/>
      </w:pPr>
      <w:r>
        <w:rPr>
          <w:rFonts w:ascii="Arial" w:cs="Arial" w:eastAsia="Arial" w:hAnsi="Arial"/>
          <w:sz w:val="22"/>
          <w:szCs w:val="22"/>
        </w:rPr>
        <w:t xml:space="preserve">–  Ontwikkeling, onderhoud of publicatie van mobiele applicaties (iOS en Android), inclusief maar niet beperkt tot de Dinckly app — met dien verstande dat de Hotwire Native-weergaven en bijbehorende code in de Rails-applicatie die deze mobiele applicaties bedienen wél onderdeel zijn van het Platform (Art. 1.1) en daarmee onder de Diensten vallen</w:t>
      </w:r>
    </w:p>
    <w:p>
      <w:pPr>
        <w:spacing w:before="60" w:after="60"/>
        <w:ind w:left="720"/>
      </w:pPr>
      <w:r>
        <w:rPr>
          <w:rFonts w:ascii="Arial" w:cs="Arial" w:eastAsia="Arial" w:hAnsi="Arial"/>
          <w:sz w:val="22"/>
          <w:szCs w:val="22"/>
        </w:rPr>
        <w:t xml:space="preserve">–  Doorontwikkeling van de Dinckly mobiele applicatie, waaronder nieuwe schermen, functionaliteit of aanpassingen aan de native codebase</w:t>
      </w:r>
    </w:p>
    <w:p>
      <w:pPr>
        <w:spacing w:before="60" w:after="60"/>
        <w:ind w:left="720"/>
      </w:pPr>
      <w:r>
        <w:rPr>
          <w:rFonts w:ascii="Arial" w:cs="Arial" w:eastAsia="Arial" w:hAnsi="Arial"/>
          <w:sz w:val="22"/>
          <w:szCs w:val="22"/>
        </w:rPr>
        <w:t xml:space="preserve">–  Verbeteringen van gebruikersinterface of ontwerp</w:t>
      </w:r>
    </w:p>
    <w:p>
      <w:pPr>
        <w:spacing w:before="60" w:after="60"/>
        <w:ind w:left="720"/>
      </w:pPr>
      <w:r>
        <w:rPr>
          <w:rFonts w:ascii="Arial" w:cs="Arial" w:eastAsia="Arial" w:hAnsi="Arial"/>
          <w:sz w:val="22"/>
          <w:szCs w:val="22"/>
        </w:rPr>
        <w:t xml:space="preserve">–  Prestatie-optimalisatie (tenzij sprake van een Kritieke bug)</w:t>
      </w:r>
    </w:p>
    <w:p>
      <w:pPr>
        <w:spacing w:before="60" w:after="60"/>
        <w:ind w:left="720"/>
      </w:pPr>
      <w:r>
        <w:rPr>
          <w:rFonts w:ascii="Arial" w:cs="Arial" w:eastAsia="Arial" w:hAnsi="Arial"/>
          <w:sz w:val="22"/>
          <w:szCs w:val="22"/>
        </w:rPr>
        <w:t xml:space="preserve">–  Herstructurering van code of architectuurverbeteringen</w:t>
      </w:r>
    </w:p>
    <w:p>
      <w:pPr>
        <w:spacing w:before="60" w:after="60"/>
        <w:ind w:left="720"/>
      </w:pPr>
      <w:r>
        <w:rPr>
          <w:rFonts w:ascii="Arial" w:cs="Arial" w:eastAsia="Arial" w:hAnsi="Arial"/>
          <w:sz w:val="22"/>
          <w:szCs w:val="22"/>
        </w:rPr>
        <w:t xml:space="preserve">–  Niet-kritieke bugs (cosmetische gebreken, kleine gebruiksproblemen, randgevallen zonder wezenlijke bedrijfsimpact)</w:t>
      </w:r>
    </w:p>
    <w:p>
      <w:pPr>
        <w:spacing w:before="60" w:after="60"/>
        <w:ind w:left="720"/>
      </w:pPr>
      <w:r>
        <w:rPr>
          <w:rFonts w:ascii="Arial" w:cs="Arial" w:eastAsia="Arial" w:hAnsi="Arial"/>
          <w:sz w:val="22"/>
          <w:szCs w:val="22"/>
        </w:rPr>
        <w:t xml:space="preserve">–  Bijwerken van documentatie</w:t>
      </w:r>
    </w:p>
    <w:p>
      <w:pPr>
        <w:spacing w:before="60" w:after="60"/>
        <w:ind w:left="720"/>
      </w:pPr>
      <w:r>
        <w:rPr>
          <w:rFonts w:ascii="Arial" w:cs="Arial" w:eastAsia="Arial" w:hAnsi="Arial"/>
          <w:sz w:val="22"/>
          <w:szCs w:val="22"/>
        </w:rPr>
        <w:t xml:space="preserve">–  Database-optimalisatie (niet-kritiek)</w:t>
      </w:r>
    </w:p>
    <w:p>
      <w:pPr>
        <w:spacing w:before="60" w:after="60"/>
        <w:ind w:left="720"/>
      </w:pPr>
      <w:r>
        <w:rPr>
          <w:rFonts w:ascii="Arial" w:cs="Arial" w:eastAsia="Arial" w:hAnsi="Arial"/>
          <w:sz w:val="22"/>
          <w:szCs w:val="22"/>
        </w:rPr>
        <w:t xml:space="preserve">–  Cache-implementaties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Meerwerk</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Meerwerk wordt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Meerwerk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Meerwerk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Meerwerk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Opslag (~3,9 TB)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~$58,65</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(GitHub Team)</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$4,00/user/mnd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~$133,65/mnd (~€123)</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N.B. GitHub Team-kosten zijn afhankelijk van het aantal gebruikers. Bovenstaand totaal is berekend op basis van 1 gebruiker ($4,00). Bij meerdere gebruikers wordt het totaal evenredig verhoogd.</w:t>
      </w:r>
    </w:p>
    <w:p>
      <w:pPr>
        <w:spacing w:before="100" w:after="100"/>
      </w:pPr>
      <w:r>
        <w:rPr>
          <w:rFonts w:ascii="Arial" w:cs="Arial" w:eastAsia="Arial" w:hAnsi="Arial"/>
          <w:i/>
          <w:iCs/>
          <w:sz w:val="20"/>
          <w:szCs w:val="20"/>
        </w:rPr>
        <w:t xml:space="preserve">N.B. AppSignal schaalt naar €22,00/maand bij overschrijding van 50.000 verzoeken per maand (250.000-verzoeken-abonnement). Cloudflare R2 tarief: $0,015/GB/maand, 10 GB gratis.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Na migratie (Art. 4.5) — Bij overdracht naar accounts op naam van Opdrachtgever kan de infrastructuur als volgt worden geoptimaliseerd:</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 (4 vCPU, 8 GB RAM, 80 GB NVMe)</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Cloud</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€7,49</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Geautomatiseerde serverback-ups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Cloud</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€1,50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Opslag (~3,9 TB, S3-compatibel)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Object Storage</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~€19,00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 container registry</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 Free</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~€28/maand</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Deze optimalisatie vervangt Hatchbox door Kamal (gratis, open-source), consolideert drie Linode-servers naar één Hetzner-server, en verplaatst de opslag naar Hetzner Object Storage. De migratie wordt eenmalig verricht zonder aanvullende kosten. Een gedetailleerd migratieplan met gefaseerde stappen is beschikbaar.</w:t>
      </w:r>
    </w:p>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Migratie naar eigen accounts</w:t>
      </w:r>
    </w:p>
    <w:p>
      <w:pPr>
        <w:spacing w:before="100" w:after="100"/>
      </w:pPr>
      <w:r>
        <w:rPr>
          <w:rFonts w:ascii="Arial" w:cs="Arial" w:eastAsia="Arial" w:hAnsi="Arial"/>
          <w:sz w:val="22"/>
          <w:szCs w:val="22"/>
        </w:rPr>
        <w:t xml:space="preserve">Op verzoek van Opdrachtgever draagt Opdrachtnemer de hosting- en infrastructuuraccounts eenmalig over naar accounts op naam van Opdrachtgever. Opdrachtgever stelt daartoe de benodigde betaalgegevens (creditcard of automatische incasso) ter beschikking. Opdrachtnemer verzorgt de migratie en levert een infrastructuurdocumentatie op met een overzicht van alle servers, diensten, accounts en bijbehorende kosten.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Na voltooiing van de migratie:</w:t>
      </w:r>
    </w:p>
    <w:p>
      <w:pPr>
        <w:spacing w:before="60" w:after="60"/>
        <w:ind w:left="720"/>
      </w:pPr>
      <w:r>
        <w:rPr>
          <w:rFonts w:ascii="Arial" w:cs="Arial" w:eastAsia="Arial" w:hAnsi="Arial"/>
          <w:sz w:val="22"/>
          <w:szCs w:val="22"/>
        </w:rPr>
        <w:t xml:space="preserve">–  betaalt Opdrachtgever de hostingkosten rechtstreeks aan de onderliggende leveranciers;</w:t>
      </w:r>
    </w:p>
    <w:p>
      <w:pPr>
        <w:spacing w:before="60" w:after="60"/>
        <w:ind w:left="720"/>
      </w:pPr>
      <w:r>
        <w:rPr>
          <w:rFonts w:ascii="Arial" w:cs="Arial" w:eastAsia="Arial" w:hAnsi="Arial"/>
          <w:sz w:val="22"/>
          <w:szCs w:val="22"/>
        </w:rPr>
        <w:t xml:space="preserve">–  vervallen de artikelen 4.2, 4.3 en 4.4;</w:t>
      </w:r>
    </w:p>
    <w:p>
      <w:pPr>
        <w:spacing w:before="60" w:after="60"/>
        <w:ind w:left="720"/>
      </w:pPr>
      <w:r>
        <w:rPr>
          <w:rFonts w:ascii="Arial" w:cs="Arial" w:eastAsia="Arial" w:hAnsi="Arial"/>
          <w:sz w:val="22"/>
          <w:szCs w:val="22"/>
        </w:rPr>
        <w:t xml:space="preserve">–  blijven de overige bepalingen van deze overeenkomst onverkort van kracht.</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migratie en documentatie worden eenmalig verricht zonder aanvullende kosten.</w:t>
      </w:r>
    </w:p>
    <w:p>
      <w:pPr>
        <w:spacing w:before="200" w:after="100"/>
      </w:pPr>
      <w:r>
        <w:rPr>
          <w:rFonts w:ascii="Arial" w:cs="Arial" w:eastAsia="Arial" w:hAnsi="Arial"/>
          <w:b/>
          <w:bCs/>
          <w:sz w:val="22"/>
          <w:szCs w:val="22"/>
        </w:rPr>
        <w:t xml:space="preserve">4.6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Meerwerk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Duur en Beëindiging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beëindiging</w:t>
      </w:r>
    </w:p>
    <w:p>
      <w:pPr>
        <w:spacing w:before="100" w:after="100"/>
      </w:pPr>
      <w:r>
        <w:rPr>
          <w:rFonts w:ascii="Arial" w:cs="Arial" w:eastAsia="Arial" w:hAnsi="Arial"/>
          <w:sz w:val="22"/>
          <w:szCs w:val="22"/>
        </w:rPr>
        <w:t xml:space="preserve">Bij beëindiging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onbeschikbaarheid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Beveiliging en Toegangsbeheer</w:t>
      </w:r>
    </w:p>
    <w:p>
      <w:pPr>
        <w:spacing w:before="200" w:after="100"/>
      </w:pPr>
      <w:r>
        <w:rPr>
          <w:rFonts w:ascii="Arial" w:cs="Arial" w:eastAsia="Arial" w:hAnsi="Arial"/>
          <w:b/>
          <w:bCs/>
          <w:sz w:val="22"/>
          <w:szCs w:val="22"/>
        </w:rPr>
        <w:t xml:space="preserve">10.1 Beheer van toegangsgegevens</w:t>
      </w:r>
    </w:p>
    <w:p>
      <w:pPr>
        <w:spacing w:before="100" w:after="100"/>
      </w:pPr>
      <w:r>
        <w:rPr>
          <w:rFonts w:ascii="Arial" w:cs="Arial" w:eastAsia="Arial" w:hAnsi="Arial"/>
          <w:sz w:val="22"/>
          <w:szCs w:val="22"/>
        </w:rPr>
        <w:t xml:space="preserve">Opdrachtnemer beheert alle inloggegevens, API-sleutels en overige toegangsgegevens die benodigd zijn voor de uitvoering van de Diensten uitsluitend via een professionele wachtwoordbeheerder (1Password). Opdrachtnemer deelt geen toegangsgegevens via e-mail, chatberichten, gedeelde documenten of andere onbeveiligde kanalen.</w:t>
      </w:r>
    </w:p>
    <w:p>
      <w:pPr>
        <w:spacing w:before="200" w:after="100"/>
      </w:pPr>
      <w:r>
        <w:rPr>
          <w:rFonts w:ascii="Arial" w:cs="Arial" w:eastAsia="Arial" w:hAnsi="Arial"/>
          <w:b/>
          <w:bCs/>
          <w:sz w:val="22"/>
          <w:szCs w:val="22"/>
        </w:rPr>
        <w:t xml:space="preserve">10.2 Beperking aansprakelijkheid toegang</w:t>
      </w:r>
    </w:p>
    <w:p>
      <w:pPr>
        <w:spacing w:before="100" w:after="100"/>
      </w:pPr>
      <w:r>
        <w:rPr>
          <w:rFonts w:ascii="Arial" w:cs="Arial" w:eastAsia="Arial" w:hAnsi="Arial"/>
          <w:sz w:val="22"/>
          <w:szCs w:val="22"/>
        </w:rPr>
        <w:t xml:space="preserve">Opdrachtnemer is niet aansprakelijk voor beveiligingsincidenten, datalekken of ongeautoriseerde toegang die het gevolg zijn van:</w:t>
      </w:r>
    </w:p>
    <w:p>
      <w:pPr>
        <w:spacing w:before="60" w:after="60"/>
        <w:ind w:left="720" w:hanging="360"/>
      </w:pPr>
      <w:r>
        <w:rPr>
          <w:rFonts w:ascii="Arial" w:cs="Arial" w:eastAsia="Arial" w:hAnsi="Arial"/>
          <w:sz w:val="22"/>
          <w:szCs w:val="22"/>
        </w:rPr>
        <w:t xml:space="preserve">(a) het opslaan van toegangsgegevens in platte tekst door Opdrachtgever of derden;</w:t>
      </w:r>
    </w:p>
    <w:p>
      <w:pPr>
        <w:spacing w:before="60" w:after="60"/>
        <w:ind w:left="720" w:hanging="360"/>
      </w:pPr>
      <w:r>
        <w:rPr>
          <w:rFonts w:ascii="Arial" w:cs="Arial" w:eastAsia="Arial" w:hAnsi="Arial"/>
          <w:sz w:val="22"/>
          <w:szCs w:val="22"/>
        </w:rPr>
        <w:t xml:space="preserve">(b) het delen van toegangsgegevens via onbeveiligde kanalen door Opdrachtgever of derden;</w:t>
      </w:r>
    </w:p>
    <w:p>
      <w:pPr>
        <w:spacing w:before="60" w:after="60"/>
        <w:ind w:left="720" w:hanging="360"/>
      </w:pPr>
      <w:r>
        <w:rPr>
          <w:rFonts w:ascii="Arial" w:cs="Arial" w:eastAsia="Arial" w:hAnsi="Arial"/>
          <w:sz w:val="22"/>
          <w:szCs w:val="22"/>
        </w:rPr>
        <w:t xml:space="preserve">(c) toegang verleend door Opdrachtgever aan derden zonder voorafgaand overleg met Opdrachtnemer;</w:t>
      </w:r>
    </w:p>
    <w:p>
      <w:pPr>
        <w:spacing w:before="60" w:after="60"/>
        <w:ind w:left="720" w:hanging="360"/>
      </w:pPr>
      <w:r>
        <w:rPr>
          <w:rFonts w:ascii="Arial" w:cs="Arial" w:eastAsia="Arial" w:hAnsi="Arial"/>
          <w:sz w:val="22"/>
          <w:szCs w:val="22"/>
        </w:rPr>
        <w:t xml:space="preserve">(d) handelingen van derden aan wie Opdrachtgever toegang heeft verstrekt tot de infrastructuur of broncode.</w:t>
      </w:r>
    </w:p>
    <w:p>
      <w:pPr>
        <w:spacing w:before="200" w:after="100"/>
      </w:pPr>
      <w:r>
        <w:rPr>
          <w:rFonts w:ascii="Arial" w:cs="Arial" w:eastAsia="Arial" w:hAnsi="Arial"/>
          <w:b/>
          <w:bCs/>
          <w:sz w:val="22"/>
          <w:szCs w:val="22"/>
        </w:rPr>
        <w:t xml:space="preserve">10.3 Toegangswijzigingen</w:t>
      </w:r>
    </w:p>
    <w:p>
      <w:pPr>
        <w:spacing w:before="100" w:after="100"/>
      </w:pPr>
      <w:r>
        <w:rPr>
          <w:rFonts w:ascii="Arial" w:cs="Arial" w:eastAsia="Arial" w:hAnsi="Arial"/>
          <w:sz w:val="22"/>
          <w:szCs w:val="22"/>
        </w:rPr>
        <w:t xml:space="preserve">Wijzigingen in de toegangsrechten tot de infrastructuur, repositories of hostingaccounts vinden uitsluitend plaats in overleg met Opdrachtnemer, zolang deze overeenkomst van kracht is.</w:t>
      </w:r>
    </w:p>
    <w:p>
      <w:pPr>
        <w:pStyle w:val="Heading1"/>
        <w:spacing w:before="400" w:after="150"/>
      </w:pPr>
      <w:r>
        <w:rPr>
          <w:rFonts w:ascii="Arial" w:cs="Arial" w:eastAsia="Arial" w:hAnsi="Arial"/>
          <w:b/>
          <w:bCs/>
          <w:sz w:val="24"/>
          <w:szCs w:val="24"/>
        </w:rPr>
        <w:t xml:space="preserve">Artikel 11. Communicatie</w:t>
      </w:r>
    </w:p>
    <w:p>
      <w:pPr>
        <w:spacing w:before="200" w:after="100"/>
      </w:pPr>
      <w:r>
        <w:rPr>
          <w:rFonts w:ascii="Arial" w:cs="Arial" w:eastAsia="Arial" w:hAnsi="Arial"/>
          <w:b/>
          <w:bCs/>
          <w:sz w:val="22"/>
          <w:szCs w:val="22"/>
        </w:rPr>
        <w:t xml:space="preserve">11.1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11.2 Escalatieprotocol</w:t>
      </w:r>
    </w:p>
    <w:p>
      <w:pPr>
        <w:spacing w:before="100" w:after="100"/>
      </w:pPr>
      <w:r>
        <w:rPr>
          <w:rFonts w:ascii="Arial" w:cs="Arial" w:eastAsia="Arial" w:hAnsi="Arial"/>
          <w:sz w:val="22"/>
          <w:szCs w:val="22"/>
        </w:rPr>
        <w:t xml:space="preserve">Bij P1- en P2-incidenten stuurt Opdrachtgever een e-mail met als onderwerp: "URGENT: [omschrijving probleem]". Bij het uitblijven van een reactie binnen de in artikel 2.2 genoemde reactietijden kan Opdrachtgever telefonisch contact opnemen.</w:t>
      </w:r>
    </w:p>
    <w:p>
      <w:pPr>
        <w:pStyle w:val="Heading1"/>
        <w:spacing w:before="400" w:after="150"/>
      </w:pPr>
      <w:r>
        <w:rPr>
          <w:rFonts w:ascii="Arial" w:cs="Arial" w:eastAsia="Arial" w:hAnsi="Arial"/>
          <w:b/>
          <w:bCs/>
          <w:sz w:val="24"/>
          <w:szCs w:val="24"/>
        </w:rPr>
        <w:t xml:space="preserve">Artikel 12. Geheimhouding</w:t>
      </w:r>
    </w:p>
    <w:p>
      <w:pPr>
        <w:spacing w:before="200" w:after="100"/>
      </w:pPr>
      <w:r>
        <w:rPr>
          <w:rFonts w:ascii="Arial" w:cs="Arial" w:eastAsia="Arial" w:hAnsi="Arial"/>
          <w:b/>
          <w:bCs/>
          <w:sz w:val="22"/>
          <w:szCs w:val="22"/>
        </w:rPr>
        <w:t xml:space="preserve">12.1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12.2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juridische, fiscale of financiële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12.3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12.4 Duur</w:t>
      </w:r>
    </w:p>
    <w:p>
      <w:pPr>
        <w:spacing w:before="100" w:after="100"/>
      </w:pPr>
      <w:r>
        <w:rPr>
          <w:rFonts w:ascii="Arial" w:cs="Arial" w:eastAsia="Arial" w:hAnsi="Arial"/>
          <w:sz w:val="22"/>
          <w:szCs w:val="22"/>
        </w:rPr>
        <w:t xml:space="preserve">De geheimhoudingsverplichting blijft van kracht gedurende de looptijd van deze overeenkomst en 2 jaar na beëindiging daarvan.</w:t>
      </w:r>
    </w:p>
    <w:p>
      <w:pPr>
        <w:pStyle w:val="Heading1"/>
        <w:spacing w:before="400" w:after="150"/>
      </w:pPr>
      <w:r>
        <w:rPr>
          <w:rFonts w:ascii="Arial" w:cs="Arial" w:eastAsia="Arial" w:hAnsi="Arial"/>
          <w:b/>
          <w:bCs/>
          <w:sz w:val="24"/>
          <w:szCs w:val="24"/>
        </w:rPr>
        <w:t xml:space="preserve">Artikel 13. Slotbepalingen</w:t>
      </w:r>
    </w:p>
    <w:p>
      <w:pPr>
        <w:spacing w:before="200" w:after="100"/>
      </w:pPr>
      <w:r>
        <w:rPr>
          <w:rFonts w:ascii="Arial" w:cs="Arial" w:eastAsia="Arial" w:hAnsi="Arial"/>
          <w:b/>
          <w:bCs/>
          <w:sz w:val="22"/>
          <w:szCs w:val="22"/>
        </w:rPr>
        <w:t xml:space="preserve">13.1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13.2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13.3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13.4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13.5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13.6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opgesteld en ondertekend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10 maart 2026</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ind w:left="-720" w:right="-720"/>
      <w:jc w:val="center"/>
    </w:pPr>
    <w:r>
      <w:rPr>
        <w:rFonts w:ascii="Arial" w:cs="Arial" w:eastAsia="Arial" w:hAnsi="Arial"/>
        <w:b/>
        <w:bCs/>
        <w:color w:val="555555"/>
        <w:sz w:val="14"/>
        <w:szCs w:val="14"/>
      </w:rPr>
      <w:t xml:space="preserve">Peter Berkenbosch Consultancy B.V.</w:t>
    </w:r>
    <w:r>
      <w:rPr>
        <w:rFonts w:ascii="Arial" w:cs="Arial" w:eastAsia="Arial" w:hAnsi="Arial"/>
        <w:color w:val="555555"/>
        <w:sz w:val="14"/>
        <w:szCs w:val="14"/>
      </w:rPr>
      <w:t xml:space="preserve"> | KvK 75867435 | Martenskamp 14, 8431 LP Oosterwolde | info@peterberkenbosch.nl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72064eda522034934bc43c8c52708e51847a25d.undefined"/><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2026-03-10T07:37:49.163Z</dcterms:created>
  <dcterms:modified xsi:type="dcterms:W3CDTF">2026-03-10T07:37:49.163Z</dcterms:modified>
</cp:coreProperties>
</file>

<file path=docProps/custom.xml><?xml version="1.0" encoding="utf-8"?>
<Properties xmlns="http://schemas.openxmlformats.org/officeDocument/2006/custom-properties" xmlns:vt="http://schemas.openxmlformats.org/officeDocument/2006/docPropsVTypes"/>
</file>