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10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Hotwire Native-weergaven en bijbehorende code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Hotwire Native-weergaven en bijbehorende code in de Rails-applicatie die deze mobiele applicaties bedienen wél onderdeel zijn van het Platform (Art. 1.1) en daarmee onder de Diensten vallen</w:t>
      </w:r>
    </w:p>
    <w:p>
      <w:pPr>
        <w:spacing w:before="60" w:after="60"/>
        <w:ind w:left="720"/>
      </w:pPr>
      <w:r>
        <w:rPr>
          <w:rFonts w:ascii="Arial" w:cs="Arial" w:eastAsia="Arial" w:hAnsi="Arial"/>
          <w:sz w:val="22"/>
          <w:szCs w:val="22"/>
        </w:rPr>
        <w:t xml:space="preserve">–  Doorontwikkeling van de Dinckly mobiele applicatie, waaronder nieuwe schermen, functionaliteit of aanpassingen aan de native codebase</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Objectopslag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~$123,30/mnd (~€114)</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Na migratie (Art. 4.5) — Bij overdracht naar accounts op naam van Opdrachtgever kan de infrastructuur als volgt worden geoptimaliseerd:</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 (4 vCPU, 8 GB RAM, 80 GB NVMe)</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€7,49</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Geautomatiseerde serverback-ups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€1,50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Objectopslag (~3,2 TB, S3-compatibel)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Object Storage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~€16,00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 container registry</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 Free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~€25/maand</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Deze optimalisatie vervangt Hatchbox door Kamal (gratis, open-source), consolideert drie Linode-servers naar één Hetzner-server, en verplaatst de objectopslag naar Hetzner Object Storage. De migratie wordt eenmalig verricht zonder aanvullende kosten. Een gedetailleerd migratieplan met gefaseerde stappen is beschikbaar.</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 verzoek van Opdrachtgever draagt Opdrachtnemer de hosting- en infrastructuuraccounts eenmalig over naar accounts op naam van Opdrachtgever. Opdrachtgever stelt daartoe de benodigde betaalgegevens (creditcard of automatische incasso)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10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2026-03-09T21:19:31.813Z</dcterms:created>
  <dcterms:modified xsi:type="dcterms:W3CDTF">2026-03-09T21:19:31.813Z</dcterms:modified>
</cp:coreProperties>
</file>

<file path=docProps/custom.xml><?xml version="1.0" encoding="utf-8"?>
<Properties xmlns="http://schemas.openxmlformats.org/officeDocument/2006/custom-properties" xmlns:vt="http://schemas.openxmlformats.org/officeDocument/2006/docPropsVTypes"/>
</file>