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00"/>
      </w:pPr>
      <w:r>
        <w:rPr>
          <w:rFonts w:ascii="Arial" w:cs="Arial" w:eastAsia="Arial" w:hAnsi="Arial"/>
          <w:sz w:val="22"/>
          <w:szCs w:val="22"/>
        </w:rPr>
        <w:t xml:space="preserve"/>
      </w:r>
    </w:p>
    <w:p>
      <w:pPr>
        <w:spacing w:before="2400" w:after="100"/>
      </w:pPr>
      <w:r>
        <w:rPr>
          <w:rFonts w:ascii="Arial" w:cs="Arial" w:eastAsia="Arial" w:hAnsi="Arial"/>
          <w:sz w:val="22"/>
          <w:szCs w:val="22"/>
        </w:rPr>
        <w:t xml:space="preserve"/>
      </w:r>
    </w:p>
    <w:p>
      <w:pPr>
        <w:spacing w:before="0" w:after="600"/>
        <w:jc w:val="center"/>
      </w:pPr>
      <w:r>
        <w:drawing>
          <wp:inline distT="0" distB="0" distL="0" distR="0">
            <wp:extent cx="4476750" cy="1400175"/>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1400175"/>
                    </a:xfrm>
                    <a:prstGeom prst="rect">
                      <a:avLst/>
                    </a:prstGeom>
                  </pic:spPr>
                </pic:pic>
              </a:graphicData>
            </a:graphic>
          </wp:inline>
        </w:drawing>
      </w:r>
    </w:p>
    <w:p>
      <w:pPr>
        <w:spacing w:before="400" w:after="100"/>
        <w:jc w:val="center"/>
      </w:pPr>
      <w:r>
        <w:rPr>
          <w:rFonts w:ascii="Arial" w:cs="Arial" w:eastAsia="Arial" w:hAnsi="Arial"/>
          <w:b/>
          <w:bCs/>
          <w:sz w:val="32"/>
          <w:szCs w:val="32"/>
        </w:rPr>
        <w:t xml:space="preserve">OVEREENKOMST VAN DIENSTVERLENING</w:t>
      </w:r>
    </w:p>
    <w:p>
      <w:pPr>
        <w:spacing w:before="0" w:after="600"/>
        <w:jc w:val="center"/>
      </w:pPr>
      <w:r>
        <w:rPr>
          <w:rFonts w:ascii="Arial" w:cs="Arial" w:eastAsia="Arial" w:hAnsi="Arial"/>
          <w:color w:val="444444"/>
          <w:sz w:val="26"/>
          <w:szCs w:val="26"/>
        </w:rPr>
        <w:t xml:space="preserve">KTLO Platform app.dinck.nl</w:t>
      </w:r>
    </w:p>
    <w:p>
      <w:pPr>
        <w:spacing w:before="400" w:after="100"/>
        <w:jc w:val="center"/>
      </w:pPr>
      <w:r>
        <w:rPr>
          <w:rFonts w:ascii="Arial" w:cs="Arial" w:eastAsia="Arial" w:hAnsi="Arial"/>
          <w:color w:val="666666"/>
          <w:sz w:val="22"/>
          <w:szCs w:val="22"/>
        </w:rPr>
        <w:t xml:space="preserve">1 maart 2026</w:t>
      </w:r>
    </w:p>
    <w:p>
      <w:pPr>
        <w:spacing w:before="800" w:after="60"/>
        <w:jc w:val="center"/>
      </w:pPr>
      <w:r>
        <w:rPr>
          <w:rFonts w:ascii="Arial" w:cs="Arial" w:eastAsia="Arial" w:hAnsi="Arial"/>
          <w:b/>
          <w:bCs/>
          <w:sz w:val="28"/>
          <w:szCs w:val="28"/>
        </w:rPr>
        <w:t xml:space="preserve">Peter Berkenbosch Consultancy B.V.</w:t>
      </w:r>
    </w:p>
    <w:p>
      <w:pPr>
        <w:spacing w:before="60" w:after="60"/>
        <w:jc w:val="center"/>
      </w:pPr>
      <w:r>
        <w:rPr>
          <w:rFonts w:ascii="Arial" w:cs="Arial" w:eastAsia="Arial" w:hAnsi="Arial"/>
          <w:color w:val="888888"/>
          <w:sz w:val="20"/>
          <w:szCs w:val="20"/>
        </w:rPr>
        <w:t xml:space="preserve">en</w:t>
      </w:r>
    </w:p>
    <w:p>
      <w:pPr>
        <w:spacing w:before="60" w:after="100"/>
        <w:jc w:val="center"/>
      </w:pPr>
      <w:r>
        <w:rPr>
          <w:rFonts w:ascii="Arial" w:cs="Arial" w:eastAsia="Arial" w:hAnsi="Arial"/>
          <w:b/>
          <w:bCs/>
          <w:sz w:val="28"/>
          <w:szCs w:val="28"/>
        </w:rPr>
        <w:t xml:space="preserve">Dinck B.V.</w:t>
      </w:r>
    </w:p>
    <w:p>
      <w:pPr>
        <w:sectPr>
          <w:pgSz w:w="11906" w:h="16838" w:orient="portrait"/>
          <w:pgMar w:top="1440" w:right="1440" w:bottom="1440" w:left="1440" w:header="708" w:footer="708" w:gutter="0"/>
          <w:pgNumType/>
          <w:docGrid w:linePitch="360"/>
        </w:sectPr>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 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Security patch: </w:t>
      </w:r>
      <w:r>
        <w:rPr>
          <w:rFonts w:ascii="Arial" w:cs="Arial" w:eastAsia="Arial" w:hAnsi="Arial"/>
          <w:sz w:val="22"/>
          <w:szCs w:val="22"/>
        </w:rPr>
        <w:t xml:space="preserve">Een update ter verhelping van een beveiligingskwetsbaarheid met een CVE-score van 7.0 of hoger (high/critical), of een direct exploiteerbare kwetsbaarheid in een core dependency.</w:t>
      </w:r>
    </w:p>
    <w:p>
      <w:pPr>
        <w:spacing w:before="100" w:after="100"/>
      </w:pPr>
      <w:r>
        <w:rPr>
          <w:rFonts w:ascii="Arial" w:cs="Arial" w:eastAsia="Arial" w:hAnsi="Arial"/>
          <w:b/>
          <w:bCs/>
          <w:sz w:val="22"/>
          <w:szCs w:val="22"/>
        </w:rPr>
        <w:t xml:space="preserve">1.6 Werkzaamheden buiten scope: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 Scope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Monitoring</w:t>
      </w:r>
    </w:p>
    <w:p>
      <w:pPr>
        <w:spacing w:before="60" w:after="60"/>
        <w:ind w:left="720"/>
      </w:pPr>
      <w:r>
        <w:rPr>
          <w:rFonts w:ascii="Arial" w:cs="Arial" w:eastAsia="Arial" w:hAnsi="Arial"/>
          <w:sz w:val="22"/>
          <w:szCs w:val="22"/>
        </w:rPr>
        <w:t xml:space="preserve">–  Server monitoring en alerts</w:t>
      </w:r>
    </w:p>
    <w:p>
      <w:pPr>
        <w:spacing w:before="60" w:after="60"/>
        <w:ind w:left="720"/>
      </w:pPr>
      <w:r>
        <w:rPr>
          <w:rFonts w:ascii="Arial" w:cs="Arial" w:eastAsia="Arial" w:hAnsi="Arial"/>
          <w:sz w:val="22"/>
          <w:szCs w:val="22"/>
        </w:rPr>
        <w:t xml:space="preserve">–  Uptime bewaking</w:t>
      </w:r>
    </w:p>
    <w:p>
      <w:pPr>
        <w:spacing w:before="60" w:after="60"/>
        <w:ind w:left="720"/>
      </w:pPr>
      <w:r>
        <w:rPr>
          <w:rFonts w:ascii="Arial" w:cs="Arial" w:eastAsia="Arial" w:hAnsi="Arial"/>
          <w:sz w:val="22"/>
          <w:szCs w:val="22"/>
        </w:rPr>
        <w:t xml:space="preserve">–  Error tracking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Security patches</w:t>
      </w:r>
    </w:p>
    <w:p>
      <w:pPr>
        <w:spacing w:before="60" w:after="60"/>
        <w:ind w:left="720"/>
      </w:pPr>
      <w:r>
        <w:rPr>
          <w:rFonts w:ascii="Arial" w:cs="Arial" w:eastAsia="Arial" w:hAnsi="Arial"/>
          <w:sz w:val="22"/>
          <w:szCs w:val="22"/>
        </w:rPr>
        <w:t xml:space="preserve">–  Toepassen van Security patches zoals gedefinieerd in Artikel 1.5</w:t>
      </w:r>
    </w:p>
    <w:p>
      <w:pPr>
        <w:spacing w:before="60" w:after="60"/>
        <w:ind w:left="720"/>
      </w:pPr>
      <w:r>
        <w:rPr>
          <w:rFonts w:ascii="Arial" w:cs="Arial" w:eastAsia="Arial" w:hAnsi="Arial"/>
          <w:sz w:val="22"/>
          <w:szCs w:val="22"/>
        </w:rPr>
        <w:t xml:space="preserve">–  Updates van core dependencies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Backup verificatie</w:t>
      </w:r>
    </w:p>
    <w:p>
      <w:pPr>
        <w:spacing w:before="60" w:after="60"/>
        <w:ind w:left="720"/>
      </w:pPr>
      <w:r>
        <w:rPr>
          <w:rFonts w:ascii="Arial" w:cs="Arial" w:eastAsia="Arial" w:hAnsi="Arial"/>
          <w:sz w:val="22"/>
          <w:szCs w:val="22"/>
        </w:rPr>
        <w:t xml:space="preserve">–  SSL certificaat vernieuwing</w:t>
      </w:r>
    </w:p>
    <w:p>
      <w:pPr>
        <w:spacing w:before="60" w:after="60"/>
        <w:ind w:left="720"/>
      </w:pPr>
      <w:r>
        <w:rPr>
          <w:rFonts w:ascii="Arial" w:cs="Arial" w:eastAsia="Arial" w:hAnsi="Arial"/>
          <w:sz w:val="22"/>
          <w:szCs w:val="22"/>
        </w:rPr>
        <w:t xml:space="preserve">–  DNS beheer</w:t>
      </w:r>
    </w:p>
    <w:p>
      <w:pPr>
        <w:spacing w:before="60" w:after="60"/>
        <w:ind w:left="720"/>
      </w:pPr>
      <w:r>
        <w:rPr>
          <w:rFonts w:ascii="Arial" w:cs="Arial" w:eastAsia="Arial" w:hAnsi="Arial"/>
          <w:sz w:val="22"/>
          <w:szCs w:val="22"/>
        </w:rPr>
        <w:t xml:space="preserve">–  Standaard database 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actief security-misbruik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Security patch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w:t>
      </w:r>
    </w:p>
    <w:p>
      <w:pPr>
        <w:spacing w:before="60" w:after="60"/>
        <w:ind w:left="720"/>
      </w:pPr>
      <w:r>
        <w:rPr>
          <w:rFonts w:ascii="Arial" w:cs="Arial" w:eastAsia="Arial" w:hAnsi="Arial"/>
          <w:sz w:val="22"/>
          <w:szCs w:val="22"/>
        </w:rPr>
        <w:t xml:space="preserve">–  Eindgebruiker support, training of onboarding</w:t>
      </w:r>
    </w:p>
    <w:p>
      <w:pPr>
        <w:spacing w:before="60" w:after="60"/>
        <w:ind w:left="720"/>
      </w:pPr>
      <w:r>
        <w:rPr>
          <w:rFonts w:ascii="Arial" w:cs="Arial" w:eastAsia="Arial" w:hAnsi="Arial"/>
          <w:sz w:val="22"/>
          <w:szCs w:val="22"/>
        </w:rPr>
        <w:t xml:space="preserve">–  Nieuwe functionaliteit of feature requests</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Mobile applicaties (inclusief maar niet beperkt tot Dinckly iOS)</w:t>
      </w:r>
    </w:p>
    <w:p>
      <w:pPr>
        <w:spacing w:before="60" w:after="60"/>
        <w:ind w:left="720"/>
      </w:pPr>
      <w:r>
        <w:rPr>
          <w:rFonts w:ascii="Arial" w:cs="Arial" w:eastAsia="Arial" w:hAnsi="Arial"/>
          <w:sz w:val="22"/>
          <w:szCs w:val="22"/>
        </w:rPr>
        <w:t xml:space="preserve">–  UI/UX verbeteringen of design updates</w:t>
      </w:r>
    </w:p>
    <w:p>
      <w:pPr>
        <w:spacing w:before="60" w:after="60"/>
        <w:ind w:left="720"/>
      </w:pPr>
      <w:r>
        <w:rPr>
          <w:rFonts w:ascii="Arial" w:cs="Arial" w:eastAsia="Arial" w:hAnsi="Arial"/>
          <w:sz w:val="22"/>
          <w:szCs w:val="22"/>
        </w:rPr>
        <w:t xml:space="preserve">–  Performance optimalisatie (tenzij sprake van een Kritieke bug)</w:t>
      </w:r>
    </w:p>
    <w:p>
      <w:pPr>
        <w:spacing w:before="60" w:after="60"/>
        <w:ind w:left="720"/>
      </w:pPr>
      <w:r>
        <w:rPr>
          <w:rFonts w:ascii="Arial" w:cs="Arial" w:eastAsia="Arial" w:hAnsi="Arial"/>
          <w:sz w:val="22"/>
          <w:szCs w:val="22"/>
        </w:rPr>
        <w:t xml:space="preserve">–  Refactoring of architectuurverbeteringen</w:t>
      </w:r>
    </w:p>
    <w:p>
      <w:pPr>
        <w:spacing w:before="60" w:after="60"/>
        <w:ind w:left="720"/>
      </w:pPr>
      <w:r>
        <w:rPr>
          <w:rFonts w:ascii="Arial" w:cs="Arial" w:eastAsia="Arial" w:hAnsi="Arial"/>
          <w:sz w:val="22"/>
          <w:szCs w:val="22"/>
        </w:rPr>
        <w:t xml:space="preserve">–  Niet-kritieke bugs (cosmetische issues, minor usability problemen, edge cases)</w:t>
      </w:r>
    </w:p>
    <w:p>
      <w:pPr>
        <w:spacing w:before="60" w:after="60"/>
        <w:ind w:left="720"/>
      </w:pPr>
      <w:r>
        <w:rPr>
          <w:rFonts w:ascii="Arial" w:cs="Arial" w:eastAsia="Arial" w:hAnsi="Arial"/>
          <w:sz w:val="22"/>
          <w:szCs w:val="22"/>
        </w:rPr>
        <w:t xml:space="preserve">–  Documentatie updates</w:t>
      </w:r>
    </w:p>
    <w:p>
      <w:pPr>
        <w:spacing w:before="60" w:after="60"/>
        <w:ind w:left="720"/>
      </w:pPr>
      <w:r>
        <w:rPr>
          <w:rFonts w:ascii="Arial" w:cs="Arial" w:eastAsia="Arial" w:hAnsi="Arial"/>
          <w:sz w:val="22"/>
          <w:szCs w:val="22"/>
        </w:rPr>
        <w:t xml:space="preserve">–  Database optimalisatie (niet-kritiek)</w:t>
      </w:r>
    </w:p>
    <w:p>
      <w:pPr>
        <w:spacing w:before="60" w:after="60"/>
        <w:ind w:left="720"/>
      </w:pPr>
      <w:r>
        <w:rPr>
          <w:rFonts w:ascii="Arial" w:cs="Arial" w:eastAsia="Arial" w:hAnsi="Arial"/>
          <w:sz w:val="22"/>
          <w:szCs w:val="22"/>
        </w:rPr>
        <w:t xml:space="preserve">–  Caching 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 Werkzaamheden buiten scope</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Werkzaamheden buiten scope worden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Werkzaamheden buiten scope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Werkzaamheden buiten scope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Werkzaamheden buiten scope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 Storage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Monitoring (free plan)</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~$119,30/mnd (~€110)</w:t>
            </w:r>
          </w:p>
        </w:tc>
      </w:tr>
    </w:tbl>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Werkzaamheden buiten scope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 Duur en Beeindiging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beeindiging</w:t>
      </w:r>
    </w:p>
    <w:p>
      <w:pPr>
        <w:spacing w:before="100" w:after="100"/>
      </w:pPr>
      <w:r>
        <w:rPr>
          <w:rFonts w:ascii="Arial" w:cs="Arial" w:eastAsia="Arial" w:hAnsi="Arial"/>
          <w:sz w:val="22"/>
          <w:szCs w:val="22"/>
        </w:rPr>
        <w:t xml:space="preserve">Bij beeindiging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downtime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 Communicatie</w:t>
      </w:r>
    </w:p>
    <w:p>
      <w:pPr>
        <w:spacing w:before="200" w:after="100"/>
      </w:pPr>
      <w:r>
        <w:rPr>
          <w:rFonts w:ascii="Arial" w:cs="Arial" w:eastAsia="Arial" w:hAnsi="Arial"/>
          <w:b/>
          <w:bCs/>
          <w:sz w:val="22"/>
          <w:szCs w:val="22"/>
        </w:rPr>
        <w:t xml:space="preserve">10.1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10.2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11 — Geheimhouding</w:t>
      </w:r>
    </w:p>
    <w:p>
      <w:pPr>
        <w:spacing w:before="200" w:after="100"/>
      </w:pPr>
      <w:r>
        <w:rPr>
          <w:rFonts w:ascii="Arial" w:cs="Arial" w:eastAsia="Arial" w:hAnsi="Arial"/>
          <w:b/>
          <w:bCs/>
          <w:sz w:val="22"/>
          <w:szCs w:val="22"/>
        </w:rPr>
        <w:t xml:space="preserve">11.1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11.2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 fiscaal of financieel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11.3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11.4 Duur</w:t>
      </w:r>
    </w:p>
    <w:p>
      <w:pPr>
        <w:spacing w:before="100" w:after="100"/>
      </w:pPr>
      <w:r>
        <w:rPr>
          <w:rFonts w:ascii="Arial" w:cs="Arial" w:eastAsia="Arial" w:hAnsi="Arial"/>
          <w:sz w:val="22"/>
          <w:szCs w:val="22"/>
        </w:rPr>
        <w:t xml:space="preserve">De geheimhoudingsverplichting blijft van kracht gedurende de looptijd van deze overeenkomst en 2 jaar na beeindiging daarvan.</w:t>
      </w:r>
    </w:p>
    <w:p>
      <w:pPr>
        <w:pStyle w:val="Heading1"/>
        <w:spacing w:before="400" w:after="150"/>
      </w:pPr>
      <w:r>
        <w:rPr>
          <w:rFonts w:ascii="Arial" w:cs="Arial" w:eastAsia="Arial" w:hAnsi="Arial"/>
          <w:b/>
          <w:bCs/>
          <w:sz w:val="24"/>
          <w:szCs w:val="24"/>
        </w:rPr>
        <w:t xml:space="preserve">Artikel 12 — Overige Bepalingen</w:t>
      </w:r>
    </w:p>
    <w:p>
      <w:pPr>
        <w:spacing w:before="200" w:after="100"/>
      </w:pPr>
      <w:r>
        <w:rPr>
          <w:rFonts w:ascii="Arial" w:cs="Arial" w:eastAsia="Arial" w:hAnsi="Arial"/>
          <w:b/>
          <w:bCs/>
          <w:sz w:val="22"/>
          <w:szCs w:val="22"/>
        </w:rPr>
        <w:t xml:space="preserve">12.1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12.2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12.3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12.4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12.5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12.6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overeengekomen en in tweevoud ondertekend op 1 maart 2026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ind w:left="-720" w:right="-720"/>
      <w:jc w:val="center"/>
    </w:pPr>
    <w:r>
      <w:rPr>
        <w:rFonts w:ascii="Arial" w:cs="Arial" w:eastAsia="Arial" w:hAnsi="Arial"/>
        <w:b/>
        <w:bCs/>
        <w:color w:val="555555"/>
        <w:sz w:val="14"/>
        <w:szCs w:val="14"/>
      </w:rPr>
      <w:t xml:space="preserve">Peter Berkenbosch Consultancy B.V.</w:t>
    </w:r>
    <w:r>
      <w:rPr>
        <w:rFonts w:ascii="Arial" w:cs="Arial" w:eastAsia="Arial" w:hAnsi="Arial"/>
        <w:color w:val="555555"/>
        <w:sz w:val="14"/>
        <w:szCs w:val="14"/>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72064eda522034934bc43c8c52708e51847a25d.undefined"/><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2026-03-03T16:45:58.589Z</dcterms:created>
  <dcterms:modified xsi:type="dcterms:W3CDTF">2026-03-03T16:45:58.590Z</dcterms:modified>
</cp:coreProperties>
</file>

<file path=docProps/custom.xml><?xml version="1.0" encoding="utf-8"?>
<Properties xmlns="http://schemas.openxmlformats.org/officeDocument/2006/custom-properties" xmlns:vt="http://schemas.openxmlformats.org/officeDocument/2006/docPropsVTypes"/>
</file>