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10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Hotwire Native-weergaven en bijbehorende code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Hotwire Native-weergaven en bijbehorende code in de Rails-applicatie die deze mobiele applicaties bedienen wél onderdeel zijn van het Platform (Art. 1.1) en daarmee onder de Diensten vallen</w:t>
      </w:r>
    </w:p>
    <w:p>
      <w:pPr>
        <w:spacing w:before="60" w:after="60"/>
        <w:ind w:left="720"/>
      </w:pPr>
      <w:r>
        <w:rPr>
          <w:rFonts w:ascii="Arial" w:cs="Arial" w:eastAsia="Arial" w:hAnsi="Arial"/>
          <w:sz w:val="22"/>
          <w:szCs w:val="22"/>
        </w:rPr>
        <w:t xml:space="preserve">–  Doorontwikkeling van de Dinckly mobiele applicatie, waaronder nieuwe schermen, functionaliteit of aanpassingen aan de native codebase</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b/>
          <w:bCs/>
          <w:sz w:val="22"/>
          <w:szCs w:val="22"/>
        </w:rPr>
        <w:t xml:space="preserve">Huidige situatie (tot voltooiing migratie Art. 4.5) — 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(~3,9 TB)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~$58,65</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~$133,65/mnd (~€123)</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Na migratie (Art. 4.5) — Na overdracht naar accounts op naam van Opdrachtgever wordt de infrastructuur als volgt geoptimaliseerd:</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 (4 vCPU, 8 GB RAM, 80 GB NVMe)</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€7,49</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Geautomatiseerde serverback-ups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€1,50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(~3,9 TB, S3-compatibel)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Object Storage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~€19,00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 container registry</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 Free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~€28/maand</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Deze optimalisatie vervangt Hatchbox door Kamal (gratis, open-source), consolideert drie Linode-servers naar één Hetzner-server, en verplaatst de opslag naar Hetzner Object Storage. De migratie wordt eenmalig verricht zonder aanvullende kosten. Een gedetailleerd migratieplan met gefaseerde stappen is beschikbaar.</w:t>
      </w:r>
    </w:p>
    <w:p>
      <w:pPr>
        <w:spacing w:before="100" w:after="100"/>
      </w:pPr>
      <w:r>
        <w:rPr>
          <w:rFonts w:ascii="Arial" w:cs="Arial" w:eastAsia="Arial" w:hAnsi="Arial"/>
          <w:i/>
          <w:iCs/>
          <w:sz w:val="22"/>
          <w:szCs w:val="22"/>
        </w:rPr>
        <w:t xml:space="preserve">Tot voltooiing van de migratie (Art. 4.5) gelden de volgende bepalingen: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Migratie naar eigen accounts</w:t>
      </w:r>
    </w:p>
    <w:p>
      <w:pPr>
        <w:spacing w:before="100" w:after="100"/>
      </w:pPr>
      <w:r>
        <w:rPr>
          <w:rFonts w:ascii="Arial" w:cs="Arial" w:eastAsia="Arial" w:hAnsi="Arial"/>
          <w:sz w:val="22"/>
          <w:szCs w:val="22"/>
        </w:rPr>
        <w:t xml:space="preserve">Opdrachtnemer draagt de hosting- en infrastructuuraccounts eenmalig over naar accounts op naam van Opdrachtgever. Opdrachtgever stelt daartoe tijdig de benodigde betaalgegevens (creditcard of automatische incasso) ter beschikking. Opdrachtnemer verzorgt de migratie en levert een infrastructuurdocumentatie op met een overzicht van alle servers, diensten, accounts en bijbehorende kosten.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Na voltooiing van de migratie:</w:t>
      </w:r>
    </w:p>
    <w:p>
      <w:pPr>
        <w:spacing w:before="60" w:after="60"/>
        <w:ind w:left="720"/>
      </w:pPr>
      <w:r>
        <w:rPr>
          <w:rFonts w:ascii="Arial" w:cs="Arial" w:eastAsia="Arial" w:hAnsi="Arial"/>
          <w:sz w:val="22"/>
          <w:szCs w:val="22"/>
        </w:rPr>
        <w:t xml:space="preserve">–  betaalt Opdrachtgever de hostingkosten rechtstreeks aan de onderliggende leveranciers;</w:t>
      </w:r>
    </w:p>
    <w:p>
      <w:pPr>
        <w:spacing w:before="60" w:after="60"/>
        <w:ind w:left="720"/>
      </w:pPr>
      <w:r>
        <w:rPr>
          <w:rFonts w:ascii="Arial" w:cs="Arial" w:eastAsia="Arial" w:hAnsi="Arial"/>
          <w:sz w:val="22"/>
          <w:szCs w:val="22"/>
        </w:rPr>
        <w:t xml:space="preserve">–  vervallen de artikelen 4.2, 4.3 en 4.4;</w:t>
      </w:r>
    </w:p>
    <w:p>
      <w:pPr>
        <w:spacing w:before="60" w:after="60"/>
        <w:ind w:left="720"/>
      </w:pPr>
      <w:r>
        <w:rPr>
          <w:rFonts w:ascii="Arial" w:cs="Arial" w:eastAsia="Arial" w:hAnsi="Arial"/>
          <w:sz w:val="22"/>
          <w:szCs w:val="22"/>
        </w:rPr>
        <w:t xml:space="preserve">–  blijven de overige bepalingen van deze overeenkomst onverkort van kracht.</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migratie en documentatie worden eenmalig verricht zonder aanvullende kosten.</w:t>
      </w:r>
    </w:p>
    <w:p>
      <w:pPr>
        <w:spacing w:before="200" w:after="100"/>
      </w:pPr>
      <w:r>
        <w:rPr>
          <w:rFonts w:ascii="Arial" w:cs="Arial" w:eastAsia="Arial" w:hAnsi="Arial"/>
          <w:b/>
          <w:bCs/>
          <w:sz w:val="22"/>
          <w:szCs w:val="22"/>
        </w:rPr>
        <w:t xml:space="preserve">4.6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opgesteld en ondertekend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10 maart 2026</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2026-03-10T08:53:07.214Z</dcterms:created>
  <dcterms:modified xsi:type="dcterms:W3CDTF">2026-03-10T08:53:07.214Z</dcterms:modified>
</cp:coreProperties>
</file>

<file path=docProps/custom.xml><?xml version="1.0" encoding="utf-8"?>
<Properties xmlns="http://schemas.openxmlformats.org/officeDocument/2006/custom-properties" xmlns:vt="http://schemas.openxmlformats.org/officeDocument/2006/docPropsVTypes"/>
</file>