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Aanvullende Overeenkomst</w:t>
      </w:r>
    </w:p>
    <w:p>
      <w:pPr>
        <w:spacing w:after="480"/>
        <w:jc w:val="center"/>
      </w:pPr>
      <w:r>
        <w:rPr>
          <w:i/>
          <w:iCs/>
          <w:sz w:val="24"/>
          <w:szCs w:val="24"/>
        </w:rPr>
        <w:t xml:space="preserve">Informatierechten niet-besturende aandeelhouder</w:t>
      </w:r>
    </w:p>
    <w:p>
      <w:pPr>
        <w:pStyle w:val="Heading1"/>
      </w:pPr>
      <w:r>
        <w:t xml:space="preserve">De ondergetekenden</w:t>
      </w:r>
    </w:p>
    <w:p>
      <w:pPr>
        <w:spacing w:before="120"/>
      </w:pPr>
      <w:r>
        <w:rPr>
          <w:b/>
          <w:bCs/>
        </w:rPr>
        <w:t xml:space="preserve">1. </w:t>
      </w:r>
      <w:r>
        <w:t xml:space="preserve">De besloten vennootschap met beperkte aansprakelijkheid </w:t>
      </w:r>
      <w:r>
        <w:rPr>
          <w:b/>
          <w:bCs/>
        </w:rPr>
        <w:t xml:space="preserve">Dinck B.V.</w:t>
      </w:r>
      <w:r>
        <w:t xml:space="preserve">, statutair gevestigd te Oosterwolde, ingeschreven in het handelsregister onder nummer [KVK-nummer], in deze rechtsgeldig vertegenwoordigd door mevrouw D. Koopman in haar hoedanigheid van bestuurder, hierna te noemen: "</w:t>
      </w:r>
      <w:r>
        <w:rPr>
          <w:b/>
          <w:bCs/>
        </w:rPr>
        <w:t xml:space="preserve">de Vennootschap</w:t>
      </w:r>
      <w:r>
        <w:t xml:space="preserve">";</w:t>
      </w:r>
    </w:p>
    <w:p>
      <w:pPr>
        <w:spacing w:before="200"/>
      </w:pPr>
      <w:r>
        <w:rPr>
          <w:b/>
          <w:bCs/>
        </w:rPr>
        <w:t xml:space="preserve">2. </w:t>
      </w:r>
      <w:r>
        <w:t xml:space="preserve">De besloten vennootschap met beperkte aansprakelijkheid </w:t>
      </w:r>
      <w:r>
        <w:rPr>
          <w:b/>
          <w:bCs/>
        </w:rPr>
        <w:t xml:space="preserve">PHBX Holding B.V.</w:t>
      </w:r>
      <w:r>
        <w:t xml:space="preserve">, statutair gevestigd te Oosterwolde, ingeschreven in het handelsregister onder nummer [KVK-nummer], in deze rechtsgeldig vertegenwoordigd door de heer P.H. Berkenbosch, hierna te noemen: "</w:t>
      </w:r>
      <w:r>
        <w:rPr>
          <w:b/>
          <w:bCs/>
        </w:rPr>
        <w:t xml:space="preserve">de Aandeelhouder</w:t>
      </w:r>
      <w:r>
        <w:t xml:space="preserve">";</w:t>
      </w:r>
    </w:p>
    <w:p>
      <w:pPr>
        <w:spacing w:before="200"/>
      </w:pPr>
      <w:r>
        <w:t xml:space="preserve">hierna gezamenlijk te noemen: "Partijen" en ieder afzonderlijk: "Partij";</w:t>
      </w:r>
    </w:p>
    <w:p>
      <w:pPr>
        <w:pStyle w:val="Heading1"/>
      </w:pPr>
      <w:r>
        <w:t xml:space="preserve">In aanmerking nemende dat</w:t>
      </w:r>
    </w:p>
    <w:p>
      <w:pPr>
        <w:spacing w:before="120"/>
      </w:pPr>
      <w:r>
        <w:rPr>
          <w:b/>
          <w:bCs/>
        </w:rPr>
        <w:t xml:space="preserve">A. </w:t>
      </w:r>
      <w:r>
        <w:t xml:space="preserve">De Aandeelhouder houder is van 4 aandelen (nummers 9 tot en met 12) in het geplaatste kapitaal van de Vennootschap, vertegenwoordigende 1/3 van het geplaatste kapitaal;</w:t>
      </w:r>
    </w:p>
    <w:p>
      <w:pPr>
        <w:spacing w:before="120"/>
      </w:pPr>
      <w:r>
        <w:rPr>
          <w:b/>
          <w:bCs/>
        </w:rPr>
        <w:t xml:space="preserve">B. </w:t>
      </w:r>
      <w:r>
        <w:t xml:space="preserve">De Aandeelhouder voorheen tevens bestuurder was van de Vennootschap en per [datum] is teruggetreden als bestuurder;</w:t>
      </w:r>
    </w:p>
    <w:p>
      <w:pPr>
        <w:spacing w:before="120"/>
      </w:pPr>
      <w:r>
        <w:rPr>
          <w:b/>
          <w:bCs/>
        </w:rPr>
        <w:t xml:space="preserve">C. </w:t>
      </w:r>
      <w:r>
        <w:t xml:space="preserve">Partijen wensen aanvullende afspraken te maken over de informatieverstrekking aan de Aandeelhouder in zijn hoedanigheid van niet-besturende aandeelhouder, ter aanvulling op de wettelijke rechten ex artikel 2:217 BW en de bestaande aandeelhoudersovereenkomst d.d. 28 maart 2024;</w:t>
      </w:r>
    </w:p>
    <w:p>
      <w:pPr>
        <w:spacing w:before="120"/>
      </w:pPr>
      <w:r>
        <w:rPr>
          <w:b/>
          <w:bCs/>
        </w:rPr>
        <w:t xml:space="preserve">D. </w:t>
      </w:r>
      <w:r>
        <w:t xml:space="preserve">Partijen deze afspraken schriftelijk wensen vast te leggen;</w:t>
      </w:r>
    </w:p>
    <w:p>
      <w:pPr>
        <w:pStyle w:val="Heading1"/>
      </w:pPr>
      <w:r>
        <w:t xml:space="preserve">Komen overeen als volgt</w:t>
      </w:r>
    </w:p>
    <w:p>
      <w:pPr>
        <w:pStyle w:val="Heading2"/>
      </w:pPr>
      <w:r>
        <w:t xml:space="preserve">Artikel 1. Definities</w:t>
      </w:r>
    </w:p>
    <w:p>
      <w:pPr>
        <w:spacing w:before="120"/>
      </w:pPr>
      <w:r>
        <w:t xml:space="preserve">In deze overeenkomst wordt verstaan onder:</w:t>
      </w:r>
    </w:p>
    <w:p>
      <w:pPr>
        <w:spacing w:before="80"/>
        <w:ind w:left="360"/>
      </w:pPr>
      <w:r>
        <w:rPr>
          <w:b/>
          <w:bCs/>
        </w:rPr>
        <w:t xml:space="preserve">Aandeelhoudersovereenkomst: </w:t>
      </w:r>
      <w:r>
        <w:t xml:space="preserve">de aandeelhoudersovereenkomst d.d. 28 maart 2024 tussen Freca B.V. en PHBX Holding B.V.;</w:t>
      </w:r>
    </w:p>
    <w:p>
      <w:pPr>
        <w:spacing w:before="80"/>
        <w:ind w:left="360"/>
      </w:pPr>
      <w:r>
        <w:rPr>
          <w:b/>
          <w:bCs/>
        </w:rPr>
        <w:t xml:space="preserve">AVA: </w:t>
      </w:r>
      <w:r>
        <w:t xml:space="preserve">de algemene vergadering van aandeelhouders van de Vennootschap;</w:t>
      </w:r>
    </w:p>
    <w:p>
      <w:pPr>
        <w:spacing w:before="80"/>
        <w:ind w:left="360"/>
      </w:pPr>
      <w:r>
        <w:rPr>
          <w:b/>
          <w:bCs/>
        </w:rPr>
        <w:t xml:space="preserve">Kwartaalrapportage: </w:t>
      </w:r>
      <w:r>
        <w:t xml:space="preserve">het overzicht als bedoeld in artikel 2 van deze overeenkomst;</w:t>
      </w:r>
    </w:p>
    <w:p>
      <w:pPr>
        <w:pStyle w:val="Heading2"/>
      </w:pPr>
      <w:r>
        <w:t xml:space="preserve">Artikel 2. Kwartaalrapportages</w:t>
      </w:r>
    </w:p>
    <w:p>
      <w:pPr>
        <w:spacing w:before="120"/>
      </w:pPr>
      <w:r>
        <w:rPr>
          <w:b/>
          <w:bCs/>
        </w:rPr>
        <w:t xml:space="preserve">2.1 </w:t>
      </w:r>
      <w:r>
        <w:t xml:space="preserve">De Vennootschap verstrekt aan de Aandeelhouder binnen 30 dagen na afloop van elk kalenderkwartaal een schriftelijke Kwartaalrapportage.</w:t>
      </w:r>
    </w:p>
    <w:p>
      <w:pPr>
        <w:spacing w:before="120"/>
      </w:pPr>
      <w:r>
        <w:rPr>
          <w:b/>
          <w:bCs/>
        </w:rPr>
        <w:t xml:space="preserve">2.2 </w:t>
      </w:r>
      <w:r>
        <w:t xml:space="preserve">De Kwartaalrapportage bevat ten minste:</w:t>
      </w:r>
    </w:p>
    <w:p>
      <w:pPr>
        <w:spacing w:before="80"/>
        <w:ind w:left="720"/>
      </w:pPr>
      <w:r>
        <w:t xml:space="preserve">a. een balans per het einde van het betreffende kwartaal;</w:t>
      </w:r>
    </w:p>
    <w:p>
      <w:pPr>
        <w:spacing w:before="40"/>
        <w:ind w:left="720"/>
      </w:pPr>
      <w:r>
        <w:t xml:space="preserve">b. een winst- en verliesrekening over het betreffende kwartaal;</w:t>
      </w:r>
    </w:p>
    <w:p>
      <w:pPr>
        <w:spacing w:before="40"/>
        <w:ind w:left="720"/>
      </w:pPr>
      <w:r>
        <w:t xml:space="preserve">c. een overzicht van de omzet (ARR/MRR) en het aantal actieve klanten;</w:t>
      </w:r>
    </w:p>
    <w:p>
      <w:pPr>
        <w:spacing w:before="40"/>
        <w:ind w:left="720"/>
      </w:pPr>
      <w:r>
        <w:t xml:space="preserve">d. een overzicht van de uitstaande schulden en verplichtingen;</w:t>
      </w:r>
    </w:p>
    <w:p>
      <w:pPr>
        <w:spacing w:before="40"/>
        <w:ind w:left="720"/>
      </w:pPr>
      <w:r>
        <w:t xml:space="preserve">e. een liquiditeitsprognose voor het komende kwartaal;</w:t>
      </w:r>
    </w:p>
    <w:p>
      <w:pPr>
        <w:spacing w:before="40"/>
        <w:ind w:left="720"/>
      </w:pPr>
      <w:r>
        <w:t xml:space="preserve">f. een toelichting op bijzondere ontwikkelingen en afwijkingen ten opzichte van de begroting.</w:t>
      </w:r>
    </w:p>
    <w:p>
      <w:pPr>
        <w:spacing w:before="120"/>
      </w:pPr>
      <w:r>
        <w:rPr>
          <w:b/>
          <w:bCs/>
        </w:rPr>
        <w:t xml:space="preserve">2.3 </w:t>
      </w:r>
      <w:r>
        <w:t xml:space="preserve">De rapportages worden in de vorm van een PDF-document per e-mail verzonden aan het bij de Vennootschap bekende e-mailadres van de Aandeelhouder.</w:t>
      </w:r>
    </w:p>
    <w:p>
      <w:pPr>
        <w:pStyle w:val="Heading2"/>
      </w:pPr>
      <w:r>
        <w:t xml:space="preserve">Artikel 3. Jaarrekening en AVA</w:t>
      </w:r>
    </w:p>
    <w:p>
      <w:pPr>
        <w:spacing w:before="120"/>
      </w:pPr>
      <w:r>
        <w:rPr>
          <w:b/>
          <w:bCs/>
        </w:rPr>
        <w:t xml:space="preserve">3.1 </w:t>
      </w:r>
      <w:r>
        <w:t xml:space="preserve">De Vennootschap stelt de Aandeelhouder tijdig, doch uiterlijk 14 dagen voor de datum van de AVA, in kennis van elke voorgenomen AVA, onder vermelding van datum, tijd, locatie en agenda.</w:t>
      </w:r>
    </w:p>
    <w:p>
      <w:pPr>
        <w:spacing w:before="120"/>
      </w:pPr>
      <w:r>
        <w:rPr>
          <w:b/>
          <w:bCs/>
        </w:rPr>
        <w:t xml:space="preserve">3.2 </w:t>
      </w:r>
      <w:r>
        <w:t xml:space="preserve">De Vennootschap verstrekt aan de Aandeelhouder gelijktijdig met de oproeping alle relevante vergaderstukken, waaronder in elk geval de concept-jaarrekening indien deze ter vaststelling voorligt.</w:t>
      </w:r>
    </w:p>
    <w:p>
      <w:pPr>
        <w:spacing w:before="120"/>
      </w:pPr>
      <w:r>
        <w:rPr>
          <w:b/>
          <w:bCs/>
        </w:rPr>
        <w:t xml:space="preserve">3.3 </w:t>
      </w:r>
      <w:r>
        <w:t xml:space="preserve">De Aandeelhouder is gerechtigd de AVA fysiek of via elektronische middelen bij te wonen en daar het woord te voeren en zijn stemrecht uit te oefenen.</w:t>
      </w:r>
    </w:p>
    <w:p>
      <w:pPr>
        <w:pStyle w:val="Heading2"/>
      </w:pPr>
      <w:r>
        <w:t xml:space="preserve">Artikel 4. Informatierecht</w:t>
      </w:r>
    </w:p>
    <w:p>
      <w:pPr>
        <w:spacing w:before="120"/>
      </w:pPr>
      <w:r>
        <w:rPr>
          <w:b/>
          <w:bCs/>
        </w:rPr>
        <w:t xml:space="preserve">4.1 </w:t>
      </w:r>
      <w:r>
        <w:t xml:space="preserve">Onverminderd het bepaalde in artikel 2:217 BW verstrekt het bestuur van de Vennootschap aan de Aandeelhouder desgevraagd binnen 14 dagen alle inlichtingen die de Aandeelhouder redelijkerwijs nodig heeft voor de uitoefening van zijn rechten als aandeelhouder.</w:t>
      </w:r>
    </w:p>
    <w:p>
      <w:pPr>
        <w:spacing w:before="120"/>
      </w:pPr>
      <w:r>
        <w:rPr>
          <w:b/>
          <w:bCs/>
        </w:rPr>
        <w:t xml:space="preserve">4.2 </w:t>
      </w:r>
      <w:r>
        <w:t xml:space="preserve">Het bestuur kan een verzoek om inlichtingen slechts weigeren indien zwaarwegende belangen van de Vennootschap zich daartegen verzetten. Een weigering wordt schriftelijk en gemotiveerd aan de Aandeelhouder medegedeeld.</w:t>
      </w:r>
    </w:p>
    <w:p>
      <w:pPr>
        <w:pStyle w:val="Heading2"/>
      </w:pPr>
      <w:r>
        <w:t xml:space="preserve">Artikel 5. Toegang tot administratie</w:t>
      </w:r>
    </w:p>
    <w:p>
      <w:pPr>
        <w:spacing w:before="120"/>
      </w:pPr>
      <w:r>
        <w:rPr>
          <w:b/>
          <w:bCs/>
        </w:rPr>
        <w:t xml:space="preserve">5.1 </w:t>
      </w:r>
      <w:r>
        <w:t xml:space="preserve">De Aandeelhouder heeft het recht om eenmaal per kalenderjaar, na voorafgaande afspraak, de boekhouding en administratie van de Vennootschap in te zien op het kantoor van de Vennootschap of haar accountant.</w:t>
      </w:r>
    </w:p>
    <w:p>
      <w:pPr>
        <w:spacing w:before="120"/>
      </w:pPr>
      <w:r>
        <w:rPr>
          <w:b/>
          <w:bCs/>
        </w:rPr>
        <w:t xml:space="preserve">5.2 </w:t>
      </w:r>
      <w:r>
        <w:t xml:space="preserve">De Aandeelhouder mag zich hierbij laten bijstaan door een registeraccountant of andere deskundige, die gehouden is tot geheimhouding.</w:t>
      </w:r>
    </w:p>
    <w:p>
      <w:pPr>
        <w:pStyle w:val="Heading2"/>
      </w:pPr>
      <w:r>
        <w:t xml:space="preserve">Artikel 6. Belangrijke besluiten</w:t>
      </w:r>
    </w:p>
    <w:p>
      <w:pPr>
        <w:spacing w:before="120"/>
      </w:pPr>
      <w:r>
        <w:rPr>
          <w:b/>
          <w:bCs/>
        </w:rPr>
        <w:t xml:space="preserve">6.1 </w:t>
      </w:r>
      <w:r>
        <w:t xml:space="preserve">Het bestuur informeert de Aandeelhouder voorafgaand over voorgenomen besluiten die:</w:t>
      </w:r>
    </w:p>
    <w:p>
      <w:pPr>
        <w:spacing w:before="80"/>
        <w:ind w:left="720"/>
      </w:pPr>
      <w:r>
        <w:t xml:space="preserve">a. investeringen of verplichtingen betreffen van meer dan € 10.000;</w:t>
      </w:r>
    </w:p>
    <w:p>
      <w:pPr>
        <w:spacing w:before="40"/>
        <w:ind w:left="720"/>
      </w:pPr>
      <w:r>
        <w:t xml:space="preserve">b. het aangaan of wijzigen van leningen betreffen;</w:t>
      </w:r>
    </w:p>
    <w:p>
      <w:pPr>
        <w:spacing w:before="40"/>
        <w:ind w:left="720"/>
      </w:pPr>
      <w:r>
        <w:t xml:space="preserve">c. het wijzigen van de statuten betreffen;</w:t>
      </w:r>
    </w:p>
    <w:p>
      <w:pPr>
        <w:spacing w:before="40"/>
        <w:ind w:left="720"/>
      </w:pPr>
      <w:r>
        <w:t xml:space="preserve">d. het aangaan van transacties met verbonden partijen betreffen;</w:t>
      </w:r>
    </w:p>
    <w:p>
      <w:pPr>
        <w:spacing w:before="40"/>
        <w:ind w:left="720"/>
      </w:pPr>
      <w:r>
        <w:t xml:space="preserve">e. de uitgifte van nieuwe aandelen betreffen.</w:t>
      </w:r>
    </w:p>
    <w:p>
      <w:pPr>
        <w:spacing w:before="120"/>
      </w:pPr>
      <w:r>
        <w:rPr>
          <w:b/>
          <w:bCs/>
        </w:rPr>
        <w:t xml:space="preserve">6.2 </w:t>
      </w:r>
      <w:r>
        <w:t xml:space="preserve">Deze informatieverplichting laat onverlet de eventuele goedkeuringsrechten van de AVA op grond van de wet of de statuten.</w:t>
      </w:r>
    </w:p>
    <w:p>
      <w:r>
        <w:br w:type="page"/>
      </w:r>
    </w:p>
    <w:p>
      <w:pPr>
        <w:pStyle w:val="Heading2"/>
      </w:pPr>
      <w:r>
        <w:t xml:space="preserve">Artikel 7. Geheimhouding</w:t>
      </w:r>
    </w:p>
    <w:p>
      <w:pPr>
        <w:spacing w:before="120"/>
      </w:pPr>
      <w:r>
        <w:rPr>
          <w:b/>
          <w:bCs/>
        </w:rPr>
        <w:t xml:space="preserve">7.1 </w:t>
      </w:r>
      <w:r>
        <w:t xml:space="preserve">De Aandeelhouder behandelt alle informatie die hij op grond van deze overeenkomst ontvangt vertrouwelijk en zal deze niet aan derden verstrekken, behoudens aan zijn adviseurs die gehouden zijn tot geheimhouding.</w:t>
      </w:r>
    </w:p>
    <w:p>
      <w:pPr>
        <w:spacing w:before="120"/>
      </w:pPr>
      <w:r>
        <w:rPr>
          <w:b/>
          <w:bCs/>
        </w:rPr>
        <w:t xml:space="preserve">7.2 </w:t>
      </w:r>
      <w:r>
        <w:t xml:space="preserve">Deze geheimhoudingsverplichting geldt niet voor informatie die reeds openbaar is of wordt, of die de Aandeelhouder op rechtmatige wijze van een derde heeft verkregen.</w:t>
      </w:r>
    </w:p>
    <w:p>
      <w:pPr>
        <w:pStyle w:val="Heading2"/>
      </w:pPr>
      <w:r>
        <w:t xml:space="preserve">Artikel 8. Duur en beëindiging</w:t>
      </w:r>
    </w:p>
    <w:p>
      <w:pPr>
        <w:spacing w:before="120"/>
      </w:pPr>
      <w:r>
        <w:rPr>
          <w:b/>
          <w:bCs/>
        </w:rPr>
        <w:t xml:space="preserve">8.1 </w:t>
      </w:r>
      <w:r>
        <w:t xml:space="preserve">Deze overeenkomst treedt in werking op de datum van ondertekening en eindigt van rechtswege op het moment dat de Aandeelhouder geen aandelen meer houdt in de Vennootschap.</w:t>
      </w:r>
    </w:p>
    <w:p>
      <w:pPr>
        <w:spacing w:before="120"/>
      </w:pPr>
      <w:r>
        <w:rPr>
          <w:b/>
          <w:bCs/>
        </w:rPr>
        <w:t xml:space="preserve">8.2 </w:t>
      </w:r>
      <w:r>
        <w:t xml:space="preserve">Deze overeenkomst kan niet tussentijds worden opgezegd, behoudens met schriftelijke instemming van beide Partijen.</w:t>
      </w:r>
    </w:p>
    <w:p>
      <w:pPr>
        <w:pStyle w:val="Heading2"/>
      </w:pPr>
      <w:r>
        <w:t xml:space="preserve">Artikel 9. Boetebeding</w:t>
      </w:r>
    </w:p>
    <w:p>
      <w:pPr>
        <w:spacing w:before="120"/>
      </w:pPr>
      <w:r>
        <w:rPr>
          <w:b/>
          <w:bCs/>
        </w:rPr>
        <w:t xml:space="preserve">9.1 </w:t>
      </w:r>
      <w:r>
        <w:t xml:space="preserve">Bij niet-nakoming van de verplichtingen uit artikel 2 (Kwartaalrapportages) of artikel 3 (AVA) verbeurt de Vennootschap aan de Aandeelhouder een direct opeisbare boete van € 500 per overtreding, vermeerderd met € 50 voor elke dag dat de overtreding voortduurt, onverminderd het recht van de Aandeelhouder om nakoming en/of aanvullende schadevergoeding te vorderen.</w:t>
      </w:r>
    </w:p>
    <w:p>
      <w:pPr>
        <w:pStyle w:val="Heading2"/>
      </w:pPr>
      <w:r>
        <w:t xml:space="preserve">Artikel 10. Relatie met andere overeenkomsten</w:t>
      </w:r>
    </w:p>
    <w:p>
      <w:pPr>
        <w:spacing w:before="120"/>
      </w:pPr>
      <w:r>
        <w:rPr>
          <w:b/>
          <w:bCs/>
        </w:rPr>
        <w:t xml:space="preserve">10.1 </w:t>
      </w:r>
      <w:r>
        <w:t xml:space="preserve">Deze overeenkomst geldt als aanvulling op de Aandeelhoudersovereenkomst. Bij strijdigheid prevaleert de bepaling die de Aandeelhouder de meeste bescherming biedt.</w:t>
      </w:r>
    </w:p>
    <w:p>
      <w:pPr>
        <w:spacing w:before="120"/>
      </w:pPr>
      <w:r>
        <w:rPr>
          <w:b/>
          <w:bCs/>
        </w:rPr>
        <w:t xml:space="preserve">10.2 </w:t>
      </w:r>
      <w:r>
        <w:t xml:space="preserve">De wettelijke rechten van de Aandeelhouder, waaronder artikel 2:217 BW, blijven onverminderd van kracht.</w:t>
      </w:r>
    </w:p>
    <w:p>
      <w:pPr>
        <w:pStyle w:val="Heading2"/>
      </w:pPr>
      <w:r>
        <w:t xml:space="preserve">Artikel 11. Toepasselijk recht en geschillen</w:t>
      </w:r>
    </w:p>
    <w:p>
      <w:pPr>
        <w:spacing w:before="120"/>
      </w:pPr>
      <w:r>
        <w:rPr>
          <w:b/>
          <w:bCs/>
        </w:rPr>
        <w:t xml:space="preserve">11.1 </w:t>
      </w:r>
      <w:r>
        <w:t xml:space="preserve">Op deze overeenkomst is Nederlands recht van toepassing.</w:t>
      </w:r>
    </w:p>
    <w:p>
      <w:pPr>
        <w:spacing w:before="120"/>
      </w:pPr>
      <w:r>
        <w:rPr>
          <w:b/>
          <w:bCs/>
        </w:rPr>
        <w:t xml:space="preserve">11.2 </w:t>
      </w:r>
      <w:r>
        <w:t xml:space="preserve">Geschillen die voortvloeien uit of verband houden met deze overeenkomst worden voorgelegd aan de bevoegde rechter in het arrondissement Noord-Nederland.</w:t>
      </w:r>
    </w:p>
    <w:p>
      <w:pPr>
        <w:pStyle w:val="Heading1"/>
        <w:spacing w:before="600"/>
      </w:pPr>
      <w:r>
        <w:t xml:space="preserve">Ondertekening</w:t>
      </w:r>
    </w:p>
    <w:p>
      <w:pPr>
        <w:spacing w:before="120" w:after="240"/>
      </w:pPr>
      <w:r>
        <w:t xml:space="preserve">Aldus overeengekomen en in tweevoud ondertekend te Oosterwolde op [datum].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left w:val="nil"/>
              <w:bottom w:val="nil"/>
              <w:right w:val="nil"/>
            </w:tcBorders>
          </w:tcPr>
          <w:p>
            <w:pPr>
              <w:spacing w:before="120"/>
            </w:pPr>
            <w:r>
              <w:rPr>
                <w:b/>
                <w:bCs/>
              </w:rPr>
              <w:t xml:space="preserve">De Vennootschap:</w:t>
            </w:r>
          </w:p>
          <w:p>
            <w:pPr>
              <w:spacing w:before="120"/>
            </w:pPr>
            <w:r>
              <w:t xml:space="preserve">Dinck B.V.</w:t>
            </w:r>
          </w:p>
          <w:p>
            <w:pPr>
              <w:spacing w:before="600"/>
            </w:pPr>
            <w:r>
              <w:t xml:space="preserve">_______________________________</w:t>
            </w:r>
          </w:p>
          <w:p>
            <w:r>
              <w:t xml:space="preserve">Mevrouw D. Koopman</w:t>
            </w:r>
          </w:p>
          <w:p>
            <w:r>
              <w:t xml:space="preserve">Bestuurder</w:t>
            </w:r>
          </w:p>
        </w:tc>
        <w:tc>
          <w:tcPr>
            <w:tcW w:type="dxa" w:w="4680"/>
            <w:tcBorders>
              <w:top w:val="nil"/>
              <w:left w:val="nil"/>
              <w:bottom w:val="nil"/>
              <w:right w:val="nil"/>
            </w:tcBorders>
          </w:tcPr>
          <w:p>
            <w:pPr>
              <w:spacing w:before="120"/>
            </w:pPr>
            <w:r>
              <w:rPr>
                <w:b/>
                <w:bCs/>
              </w:rPr>
              <w:t xml:space="preserve">De Aandeelhouder:</w:t>
            </w:r>
          </w:p>
          <w:p>
            <w:pPr>
              <w:spacing w:before="120"/>
            </w:pPr>
            <w:r>
              <w:t xml:space="preserve">PHBX Holding B.V.</w:t>
            </w:r>
          </w:p>
          <w:p>
            <w:pPr>
              <w:spacing w:before="600"/>
            </w:pPr>
            <w:r>
              <w:t xml:space="preserve">_______________________________</w:t>
            </w:r>
          </w:p>
          <w:p>
            <w:r>
              <w:t xml:space="preserve">De heer P.H. Berkenbosch</w:t>
            </w:r>
          </w:p>
          <w:p>
            <w:r>
              <w:t xml:space="preserve">Bestuurder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pPr>
    <w:rPr>
      <w:rFonts w:ascii="Arial" w:cs="Arial" w:eastAsia="Arial" w:hAnsi="Arial"/>
      <w:b/>
      <w:bCs/>
      <w:color w:val="000000"/>
      <w:sz w:val="28"/>
      <w:szCs w:val="28"/>
    </w:rPr>
  </w:style>
  <w:style w:type="paragraph" w:styleId="Heading2">
    <w:name w:val="Heading 2"/>
    <w:basedOn w:val="Normal"/>
    <w:next w:val="Normal"/>
    <w:qFormat/>
    <w:pPr>
      <w:spacing w:before="240" w:after="12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2025-12-24T14:42:44.949Z</dcterms:created>
  <dcterms:modified xsi:type="dcterms:W3CDTF">2025-12-24T14:42:44.950Z</dcterms:modified>
</cp:coreProperties>
</file>

<file path=docProps/custom.xml><?xml version="1.0" encoding="utf-8"?>
<Properties xmlns="http://schemas.openxmlformats.org/officeDocument/2006/custom-properties" xmlns:vt="http://schemas.openxmlformats.org/officeDocument/2006/docPropsVTypes"/>
</file>