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KTLO Scope Definitie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Dinck B.V.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Versie: 30 januari 2026</w:t>
      </w:r>
    </w:p>
    <w:p>
      <w:pPr>
        <w:pStyle w:val="Heading1"/>
      </w:pPr>
      <w:r>
        <w:t xml:space="preserve">1. Doel</w:t>
      </w:r>
    </w:p>
    <w:p>
      <w:pPr>
        <w:spacing w:after="200"/>
      </w:pPr>
      <w:r>
        <w:t xml:space="preserve">Dit document definieert de scope van </w:t>
      </w:r>
    </w:p>
    <w:p>
      <w:pPr>
        <w:spacing w:after="200"/>
      </w:pPr>
      <w:r>
        <w:rPr>
          <w:b/>
          <w:bCs/>
        </w:rPr>
        <w:t xml:space="preserve">Keep The Lights On (KTLO)</w:t>
      </w:r>
      <w:r>
        <w:t xml:space="preserve"> werkzaamheden voor het Dinck platform na het terugtreden van Peter Berkenbosch als bestuurder per 1 maart 2026.</w:t>
      </w:r>
    </w:p>
    <w:p>
      <w:pPr>
        <w:spacing w:after="200"/>
      </w:pPr>
      <w:r>
        <w:t xml:space="preserve">KTLO betreft uitsluitend het operationeel houden van de bestaande software. Het omvat geen nieuwe ontwikkeling, uitbreidingen of verbeteringen.</w:t>
      </w:r>
    </w:p>
    <w:p>
      <w:pPr>
        <w:pStyle w:val="Heading1"/>
      </w:pPr>
      <w:r>
        <w:t xml:space="preserve">2. Wat WEL binnen KTLO valt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Server monitoring en uptime waarborgen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Kritieke bugs fixen (platform onbruikbaar / data verlies)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Security patches bij kritieke kwetsbaarheden (CVE score ≥ 7.0)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Database backups controleren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SSL certificaten vernieuwen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Hosting/infrastructuur operationeel houden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Reageren op platform-down situaties</w:t>
            </w:r>
          </w:p>
        </w:tc>
      </w:tr>
    </w:tbl>
    <w:p>
      <w:pPr>
        <w:pStyle w:val="Heading1"/>
      </w:pPr>
      <w:r>
        <w:t xml:space="preserve">3. Wat NIET binnen KTLO valt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Nieuwe features of functionaliteit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UI/UX verbeteringen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Niet-kritieke bugs (cosmetisch, edge cases, conveniences)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Nieuwe integraties met externe systemen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Performance optimalisaties (tenzij platform onbruikbaar)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Nieuwe klant-specifieke aanpassingen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Uitbreidingen op bestaande features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Refactoring of technische schuld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Wijzigingen aan de mobiele apps (iOS/Android)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Support aan eindgebruikers of organisaties</w:t>
            </w:r>
          </w:p>
        </w:tc>
      </w:tr>
    </w:tbl>
    <w:p>
      <w:pPr>
        <w:pStyle w:val="Heading1"/>
      </w:pPr>
      <w:r>
        <w:t xml:space="preserve">4. Definities</w:t>
      </w:r>
    </w:p>
    <w:p>
      <w:pPr>
        <w:pStyle w:val="Heading2"/>
      </w:pPr>
      <w:r>
        <w:t xml:space="preserve">4.1 Kritieke bug</w:t>
      </w:r>
    </w:p>
    <w:p>
      <w:pPr>
        <w:spacing w:after="200"/>
      </w:pPr>
      <w:r>
        <w:t xml:space="preserve">Een bug die voldoet aan minimaal één van de volgende criteria: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• Platform is volledig onbereikbaar voor alle gebruikers</w:t>
            </w:r>
          </w:p>
          <w:p>
            <w:pPr>
              <w:spacing w:after="80"/>
            </w:pPr>
            <w:r>
              <w:t xml:space="preserve">• Data verlies of data corruptie</w:t>
            </w:r>
          </w:p>
          <w:p>
            <w:pPr>
              <w:spacing w:after="80"/>
            </w:pPr>
            <w:r>
              <w:t xml:space="preserve">• Beveiligingslek met actief misbruik of directe dreiging</w:t>
            </w:r>
          </w:p>
          <w:p>
            <w:r>
              <w:t xml:space="preserve">• Financiële transacties worden incorrect verwerkt</w:t>
            </w:r>
          </w:p>
        </w:tc>
      </w:tr>
    </w:tbl>
    <w:p>
      <w:pPr>
        <w:pStyle w:val="Heading2"/>
      </w:pPr>
      <w:r>
        <w:t xml:space="preserve">4.2 Niet-kritieke bug</w:t>
      </w:r>
    </w:p>
    <w:p>
      <w:pPr>
        <w:spacing w:after="200"/>
      </w:pPr>
      <w:r>
        <w:t xml:space="preserve">Alle overige bugs, inclusief maar niet beperkt tot: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• Visuele/cosmetische problemen</w:t>
            </w:r>
          </w:p>
          <w:p>
            <w:pPr>
              <w:spacing w:after="80"/>
            </w:pPr>
            <w:r>
              <w:t xml:space="preserve">• Functionaliteit die voor een subset van gebruikers niet werkt</w:t>
            </w:r>
          </w:p>
          <w:p>
            <w:pPr>
              <w:spacing w:after="80"/>
            </w:pPr>
            <w:r>
              <w:t xml:space="preserve">• Trage performance (mits platform bruikbaar)</w:t>
            </w:r>
          </w:p>
          <w:p>
            <w:pPr>
              <w:spacing w:after="80"/>
            </w:pPr>
            <w:r>
              <w:t xml:space="preserve">• Problemen in specifieke browsers of apparaten</w:t>
            </w:r>
          </w:p>
          <w:p>
            <w:r>
              <w:t xml:space="preserve">• Workarounds beschikbaar voor het probleem</w:t>
            </w:r>
          </w:p>
        </w:tc>
      </w:tr>
    </w:tbl>
    <w:p>
      <w:pPr>
        <w:pStyle w:val="Heading1"/>
      </w:pPr>
      <w:r>
        <w:t xml:space="preserve">5. Responstijden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Reactie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Oplossing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Binnen 4 uur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effort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Kritieke bug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Binnen 24 uur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Binnen 72 uur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patch (CVE ≥ 7.0)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Binnen 48 uur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Binnen 7 dagen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SSL/Certificaat vernieuwing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Proactief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Voor expiratie</w:t>
            </w:r>
          </w:p>
        </w:tc>
      </w:tr>
    </w:tbl>
    <w:p>
      <w:pPr>
        <w:spacing w:before="200" w:after="200"/>
      </w:pPr>
      <w:r>
        <w:rPr>
          <w:i/>
          <w:iCs/>
        </w:rPr>
        <w:t xml:space="preserve">Noot: </w:t>
      </w:r>
      <w:r>
        <w:rPr>
          <w:i/>
          <w:iCs/>
        </w:rPr>
        <w:t xml:space="preserve">Responstijden gelden tijdens werkdagen (ma-vr, 9:00-17:00 CET), exclusief erkende feestdagen.</w:t>
      </w:r>
    </w:p>
    <w:p>
      <w:pPr>
        <w:pStyle w:val="Heading1"/>
      </w:pPr>
      <w:r>
        <w:t xml:space="preserve">6. Vergoeding</w:t>
      </w:r>
    </w:p>
    <w:p>
      <w:pPr>
        <w:spacing w:after="200"/>
      </w:pPr>
      <w:r>
        <w:t xml:space="preserve">KTLO werkzaamheden worden uitgevoerd zonder separate vergoeding, als onderdeel van de aandeelhoudersbelangen in de continuïteit van de vennootschap.</w:t>
      </w:r>
    </w:p>
    <w:p>
      <w:pPr>
        <w:spacing w:after="200"/>
      </w:pPr>
      <w:r>
        <w:t xml:space="preserve">Werkzaamheden die buiten de KTLO-scope vallen (nieuwe features, uitbreidingen, niet-kritieke bugs) vereisen een separate opdracht en worden vergoed tegen het dan geldende uurtarief.</w:t>
      </w:r>
    </w:p>
    <w:p>
      <w:pPr>
        <w:pStyle w:val="Heading1"/>
      </w:pPr>
      <w:r>
        <w:t xml:space="preserve">7. Melding en escalatie</w:t>
      </w:r>
    </w:p>
    <w:p>
      <w:pPr>
        <w:spacing w:after="200"/>
      </w:pPr>
      <w:r>
        <w:t xml:space="preserve">Meldingen dienen te geschieden via e-mail aan: peter@phbx.nl</w:t>
      </w:r>
    </w:p>
    <w:p>
      <w:pPr>
        <w:spacing w:after="200"/>
      </w:pPr>
      <w:r>
        <w:t xml:space="preserve">Bij platform-down situaties kan aanvullend telefonisch contact worden gezocht.</w:t>
      </w:r>
    </w:p>
    <w:p>
      <w:pPr>
        <w:pStyle w:val="Heading1"/>
      </w:pPr>
      <w:r>
        <w:t xml:space="preserve">8. Duur</w:t>
      </w:r>
    </w:p>
    <w:p>
      <w:pPr>
        <w:spacing w:after="200"/>
      </w:pPr>
      <w:r>
        <w:t xml:space="preserve">Deze KTLO-scope is van kracht zolang PHBX Holding B.V. aandeelhouder is in Dinck B.V.</w:t>
      </w:r>
    </w:p>
    <w:p>
      <w:pPr>
        <w:spacing w:after="200"/>
      </w:pPr>
      <w:r>
        <w:t xml:space="preserve">Bij verkoop van de aandelen vervalt deze regeling, tenzij partijen anders overeenkomen.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 Einde document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2026-01-30T10:00:22.108Z</dcterms:created>
  <dcterms:modified xsi:type="dcterms:W3CDTF">2026-01-30T10:00:22.109Z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