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ADF44" w14:textId="49E28291" w:rsidR="00A90E89" w:rsidRDefault="00A90E89" w:rsidP="00890915"/>
    <w:p w14:paraId="1A01C712" w14:textId="55B4B60B" w:rsidR="00A90E89" w:rsidRPr="00A90E89" w:rsidRDefault="00A90E89" w:rsidP="00A90E89"/>
    <w:p w14:paraId="4444E8A0" w14:textId="77777777" w:rsidR="007402E6" w:rsidRPr="00A90E89" w:rsidRDefault="007402E6" w:rsidP="00A90E89"/>
    <w:p w14:paraId="5DEC7C14" w14:textId="5DE7A069" w:rsidR="007402E6" w:rsidRDefault="007402E6">
      <w:pPr>
        <w:spacing w:after="0"/>
      </w:pPr>
    </w:p>
    <w:p w14:paraId="4DEC63B2" w14:textId="3DCA27F5" w:rsidR="007402E6" w:rsidRDefault="007402E6" w:rsidP="00E8173F"/>
    <w:bookmarkStart w:id="0" w:name="_Toc181358839" w:displacedByCustomXml="next"/>
    <w:sdt>
      <w:sdtPr>
        <w:rPr>
          <w:rFonts w:eastAsia="Arial" w:cs="Open Sans"/>
          <w:color w:val="F37720"/>
          <w:kern w:val="0"/>
          <w:szCs w:val="20"/>
          <w:lang w:bidi="en-US"/>
          <w14:ligatures w14:val="none"/>
        </w:rPr>
        <w:id w:val="-937978753"/>
        <w:docPartObj>
          <w:docPartGallery w:val="Cover Pages"/>
          <w:docPartUnique/>
        </w:docPartObj>
      </w:sdtPr>
      <w:sdtEndPr>
        <w:rPr>
          <w:rFonts w:eastAsiaTheme="minorHAnsi"/>
          <w:color w:val="auto"/>
          <w:kern w:val="2"/>
          <w14:ligatures w14:val="standardContextual"/>
        </w:rPr>
      </w:sdtEndPr>
      <w:sdtContent>
        <w:p w14:paraId="1702AADD" w14:textId="77777777" w:rsidR="001E77BE" w:rsidRDefault="001E77BE" w:rsidP="001E77BE"/>
        <w:p w14:paraId="5C61A1D9" w14:textId="77777777" w:rsidR="001E77BE" w:rsidRDefault="001E77BE" w:rsidP="001E77BE"/>
        <w:p w14:paraId="288AD933" w14:textId="77777777" w:rsidR="001E77BE" w:rsidRDefault="001E77BE" w:rsidP="001E77BE">
          <w:pPr>
            <w:jc w:val="center"/>
          </w:pPr>
        </w:p>
        <w:p w14:paraId="71BB4B6C" w14:textId="77777777" w:rsidR="001E77BE" w:rsidRDefault="001E77BE" w:rsidP="001E77BE">
          <w:pPr>
            <w:pStyle w:val="Overline"/>
            <w:spacing w:before="0" w:after="0" w:line="240" w:lineRule="auto"/>
          </w:pPr>
          <w:r>
            <w:t>DESIGN Document</w:t>
          </w:r>
        </w:p>
        <w:p w14:paraId="39495C88" w14:textId="77777777" w:rsidR="001E77BE" w:rsidRDefault="001E77BE" w:rsidP="001E77BE"/>
        <w:p w14:paraId="4E6F8F45" w14:textId="49D87DDA" w:rsidR="001E77BE" w:rsidRDefault="00EE6573" w:rsidP="001E77BE">
          <w:pPr>
            <w:pStyle w:val="Title"/>
          </w:pPr>
          <w:r>
            <w:t>Journey to Modern Workplace</w:t>
          </w:r>
        </w:p>
        <w:p w14:paraId="468D76F2" w14:textId="77777777" w:rsidR="001E77BE" w:rsidRDefault="001E77BE" w:rsidP="001E77BE"/>
        <w:p w14:paraId="3C18FC0E" w14:textId="77777777" w:rsidR="001E77BE" w:rsidRDefault="001E77BE" w:rsidP="001E77BE">
          <w:r>
            <w:t>Peter Cashen &amp; Nic Fuller</w:t>
          </w:r>
        </w:p>
        <w:p w14:paraId="258A6C45" w14:textId="5C6F297F" w:rsidR="001E77BE" w:rsidRDefault="001E77BE" w:rsidP="001E77BE">
          <w:r>
            <w:t>Ju</w:t>
          </w:r>
          <w:r w:rsidR="00D434A3">
            <w:t>ly</w:t>
          </w:r>
          <w:r>
            <w:t xml:space="preserve"> 2025</w:t>
          </w:r>
        </w:p>
        <w:p w14:paraId="4A685BF9" w14:textId="77777777" w:rsidR="001E77BE" w:rsidRPr="00112A45" w:rsidRDefault="001E77BE" w:rsidP="001E77BE"/>
        <w:p w14:paraId="209D2F2F" w14:textId="77777777" w:rsidR="001E77BE" w:rsidRDefault="001E77BE" w:rsidP="001E77BE"/>
        <w:p w14:paraId="4927DBBD" w14:textId="77777777" w:rsidR="001E77BE" w:rsidRDefault="001E77BE" w:rsidP="001E77BE">
          <w:r>
            <w:br w:type="page"/>
          </w:r>
        </w:p>
        <w:p w14:paraId="1925CE4F" w14:textId="77777777" w:rsidR="001E77BE" w:rsidRDefault="001E77BE" w:rsidP="001E77BE">
          <w:pPr>
            <w:pStyle w:val="Heading1"/>
          </w:pPr>
          <w:bookmarkStart w:id="1" w:name="_Toc204071179"/>
          <w:r>
            <w:lastRenderedPageBreak/>
            <w:t>Table of Contents</w:t>
          </w:r>
          <w:bookmarkEnd w:id="1"/>
        </w:p>
        <w:p w14:paraId="44DE5069" w14:textId="61CAAC6A" w:rsidR="002719C0" w:rsidRDefault="009C10B1">
          <w:pPr>
            <w:pStyle w:val="TOC1"/>
            <w:tabs>
              <w:tab w:val="right" w:leader="dot" w:pos="9016"/>
            </w:tabs>
            <w:rPr>
              <w:rFonts w:asciiTheme="minorHAnsi" w:eastAsiaTheme="minorEastAsia" w:hAnsiTheme="minorHAnsi" w:cstheme="minorBidi"/>
              <w:bCs w:val="0"/>
              <w:iCs w:val="0"/>
              <w:noProof/>
              <w:color w:val="auto"/>
              <w:lang w:eastAsia="en-GB"/>
            </w:rPr>
          </w:pPr>
          <w:r>
            <w:rPr>
              <w:bCs w:val="0"/>
              <w:iCs w:val="0"/>
            </w:rPr>
            <w:fldChar w:fldCharType="begin"/>
          </w:r>
          <w:r>
            <w:rPr>
              <w:bCs w:val="0"/>
              <w:iCs w:val="0"/>
            </w:rPr>
            <w:instrText xml:space="preserve"> TOC \o "1-1" </w:instrText>
          </w:r>
          <w:r>
            <w:rPr>
              <w:bCs w:val="0"/>
              <w:iCs w:val="0"/>
            </w:rPr>
            <w:fldChar w:fldCharType="separate"/>
          </w:r>
          <w:r w:rsidR="002719C0">
            <w:rPr>
              <w:noProof/>
            </w:rPr>
            <w:t>Table of Contents</w:t>
          </w:r>
          <w:r w:rsidR="002719C0">
            <w:rPr>
              <w:noProof/>
            </w:rPr>
            <w:tab/>
          </w:r>
          <w:r w:rsidR="002719C0">
            <w:rPr>
              <w:noProof/>
            </w:rPr>
            <w:fldChar w:fldCharType="begin"/>
          </w:r>
          <w:r w:rsidR="002719C0">
            <w:rPr>
              <w:noProof/>
            </w:rPr>
            <w:instrText xml:space="preserve"> PAGEREF _Toc204071179 \h </w:instrText>
          </w:r>
          <w:r w:rsidR="002719C0">
            <w:rPr>
              <w:noProof/>
            </w:rPr>
          </w:r>
          <w:r w:rsidR="002719C0">
            <w:rPr>
              <w:noProof/>
            </w:rPr>
            <w:fldChar w:fldCharType="separate"/>
          </w:r>
          <w:r w:rsidR="002719C0">
            <w:rPr>
              <w:noProof/>
            </w:rPr>
            <w:t>1</w:t>
          </w:r>
          <w:r w:rsidR="002719C0">
            <w:rPr>
              <w:noProof/>
            </w:rPr>
            <w:fldChar w:fldCharType="end"/>
          </w:r>
        </w:p>
        <w:p w14:paraId="1FBFB57F" w14:textId="7860FF8A"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1.</w:t>
          </w:r>
          <w:r>
            <w:rPr>
              <w:rFonts w:asciiTheme="minorHAnsi" w:eastAsiaTheme="minorEastAsia" w:hAnsiTheme="minorHAnsi" w:cstheme="minorBidi"/>
              <w:bCs w:val="0"/>
              <w:iCs w:val="0"/>
              <w:noProof/>
              <w:color w:val="auto"/>
              <w:lang w:eastAsia="en-GB"/>
            </w:rPr>
            <w:tab/>
          </w:r>
          <w:r>
            <w:rPr>
              <w:noProof/>
              <w:lang w:bidi="en-US"/>
            </w:rPr>
            <w:t>Executive Summary</w:t>
          </w:r>
          <w:r>
            <w:rPr>
              <w:noProof/>
            </w:rPr>
            <w:tab/>
          </w:r>
          <w:r>
            <w:rPr>
              <w:noProof/>
            </w:rPr>
            <w:fldChar w:fldCharType="begin"/>
          </w:r>
          <w:r>
            <w:rPr>
              <w:noProof/>
            </w:rPr>
            <w:instrText xml:space="preserve"> PAGEREF _Toc204071180 \h </w:instrText>
          </w:r>
          <w:r>
            <w:rPr>
              <w:noProof/>
            </w:rPr>
          </w:r>
          <w:r>
            <w:rPr>
              <w:noProof/>
            </w:rPr>
            <w:fldChar w:fldCharType="separate"/>
          </w:r>
          <w:r>
            <w:rPr>
              <w:noProof/>
            </w:rPr>
            <w:t>3</w:t>
          </w:r>
          <w:r>
            <w:rPr>
              <w:noProof/>
            </w:rPr>
            <w:fldChar w:fldCharType="end"/>
          </w:r>
        </w:p>
        <w:p w14:paraId="18A28B73" w14:textId="57BA803B"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2.</w:t>
          </w:r>
          <w:r>
            <w:rPr>
              <w:rFonts w:asciiTheme="minorHAnsi" w:eastAsiaTheme="minorEastAsia" w:hAnsiTheme="minorHAnsi" w:cstheme="minorBidi"/>
              <w:bCs w:val="0"/>
              <w:iCs w:val="0"/>
              <w:noProof/>
              <w:color w:val="auto"/>
              <w:lang w:eastAsia="en-GB"/>
            </w:rPr>
            <w:tab/>
          </w:r>
          <w:r>
            <w:rPr>
              <w:noProof/>
              <w:lang w:bidi="en-US"/>
            </w:rPr>
            <w:t>Current State Overview</w:t>
          </w:r>
          <w:r>
            <w:rPr>
              <w:noProof/>
            </w:rPr>
            <w:tab/>
          </w:r>
          <w:r>
            <w:rPr>
              <w:noProof/>
            </w:rPr>
            <w:fldChar w:fldCharType="begin"/>
          </w:r>
          <w:r>
            <w:rPr>
              <w:noProof/>
            </w:rPr>
            <w:instrText xml:space="preserve"> PAGEREF _Toc204071181 \h </w:instrText>
          </w:r>
          <w:r>
            <w:rPr>
              <w:noProof/>
            </w:rPr>
          </w:r>
          <w:r>
            <w:rPr>
              <w:noProof/>
            </w:rPr>
            <w:fldChar w:fldCharType="separate"/>
          </w:r>
          <w:r>
            <w:rPr>
              <w:noProof/>
            </w:rPr>
            <w:t>3</w:t>
          </w:r>
          <w:r>
            <w:rPr>
              <w:noProof/>
            </w:rPr>
            <w:fldChar w:fldCharType="end"/>
          </w:r>
        </w:p>
        <w:p w14:paraId="2ECC8B1A" w14:textId="3F9414EB"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3.</w:t>
          </w:r>
          <w:r>
            <w:rPr>
              <w:rFonts w:asciiTheme="minorHAnsi" w:eastAsiaTheme="minorEastAsia" w:hAnsiTheme="minorHAnsi" w:cstheme="minorBidi"/>
              <w:bCs w:val="0"/>
              <w:iCs w:val="0"/>
              <w:noProof/>
              <w:color w:val="auto"/>
              <w:lang w:eastAsia="en-GB"/>
            </w:rPr>
            <w:tab/>
          </w:r>
          <w:r>
            <w:rPr>
              <w:noProof/>
              <w:lang w:bidi="en-US"/>
            </w:rPr>
            <w:t>Target State Vision (PC)</w:t>
          </w:r>
          <w:r>
            <w:rPr>
              <w:noProof/>
            </w:rPr>
            <w:tab/>
          </w:r>
          <w:r>
            <w:rPr>
              <w:noProof/>
            </w:rPr>
            <w:fldChar w:fldCharType="begin"/>
          </w:r>
          <w:r>
            <w:rPr>
              <w:noProof/>
            </w:rPr>
            <w:instrText xml:space="preserve"> PAGEREF _Toc204071182 \h </w:instrText>
          </w:r>
          <w:r>
            <w:rPr>
              <w:noProof/>
            </w:rPr>
          </w:r>
          <w:r>
            <w:rPr>
              <w:noProof/>
            </w:rPr>
            <w:fldChar w:fldCharType="separate"/>
          </w:r>
          <w:r>
            <w:rPr>
              <w:noProof/>
            </w:rPr>
            <w:t>19</w:t>
          </w:r>
          <w:r>
            <w:rPr>
              <w:noProof/>
            </w:rPr>
            <w:fldChar w:fldCharType="end"/>
          </w:r>
        </w:p>
        <w:p w14:paraId="7801337E" w14:textId="44DFCF68"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4.</w:t>
          </w:r>
          <w:r>
            <w:rPr>
              <w:rFonts w:asciiTheme="minorHAnsi" w:eastAsiaTheme="minorEastAsia" w:hAnsiTheme="minorHAnsi" w:cstheme="minorBidi"/>
              <w:bCs w:val="0"/>
              <w:iCs w:val="0"/>
              <w:noProof/>
              <w:color w:val="auto"/>
              <w:lang w:eastAsia="en-GB"/>
            </w:rPr>
            <w:tab/>
          </w:r>
          <w:r>
            <w:rPr>
              <w:noProof/>
              <w:lang w:bidi="en-US"/>
            </w:rPr>
            <w:t>Key Prerequisites (NF)</w:t>
          </w:r>
          <w:r>
            <w:rPr>
              <w:noProof/>
            </w:rPr>
            <w:tab/>
          </w:r>
          <w:r>
            <w:rPr>
              <w:noProof/>
            </w:rPr>
            <w:fldChar w:fldCharType="begin"/>
          </w:r>
          <w:r>
            <w:rPr>
              <w:noProof/>
            </w:rPr>
            <w:instrText xml:space="preserve"> PAGEREF _Toc204071183 \h </w:instrText>
          </w:r>
          <w:r>
            <w:rPr>
              <w:noProof/>
            </w:rPr>
          </w:r>
          <w:r>
            <w:rPr>
              <w:noProof/>
            </w:rPr>
            <w:fldChar w:fldCharType="separate"/>
          </w:r>
          <w:r>
            <w:rPr>
              <w:noProof/>
            </w:rPr>
            <w:t>20</w:t>
          </w:r>
          <w:r>
            <w:rPr>
              <w:noProof/>
            </w:rPr>
            <w:fldChar w:fldCharType="end"/>
          </w:r>
        </w:p>
        <w:p w14:paraId="61215AD0" w14:textId="6C742B75"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5.</w:t>
          </w:r>
          <w:r>
            <w:rPr>
              <w:rFonts w:asciiTheme="minorHAnsi" w:eastAsiaTheme="minorEastAsia" w:hAnsiTheme="minorHAnsi" w:cstheme="minorBidi"/>
              <w:bCs w:val="0"/>
              <w:iCs w:val="0"/>
              <w:noProof/>
              <w:color w:val="auto"/>
              <w:lang w:eastAsia="en-GB"/>
            </w:rPr>
            <w:tab/>
          </w:r>
          <w:r>
            <w:rPr>
              <w:noProof/>
              <w:lang w:bidi="en-US"/>
            </w:rPr>
            <w:t>Critical Decisions &amp; Planning Considerations (NF)</w:t>
          </w:r>
          <w:r>
            <w:rPr>
              <w:noProof/>
            </w:rPr>
            <w:tab/>
          </w:r>
          <w:r>
            <w:rPr>
              <w:noProof/>
            </w:rPr>
            <w:fldChar w:fldCharType="begin"/>
          </w:r>
          <w:r>
            <w:rPr>
              <w:noProof/>
            </w:rPr>
            <w:instrText xml:space="preserve"> PAGEREF _Toc204071184 \h </w:instrText>
          </w:r>
          <w:r>
            <w:rPr>
              <w:noProof/>
            </w:rPr>
          </w:r>
          <w:r>
            <w:rPr>
              <w:noProof/>
            </w:rPr>
            <w:fldChar w:fldCharType="separate"/>
          </w:r>
          <w:r>
            <w:rPr>
              <w:noProof/>
            </w:rPr>
            <w:t>25</w:t>
          </w:r>
          <w:r>
            <w:rPr>
              <w:noProof/>
            </w:rPr>
            <w:fldChar w:fldCharType="end"/>
          </w:r>
        </w:p>
        <w:p w14:paraId="57A5C915" w14:textId="7D447DD8"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6.</w:t>
          </w:r>
          <w:r>
            <w:rPr>
              <w:rFonts w:asciiTheme="minorHAnsi" w:eastAsiaTheme="minorEastAsia" w:hAnsiTheme="minorHAnsi" w:cstheme="minorBidi"/>
              <w:bCs w:val="0"/>
              <w:iCs w:val="0"/>
              <w:noProof/>
              <w:color w:val="auto"/>
              <w:lang w:eastAsia="en-GB"/>
            </w:rPr>
            <w:tab/>
          </w:r>
          <w:r>
            <w:rPr>
              <w:noProof/>
              <w:lang w:bidi="en-US"/>
            </w:rPr>
            <w:t>Modern Management Foundations to Implement (PC)</w:t>
          </w:r>
          <w:r>
            <w:rPr>
              <w:noProof/>
            </w:rPr>
            <w:tab/>
          </w:r>
          <w:r>
            <w:rPr>
              <w:noProof/>
            </w:rPr>
            <w:fldChar w:fldCharType="begin"/>
          </w:r>
          <w:r>
            <w:rPr>
              <w:noProof/>
            </w:rPr>
            <w:instrText xml:space="preserve"> PAGEREF _Toc204071185 \h </w:instrText>
          </w:r>
          <w:r>
            <w:rPr>
              <w:noProof/>
            </w:rPr>
          </w:r>
          <w:r>
            <w:rPr>
              <w:noProof/>
            </w:rPr>
            <w:fldChar w:fldCharType="separate"/>
          </w:r>
          <w:r>
            <w:rPr>
              <w:noProof/>
            </w:rPr>
            <w:t>32</w:t>
          </w:r>
          <w:r>
            <w:rPr>
              <w:noProof/>
            </w:rPr>
            <w:fldChar w:fldCharType="end"/>
          </w:r>
        </w:p>
        <w:p w14:paraId="0E201D93" w14:textId="659EF80E"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7.</w:t>
          </w:r>
          <w:r>
            <w:rPr>
              <w:rFonts w:asciiTheme="minorHAnsi" w:eastAsiaTheme="minorEastAsia" w:hAnsiTheme="minorHAnsi" w:cstheme="minorBidi"/>
              <w:bCs w:val="0"/>
              <w:iCs w:val="0"/>
              <w:noProof/>
              <w:color w:val="auto"/>
              <w:lang w:eastAsia="en-GB"/>
            </w:rPr>
            <w:tab/>
          </w:r>
          <w:r>
            <w:rPr>
              <w:noProof/>
              <w:lang w:bidi="en-US"/>
            </w:rPr>
            <w:t>Application Modernisation</w:t>
          </w:r>
          <w:r>
            <w:rPr>
              <w:noProof/>
            </w:rPr>
            <w:tab/>
          </w:r>
          <w:r>
            <w:rPr>
              <w:noProof/>
            </w:rPr>
            <w:fldChar w:fldCharType="begin"/>
          </w:r>
          <w:r>
            <w:rPr>
              <w:noProof/>
            </w:rPr>
            <w:instrText xml:space="preserve"> PAGEREF _Toc204071186 \h </w:instrText>
          </w:r>
          <w:r>
            <w:rPr>
              <w:noProof/>
            </w:rPr>
          </w:r>
          <w:r>
            <w:rPr>
              <w:noProof/>
            </w:rPr>
            <w:fldChar w:fldCharType="separate"/>
          </w:r>
          <w:r>
            <w:rPr>
              <w:noProof/>
            </w:rPr>
            <w:t>33</w:t>
          </w:r>
          <w:r>
            <w:rPr>
              <w:noProof/>
            </w:rPr>
            <w:fldChar w:fldCharType="end"/>
          </w:r>
        </w:p>
        <w:p w14:paraId="011B35F2" w14:textId="567B9761"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8.</w:t>
          </w:r>
          <w:r>
            <w:rPr>
              <w:rFonts w:asciiTheme="minorHAnsi" w:eastAsiaTheme="minorEastAsia" w:hAnsiTheme="minorHAnsi" w:cstheme="minorBidi"/>
              <w:bCs w:val="0"/>
              <w:iCs w:val="0"/>
              <w:noProof/>
              <w:color w:val="auto"/>
              <w:lang w:eastAsia="en-GB"/>
            </w:rPr>
            <w:tab/>
          </w:r>
          <w:r>
            <w:rPr>
              <w:noProof/>
              <w:lang w:bidi="en-US"/>
            </w:rPr>
            <w:t>Windows Update for Business</w:t>
          </w:r>
          <w:r>
            <w:rPr>
              <w:noProof/>
            </w:rPr>
            <w:tab/>
          </w:r>
          <w:r>
            <w:rPr>
              <w:noProof/>
            </w:rPr>
            <w:fldChar w:fldCharType="begin"/>
          </w:r>
          <w:r>
            <w:rPr>
              <w:noProof/>
            </w:rPr>
            <w:instrText xml:space="preserve"> PAGEREF _Toc204071187 \h </w:instrText>
          </w:r>
          <w:r>
            <w:rPr>
              <w:noProof/>
            </w:rPr>
          </w:r>
          <w:r>
            <w:rPr>
              <w:noProof/>
            </w:rPr>
            <w:fldChar w:fldCharType="separate"/>
          </w:r>
          <w:r>
            <w:rPr>
              <w:noProof/>
            </w:rPr>
            <w:t>33</w:t>
          </w:r>
          <w:r>
            <w:rPr>
              <w:noProof/>
            </w:rPr>
            <w:fldChar w:fldCharType="end"/>
          </w:r>
        </w:p>
        <w:p w14:paraId="0BF13878" w14:textId="570D8AD6"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9.</w:t>
          </w:r>
          <w:r>
            <w:rPr>
              <w:rFonts w:asciiTheme="minorHAnsi" w:eastAsiaTheme="minorEastAsia" w:hAnsiTheme="minorHAnsi" w:cstheme="minorBidi"/>
              <w:bCs w:val="0"/>
              <w:iCs w:val="0"/>
              <w:noProof/>
              <w:color w:val="auto"/>
              <w:lang w:eastAsia="en-GB"/>
            </w:rPr>
            <w:tab/>
          </w:r>
          <w:r>
            <w:rPr>
              <w:noProof/>
              <w:lang w:bidi="en-US"/>
            </w:rPr>
            <w:t>User Data and Enterprise State Roaming</w:t>
          </w:r>
          <w:r>
            <w:rPr>
              <w:noProof/>
            </w:rPr>
            <w:tab/>
          </w:r>
          <w:r>
            <w:rPr>
              <w:noProof/>
            </w:rPr>
            <w:fldChar w:fldCharType="begin"/>
          </w:r>
          <w:r>
            <w:rPr>
              <w:noProof/>
            </w:rPr>
            <w:instrText xml:space="preserve"> PAGEREF _Toc204071188 \h </w:instrText>
          </w:r>
          <w:r>
            <w:rPr>
              <w:noProof/>
            </w:rPr>
          </w:r>
          <w:r>
            <w:rPr>
              <w:noProof/>
            </w:rPr>
            <w:fldChar w:fldCharType="separate"/>
          </w:r>
          <w:r>
            <w:rPr>
              <w:noProof/>
            </w:rPr>
            <w:t>33</w:t>
          </w:r>
          <w:r>
            <w:rPr>
              <w:noProof/>
            </w:rPr>
            <w:fldChar w:fldCharType="end"/>
          </w:r>
        </w:p>
        <w:p w14:paraId="401005DF" w14:textId="75E7E722"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10.</w:t>
          </w:r>
          <w:r>
            <w:rPr>
              <w:rFonts w:asciiTheme="minorHAnsi" w:eastAsiaTheme="minorEastAsia" w:hAnsiTheme="minorHAnsi" w:cstheme="minorBidi"/>
              <w:bCs w:val="0"/>
              <w:iCs w:val="0"/>
              <w:noProof/>
              <w:color w:val="auto"/>
              <w:lang w:eastAsia="en-GB"/>
            </w:rPr>
            <w:tab/>
          </w:r>
          <w:r>
            <w:rPr>
              <w:noProof/>
              <w:lang w:bidi="en-US"/>
            </w:rPr>
            <w:t>Security and Endpoint Protection</w:t>
          </w:r>
          <w:r>
            <w:rPr>
              <w:noProof/>
            </w:rPr>
            <w:tab/>
          </w:r>
          <w:r>
            <w:rPr>
              <w:noProof/>
            </w:rPr>
            <w:fldChar w:fldCharType="begin"/>
          </w:r>
          <w:r>
            <w:rPr>
              <w:noProof/>
            </w:rPr>
            <w:instrText xml:space="preserve"> PAGEREF _Toc204071189 \h </w:instrText>
          </w:r>
          <w:r>
            <w:rPr>
              <w:noProof/>
            </w:rPr>
          </w:r>
          <w:r>
            <w:rPr>
              <w:noProof/>
            </w:rPr>
            <w:fldChar w:fldCharType="separate"/>
          </w:r>
          <w:r>
            <w:rPr>
              <w:noProof/>
            </w:rPr>
            <w:t>33</w:t>
          </w:r>
          <w:r>
            <w:rPr>
              <w:noProof/>
            </w:rPr>
            <w:fldChar w:fldCharType="end"/>
          </w:r>
        </w:p>
        <w:p w14:paraId="41BE1CC8" w14:textId="3E0A3C9E"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11.</w:t>
          </w:r>
          <w:r>
            <w:rPr>
              <w:rFonts w:asciiTheme="minorHAnsi" w:eastAsiaTheme="minorEastAsia" w:hAnsiTheme="minorHAnsi" w:cstheme="minorBidi"/>
              <w:bCs w:val="0"/>
              <w:iCs w:val="0"/>
              <w:noProof/>
              <w:color w:val="auto"/>
              <w:lang w:eastAsia="en-GB"/>
            </w:rPr>
            <w:tab/>
          </w:r>
          <w:r>
            <w:rPr>
              <w:noProof/>
              <w:lang w:bidi="en-US"/>
            </w:rPr>
            <w:t>Device Lifecycle Management</w:t>
          </w:r>
          <w:r>
            <w:rPr>
              <w:noProof/>
            </w:rPr>
            <w:tab/>
          </w:r>
          <w:r>
            <w:rPr>
              <w:noProof/>
            </w:rPr>
            <w:fldChar w:fldCharType="begin"/>
          </w:r>
          <w:r>
            <w:rPr>
              <w:noProof/>
            </w:rPr>
            <w:instrText xml:space="preserve"> PAGEREF _Toc204071190 \h </w:instrText>
          </w:r>
          <w:r>
            <w:rPr>
              <w:noProof/>
            </w:rPr>
          </w:r>
          <w:r>
            <w:rPr>
              <w:noProof/>
            </w:rPr>
            <w:fldChar w:fldCharType="separate"/>
          </w:r>
          <w:r>
            <w:rPr>
              <w:noProof/>
            </w:rPr>
            <w:t>33</w:t>
          </w:r>
          <w:r>
            <w:rPr>
              <w:noProof/>
            </w:rPr>
            <w:fldChar w:fldCharType="end"/>
          </w:r>
        </w:p>
        <w:p w14:paraId="356301DE" w14:textId="6AC5C7D3"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12.</w:t>
          </w:r>
          <w:r>
            <w:rPr>
              <w:rFonts w:asciiTheme="minorHAnsi" w:eastAsiaTheme="minorEastAsia" w:hAnsiTheme="minorHAnsi" w:cstheme="minorBidi"/>
              <w:bCs w:val="0"/>
              <w:iCs w:val="0"/>
              <w:noProof/>
              <w:color w:val="auto"/>
              <w:lang w:eastAsia="en-GB"/>
            </w:rPr>
            <w:tab/>
          </w:r>
          <w:r>
            <w:rPr>
              <w:noProof/>
              <w:lang w:bidi="en-US"/>
            </w:rPr>
            <w:t>Reporting, Monitoring &amp; Ongoing Support</w:t>
          </w:r>
          <w:r>
            <w:rPr>
              <w:noProof/>
            </w:rPr>
            <w:tab/>
          </w:r>
          <w:r>
            <w:rPr>
              <w:noProof/>
            </w:rPr>
            <w:fldChar w:fldCharType="begin"/>
          </w:r>
          <w:r>
            <w:rPr>
              <w:noProof/>
            </w:rPr>
            <w:instrText xml:space="preserve"> PAGEREF _Toc204071191 \h </w:instrText>
          </w:r>
          <w:r>
            <w:rPr>
              <w:noProof/>
            </w:rPr>
          </w:r>
          <w:r>
            <w:rPr>
              <w:noProof/>
            </w:rPr>
            <w:fldChar w:fldCharType="separate"/>
          </w:r>
          <w:r>
            <w:rPr>
              <w:noProof/>
            </w:rPr>
            <w:t>34</w:t>
          </w:r>
          <w:r>
            <w:rPr>
              <w:noProof/>
            </w:rPr>
            <w:fldChar w:fldCharType="end"/>
          </w:r>
        </w:p>
        <w:p w14:paraId="324B79FD" w14:textId="66FAE28E"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13.</w:t>
          </w:r>
          <w:r>
            <w:rPr>
              <w:rFonts w:asciiTheme="minorHAnsi" w:eastAsiaTheme="minorEastAsia" w:hAnsiTheme="minorHAnsi" w:cstheme="minorBidi"/>
              <w:bCs w:val="0"/>
              <w:iCs w:val="0"/>
              <w:noProof/>
              <w:color w:val="auto"/>
              <w:lang w:eastAsia="en-GB"/>
            </w:rPr>
            <w:tab/>
          </w:r>
          <w:r>
            <w:rPr>
              <w:noProof/>
              <w:lang w:bidi="en-US"/>
            </w:rPr>
            <w:t>Change Management &amp; User Communication</w:t>
          </w:r>
          <w:r>
            <w:rPr>
              <w:noProof/>
            </w:rPr>
            <w:tab/>
          </w:r>
          <w:r>
            <w:rPr>
              <w:noProof/>
            </w:rPr>
            <w:fldChar w:fldCharType="begin"/>
          </w:r>
          <w:r>
            <w:rPr>
              <w:noProof/>
            </w:rPr>
            <w:instrText xml:space="preserve"> PAGEREF _Toc204071192 \h </w:instrText>
          </w:r>
          <w:r>
            <w:rPr>
              <w:noProof/>
            </w:rPr>
          </w:r>
          <w:r>
            <w:rPr>
              <w:noProof/>
            </w:rPr>
            <w:fldChar w:fldCharType="separate"/>
          </w:r>
          <w:r>
            <w:rPr>
              <w:noProof/>
            </w:rPr>
            <w:t>34</w:t>
          </w:r>
          <w:r>
            <w:rPr>
              <w:noProof/>
            </w:rPr>
            <w:fldChar w:fldCharType="end"/>
          </w:r>
        </w:p>
        <w:p w14:paraId="1493BEAC" w14:textId="3BBF996E"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14.</w:t>
          </w:r>
          <w:r>
            <w:rPr>
              <w:rFonts w:asciiTheme="minorHAnsi" w:eastAsiaTheme="minorEastAsia" w:hAnsiTheme="minorHAnsi" w:cstheme="minorBidi"/>
              <w:bCs w:val="0"/>
              <w:iCs w:val="0"/>
              <w:noProof/>
              <w:color w:val="auto"/>
              <w:lang w:eastAsia="en-GB"/>
            </w:rPr>
            <w:tab/>
          </w:r>
          <w:r>
            <w:rPr>
              <w:noProof/>
              <w:lang w:bidi="en-US"/>
            </w:rPr>
            <w:t>Pilot &amp; Rollout Strategy</w:t>
          </w:r>
          <w:r>
            <w:rPr>
              <w:noProof/>
            </w:rPr>
            <w:tab/>
          </w:r>
          <w:r>
            <w:rPr>
              <w:noProof/>
            </w:rPr>
            <w:fldChar w:fldCharType="begin"/>
          </w:r>
          <w:r>
            <w:rPr>
              <w:noProof/>
            </w:rPr>
            <w:instrText xml:space="preserve"> PAGEREF _Toc204071193 \h </w:instrText>
          </w:r>
          <w:r>
            <w:rPr>
              <w:noProof/>
            </w:rPr>
          </w:r>
          <w:r>
            <w:rPr>
              <w:noProof/>
            </w:rPr>
            <w:fldChar w:fldCharType="separate"/>
          </w:r>
          <w:r>
            <w:rPr>
              <w:noProof/>
            </w:rPr>
            <w:t>34</w:t>
          </w:r>
          <w:r>
            <w:rPr>
              <w:noProof/>
            </w:rPr>
            <w:fldChar w:fldCharType="end"/>
          </w:r>
        </w:p>
        <w:p w14:paraId="03068536" w14:textId="540669F2"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15.</w:t>
          </w:r>
          <w:r>
            <w:rPr>
              <w:rFonts w:asciiTheme="minorHAnsi" w:eastAsiaTheme="minorEastAsia" w:hAnsiTheme="minorHAnsi" w:cstheme="minorBidi"/>
              <w:bCs w:val="0"/>
              <w:iCs w:val="0"/>
              <w:noProof/>
              <w:color w:val="auto"/>
              <w:lang w:eastAsia="en-GB"/>
            </w:rPr>
            <w:tab/>
          </w:r>
          <w:r>
            <w:rPr>
              <w:noProof/>
              <w:lang w:bidi="en-US"/>
            </w:rPr>
            <w:t>Known Challenges and Mitigations</w:t>
          </w:r>
          <w:r>
            <w:rPr>
              <w:noProof/>
            </w:rPr>
            <w:tab/>
          </w:r>
          <w:r>
            <w:rPr>
              <w:noProof/>
            </w:rPr>
            <w:fldChar w:fldCharType="begin"/>
          </w:r>
          <w:r>
            <w:rPr>
              <w:noProof/>
            </w:rPr>
            <w:instrText xml:space="preserve"> PAGEREF _Toc204071194 \h </w:instrText>
          </w:r>
          <w:r>
            <w:rPr>
              <w:noProof/>
            </w:rPr>
          </w:r>
          <w:r>
            <w:rPr>
              <w:noProof/>
            </w:rPr>
            <w:fldChar w:fldCharType="separate"/>
          </w:r>
          <w:r>
            <w:rPr>
              <w:noProof/>
            </w:rPr>
            <w:t>34</w:t>
          </w:r>
          <w:r>
            <w:rPr>
              <w:noProof/>
            </w:rPr>
            <w:fldChar w:fldCharType="end"/>
          </w:r>
        </w:p>
        <w:p w14:paraId="2C3108FD" w14:textId="52CB4D0D" w:rsidR="002719C0" w:rsidRDefault="002719C0">
          <w:pPr>
            <w:pStyle w:val="TOC1"/>
            <w:tabs>
              <w:tab w:val="left" w:pos="600"/>
              <w:tab w:val="right" w:leader="dot" w:pos="9016"/>
            </w:tabs>
            <w:rPr>
              <w:rFonts w:asciiTheme="minorHAnsi" w:eastAsiaTheme="minorEastAsia" w:hAnsiTheme="minorHAnsi" w:cstheme="minorBidi"/>
              <w:bCs w:val="0"/>
              <w:iCs w:val="0"/>
              <w:noProof/>
              <w:color w:val="auto"/>
              <w:lang w:eastAsia="en-GB"/>
            </w:rPr>
          </w:pPr>
          <w:r>
            <w:rPr>
              <w:noProof/>
              <w:lang w:bidi="en-US"/>
            </w:rPr>
            <w:t>16.</w:t>
          </w:r>
          <w:r>
            <w:rPr>
              <w:rFonts w:asciiTheme="minorHAnsi" w:eastAsiaTheme="minorEastAsia" w:hAnsiTheme="minorHAnsi" w:cstheme="minorBidi"/>
              <w:bCs w:val="0"/>
              <w:iCs w:val="0"/>
              <w:noProof/>
              <w:color w:val="auto"/>
              <w:lang w:eastAsia="en-GB"/>
            </w:rPr>
            <w:tab/>
          </w:r>
          <w:r>
            <w:rPr>
              <w:noProof/>
              <w:lang w:bidi="en-US"/>
            </w:rPr>
            <w:t>Implementation Checklist</w:t>
          </w:r>
          <w:r>
            <w:rPr>
              <w:noProof/>
            </w:rPr>
            <w:tab/>
          </w:r>
          <w:r>
            <w:rPr>
              <w:noProof/>
            </w:rPr>
            <w:fldChar w:fldCharType="begin"/>
          </w:r>
          <w:r>
            <w:rPr>
              <w:noProof/>
            </w:rPr>
            <w:instrText xml:space="preserve"> PAGEREF _Toc204071195 \h </w:instrText>
          </w:r>
          <w:r>
            <w:rPr>
              <w:noProof/>
            </w:rPr>
          </w:r>
          <w:r>
            <w:rPr>
              <w:noProof/>
            </w:rPr>
            <w:fldChar w:fldCharType="separate"/>
          </w:r>
          <w:r>
            <w:rPr>
              <w:noProof/>
            </w:rPr>
            <w:t>35</w:t>
          </w:r>
          <w:r>
            <w:rPr>
              <w:noProof/>
            </w:rPr>
            <w:fldChar w:fldCharType="end"/>
          </w:r>
        </w:p>
        <w:p w14:paraId="73A5DF33" w14:textId="7032975E" w:rsidR="001E77BE" w:rsidRDefault="009C10B1" w:rsidP="001E77BE">
          <w:r>
            <w:rPr>
              <w:rFonts w:cstheme="minorHAnsi"/>
              <w:bCs/>
              <w:iCs/>
              <w:sz w:val="24"/>
            </w:rPr>
            <w:fldChar w:fldCharType="end"/>
          </w:r>
        </w:p>
        <w:p w14:paraId="3D708D6E" w14:textId="77777777" w:rsidR="001E77BE" w:rsidRDefault="001E77BE" w:rsidP="001E77BE">
          <w:pPr>
            <w:rPr>
              <w:rFonts w:ascii="Montserrat" w:eastAsiaTheme="majorEastAsia" w:hAnsi="Montserrat" w:cstheme="majorBidi"/>
              <w:i/>
              <w:iCs/>
              <w:color w:val="C3560A" w:themeColor="accent1" w:themeShade="BF"/>
            </w:rPr>
          </w:pPr>
          <w:bookmarkStart w:id="2" w:name="_Toc304807040"/>
          <w:bookmarkStart w:id="3" w:name="_Toc173583643"/>
          <w:bookmarkStart w:id="4" w:name="_Toc68067487"/>
          <w:bookmarkStart w:id="5" w:name="_Toc73179688"/>
          <w:r>
            <w:rPr>
              <w:rFonts w:ascii="Montserrat" w:hAnsi="Montserrat"/>
            </w:rPr>
            <w:br w:type="page"/>
          </w:r>
        </w:p>
        <w:bookmarkEnd w:id="2"/>
        <w:bookmarkEnd w:id="3"/>
        <w:p w14:paraId="32601965" w14:textId="77777777" w:rsidR="00890915" w:rsidRPr="00384D59" w:rsidRDefault="00890915" w:rsidP="00890915">
          <w:pPr>
            <w:pStyle w:val="Heading2"/>
          </w:pPr>
          <w:r w:rsidRPr="00384D59">
            <w:lastRenderedPageBreak/>
            <w:t>Purpose</w:t>
          </w:r>
        </w:p>
        <w:p w14:paraId="2BBB0C70" w14:textId="1F40F422" w:rsidR="00890915" w:rsidRDefault="00890915" w:rsidP="00890915">
          <w:r>
            <w:t xml:space="preserve">This document is to provide a guide for planning for moving customers to a Modern Cloud managed Windows 11 workplace managed via Microsoft </w:t>
          </w:r>
          <w:r w:rsidR="00D434A3">
            <w:t>Intune</w:t>
          </w:r>
          <w:r>
            <w:t>.</w:t>
          </w:r>
        </w:p>
        <w:p w14:paraId="41D8E8DF" w14:textId="77777777" w:rsidR="00890915" w:rsidRPr="00384D59" w:rsidRDefault="00890915" w:rsidP="00890915">
          <w:pPr>
            <w:pStyle w:val="Heading2"/>
          </w:pPr>
          <w:r>
            <w:t xml:space="preserve">Abbreviations </w:t>
          </w:r>
        </w:p>
        <w:p w14:paraId="396A9817" w14:textId="77777777" w:rsidR="00890915" w:rsidRDefault="00890915" w:rsidP="00890915">
          <w:r w:rsidRPr="002926D7">
            <w:t>Several abbreviations are used throughout this document. The below table has been created to help clarify the meaning of each abbreviation:</w:t>
          </w:r>
        </w:p>
        <w:tbl>
          <w:tblPr>
            <w:tblStyle w:val="ListTable6ColourfulAccent2"/>
            <w:tblW w:w="9070" w:type="dxa"/>
            <w:tblBorders>
              <w:left w:val="single" w:sz="4" w:space="0" w:color="F6911E" w:themeColor="accent2"/>
              <w:right w:val="single" w:sz="4" w:space="0" w:color="F6911E" w:themeColor="accent2"/>
              <w:insideH w:val="single" w:sz="4" w:space="0" w:color="F6911E" w:themeColor="accent2"/>
              <w:insideV w:val="single" w:sz="4" w:space="0" w:color="F6911E" w:themeColor="accent2"/>
            </w:tblBorders>
            <w:tblLook w:val="04A0" w:firstRow="1" w:lastRow="0" w:firstColumn="1" w:lastColumn="0" w:noHBand="0" w:noVBand="1"/>
          </w:tblPr>
          <w:tblGrid>
            <w:gridCol w:w="4535"/>
            <w:gridCol w:w="4535"/>
          </w:tblGrid>
          <w:tr w:rsidR="00890915" w14:paraId="71B14A45" w14:textId="7777777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535" w:type="dxa"/>
                <w:vAlign w:val="center"/>
              </w:tcPr>
              <w:p w14:paraId="49598578" w14:textId="77777777" w:rsidR="00890915" w:rsidRDefault="00890915" w:rsidP="009A0A65">
                <w:pPr>
                  <w:pStyle w:val="Heading5"/>
                </w:pPr>
                <w:r>
                  <w:t xml:space="preserve">Abbreviation </w:t>
                </w:r>
              </w:p>
            </w:tc>
            <w:tc>
              <w:tcPr>
                <w:tcW w:w="4535" w:type="dxa"/>
                <w:vAlign w:val="center"/>
              </w:tcPr>
              <w:p w14:paraId="0A6221A4" w14:textId="77777777" w:rsidR="00890915" w:rsidRDefault="00890915" w:rsidP="009A0A65">
                <w:pPr>
                  <w:pStyle w:val="Heading5"/>
                  <w:cnfStyle w:val="100000000000" w:firstRow="1" w:lastRow="0" w:firstColumn="0" w:lastColumn="0" w:oddVBand="0" w:evenVBand="0" w:oddHBand="0" w:evenHBand="0" w:firstRowFirstColumn="0" w:firstRowLastColumn="0" w:lastRowFirstColumn="0" w:lastRowLastColumn="0"/>
                </w:pPr>
                <w:r>
                  <w:t xml:space="preserve">Definition </w:t>
                </w:r>
              </w:p>
            </w:tc>
          </w:tr>
          <w:tr w:rsidR="00890915" w:rsidRPr="00000D62" w14:paraId="5D196093" w14:textId="7777777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535" w:type="dxa"/>
                <w:vAlign w:val="center"/>
                <w:hideMark/>
              </w:tcPr>
              <w:p w14:paraId="397B3406" w14:textId="77777777" w:rsidR="00890915" w:rsidRPr="00000D62" w:rsidRDefault="00890915">
                <w:pPr>
                  <w:spacing w:after="80"/>
                  <w:rPr>
                    <w:b w:val="0"/>
                    <w:bCs w:val="0"/>
                  </w:rPr>
                </w:pPr>
                <w:r>
                  <w:rPr>
                    <w:b w:val="0"/>
                    <w:bCs w:val="0"/>
                  </w:rPr>
                  <w:t>Example</w:t>
                </w:r>
              </w:p>
            </w:tc>
            <w:tc>
              <w:tcPr>
                <w:tcW w:w="4535" w:type="dxa"/>
                <w:vAlign w:val="center"/>
                <w:hideMark/>
              </w:tcPr>
              <w:p w14:paraId="4687A6DE" w14:textId="77777777" w:rsidR="00890915" w:rsidRPr="00000D62" w:rsidRDefault="00890915">
                <w:pPr>
                  <w:spacing w:after="80"/>
                  <w:cnfStyle w:val="000000100000" w:firstRow="0" w:lastRow="0" w:firstColumn="0" w:lastColumn="0" w:oddVBand="0" w:evenVBand="0" w:oddHBand="1" w:evenHBand="0" w:firstRowFirstColumn="0" w:firstRowLastColumn="0" w:lastRowFirstColumn="0" w:lastRowLastColumn="0"/>
                </w:pPr>
                <w:r>
                  <w:t>Example</w:t>
                </w:r>
              </w:p>
            </w:tc>
          </w:tr>
        </w:tbl>
        <w:p w14:paraId="319ABDA5" w14:textId="77777777" w:rsidR="00890915" w:rsidRDefault="00890915" w:rsidP="00890915"/>
        <w:p w14:paraId="186A3F68" w14:textId="77777777" w:rsidR="00890915" w:rsidRDefault="00890915" w:rsidP="00890915">
          <w:pPr>
            <w:pStyle w:val="Heading2"/>
          </w:pPr>
          <w:r>
            <w:t>Document Approvals</w:t>
          </w:r>
        </w:p>
        <w:tbl>
          <w:tblPr>
            <w:tblStyle w:val="ListTable6ColourfulAccent2"/>
            <w:tblW w:w="9183" w:type="dxa"/>
            <w:tblBorders>
              <w:left w:val="single" w:sz="4" w:space="0" w:color="F6911E" w:themeColor="accent2"/>
              <w:right w:val="single" w:sz="4" w:space="0" w:color="F6911E" w:themeColor="accent2"/>
              <w:insideH w:val="single" w:sz="4" w:space="0" w:color="F6911E" w:themeColor="accent2"/>
              <w:insideV w:val="single" w:sz="4" w:space="0" w:color="F6911E" w:themeColor="accent2"/>
            </w:tblBorders>
            <w:tblLook w:val="04A0" w:firstRow="1" w:lastRow="0" w:firstColumn="1" w:lastColumn="0" w:noHBand="0" w:noVBand="1"/>
          </w:tblPr>
          <w:tblGrid>
            <w:gridCol w:w="2567"/>
            <w:gridCol w:w="2623"/>
            <w:gridCol w:w="3993"/>
          </w:tblGrid>
          <w:tr w:rsidR="00890915" w14:paraId="7281D7E4" w14:textId="7777777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67" w:type="dxa"/>
                <w:vAlign w:val="center"/>
              </w:tcPr>
              <w:p w14:paraId="3F0F31CD" w14:textId="77777777" w:rsidR="00890915" w:rsidRDefault="00890915" w:rsidP="009A0A65">
                <w:pPr>
                  <w:pStyle w:val="Heading5"/>
                </w:pPr>
                <w:r>
                  <w:t>Name</w:t>
                </w:r>
              </w:p>
            </w:tc>
            <w:tc>
              <w:tcPr>
                <w:tcW w:w="2623" w:type="dxa"/>
                <w:vAlign w:val="center"/>
              </w:tcPr>
              <w:p w14:paraId="44F66814" w14:textId="77777777" w:rsidR="00890915" w:rsidRDefault="00890915" w:rsidP="009A0A65">
                <w:pPr>
                  <w:pStyle w:val="Heading5"/>
                  <w:cnfStyle w:val="100000000000" w:firstRow="1" w:lastRow="0" w:firstColumn="0" w:lastColumn="0" w:oddVBand="0" w:evenVBand="0" w:oddHBand="0" w:evenHBand="0" w:firstRowFirstColumn="0" w:firstRowLastColumn="0" w:lastRowFirstColumn="0" w:lastRowLastColumn="0"/>
                </w:pPr>
                <w:r>
                  <w:t xml:space="preserve"> Job Title</w:t>
                </w:r>
              </w:p>
            </w:tc>
            <w:tc>
              <w:tcPr>
                <w:tcW w:w="3993" w:type="dxa"/>
                <w:vAlign w:val="center"/>
              </w:tcPr>
              <w:p w14:paraId="3C03A29B" w14:textId="77777777" w:rsidR="00890915" w:rsidRDefault="00890915" w:rsidP="009A0A65">
                <w:pPr>
                  <w:pStyle w:val="Heading5"/>
                  <w:cnfStyle w:val="100000000000" w:firstRow="1" w:lastRow="0" w:firstColumn="0" w:lastColumn="0" w:oddVBand="0" w:evenVBand="0" w:oddHBand="0" w:evenHBand="0" w:firstRowFirstColumn="0" w:firstRowLastColumn="0" w:lastRowFirstColumn="0" w:lastRowLastColumn="0"/>
                </w:pPr>
                <w:r>
                  <w:t>Email</w:t>
                </w:r>
              </w:p>
            </w:tc>
          </w:tr>
          <w:tr w:rsidR="00890915" w:rsidRPr="00000D62" w14:paraId="08A872E5" w14:textId="7777777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67" w:type="dxa"/>
                <w:vAlign w:val="center"/>
                <w:hideMark/>
              </w:tcPr>
              <w:p w14:paraId="7A443FE2" w14:textId="77777777" w:rsidR="00890915" w:rsidRPr="00000D62" w:rsidRDefault="00890915">
                <w:pPr>
                  <w:spacing w:after="80"/>
                  <w:rPr>
                    <w:b w:val="0"/>
                    <w:bCs w:val="0"/>
                  </w:rPr>
                </w:pPr>
                <w:r w:rsidRPr="00970AAB">
                  <w:rPr>
                    <w:b w:val="0"/>
                    <w:bCs w:val="0"/>
                  </w:rPr>
                  <w:t>Dan Lewis</w:t>
                </w:r>
              </w:p>
            </w:tc>
            <w:tc>
              <w:tcPr>
                <w:tcW w:w="2623" w:type="dxa"/>
                <w:vAlign w:val="center"/>
                <w:hideMark/>
              </w:tcPr>
              <w:p w14:paraId="2753BD42" w14:textId="77777777" w:rsidR="00890915" w:rsidRPr="00000D62" w:rsidRDefault="00890915">
                <w:pPr>
                  <w:spacing w:after="80"/>
                  <w:cnfStyle w:val="000000100000" w:firstRow="0" w:lastRow="0" w:firstColumn="0" w:lastColumn="0" w:oddVBand="0" w:evenVBand="0" w:oddHBand="1" w:evenHBand="0" w:firstRowFirstColumn="0" w:firstRowLastColumn="0" w:lastRowFirstColumn="0" w:lastRowLastColumn="0"/>
                </w:pPr>
                <w:r w:rsidRPr="00182E21">
                  <w:t>Managing Lead Architect</w:t>
                </w:r>
              </w:p>
            </w:tc>
            <w:tc>
              <w:tcPr>
                <w:tcW w:w="3993" w:type="dxa"/>
                <w:vAlign w:val="center"/>
              </w:tcPr>
              <w:p w14:paraId="52906611" w14:textId="77777777" w:rsidR="00890915" w:rsidRPr="00000D62" w:rsidRDefault="00890915">
                <w:pPr>
                  <w:spacing w:after="80"/>
                  <w:cnfStyle w:val="000000100000" w:firstRow="0" w:lastRow="0" w:firstColumn="0" w:lastColumn="0" w:oddVBand="0" w:evenVBand="0" w:oddHBand="1" w:evenHBand="0" w:firstRowFirstColumn="0" w:firstRowLastColumn="0" w:lastRowFirstColumn="0" w:lastRowLastColumn="0"/>
                </w:pPr>
                <w:r w:rsidRPr="00182E21">
                  <w:t>dan.lewis@oneadvanced.com</w:t>
                </w:r>
              </w:p>
            </w:tc>
          </w:tr>
          <w:tr w:rsidR="00890915" w:rsidRPr="00000D62" w14:paraId="779C036D" w14:textId="77777777">
            <w:trPr>
              <w:trHeight w:val="510"/>
            </w:trPr>
            <w:tc>
              <w:tcPr>
                <w:cnfStyle w:val="001000000000" w:firstRow="0" w:lastRow="0" w:firstColumn="1" w:lastColumn="0" w:oddVBand="0" w:evenVBand="0" w:oddHBand="0" w:evenHBand="0" w:firstRowFirstColumn="0" w:firstRowLastColumn="0" w:lastRowFirstColumn="0" w:lastRowLastColumn="0"/>
                <w:tcW w:w="2567" w:type="dxa"/>
                <w:vAlign w:val="center"/>
              </w:tcPr>
              <w:p w14:paraId="414C7111" w14:textId="77777777" w:rsidR="00890915" w:rsidRPr="00000D62" w:rsidRDefault="00890915">
                <w:pPr>
                  <w:spacing w:after="80"/>
                  <w:rPr>
                    <w:b w:val="0"/>
                    <w:bCs w:val="0"/>
                  </w:rPr>
                </w:pPr>
              </w:p>
            </w:tc>
            <w:tc>
              <w:tcPr>
                <w:tcW w:w="2623" w:type="dxa"/>
                <w:vAlign w:val="center"/>
              </w:tcPr>
              <w:p w14:paraId="2C9A63A8" w14:textId="77777777" w:rsidR="00890915" w:rsidRPr="00000D62" w:rsidRDefault="00890915">
                <w:pPr>
                  <w:spacing w:after="80"/>
                  <w:cnfStyle w:val="000000000000" w:firstRow="0" w:lastRow="0" w:firstColumn="0" w:lastColumn="0" w:oddVBand="0" w:evenVBand="0" w:oddHBand="0" w:evenHBand="0" w:firstRowFirstColumn="0" w:firstRowLastColumn="0" w:lastRowFirstColumn="0" w:lastRowLastColumn="0"/>
                </w:pPr>
              </w:p>
            </w:tc>
            <w:tc>
              <w:tcPr>
                <w:tcW w:w="3993" w:type="dxa"/>
                <w:vAlign w:val="center"/>
              </w:tcPr>
              <w:p w14:paraId="39EDECA3" w14:textId="77777777" w:rsidR="00890915" w:rsidRPr="00000D62" w:rsidRDefault="00890915">
                <w:pPr>
                  <w:spacing w:after="80"/>
                  <w:cnfStyle w:val="000000000000" w:firstRow="0" w:lastRow="0" w:firstColumn="0" w:lastColumn="0" w:oddVBand="0" w:evenVBand="0" w:oddHBand="0" w:evenHBand="0" w:firstRowFirstColumn="0" w:firstRowLastColumn="0" w:lastRowFirstColumn="0" w:lastRowLastColumn="0"/>
                </w:pPr>
              </w:p>
            </w:tc>
          </w:tr>
        </w:tbl>
        <w:p w14:paraId="373C611D" w14:textId="77777777" w:rsidR="00890915" w:rsidRPr="00F6480C" w:rsidRDefault="00890915" w:rsidP="00890915">
          <w:pPr>
            <w:pStyle w:val="Heading2"/>
          </w:pPr>
          <w:r>
            <w:t>Version Control</w:t>
          </w:r>
        </w:p>
        <w:tbl>
          <w:tblPr>
            <w:tblStyle w:val="ListTable6ColourfulAccent2"/>
            <w:tblW w:w="9044" w:type="dxa"/>
            <w:tblBorders>
              <w:left w:val="single" w:sz="4" w:space="0" w:color="F6911E" w:themeColor="accent2"/>
              <w:right w:val="single" w:sz="4" w:space="0" w:color="F6911E" w:themeColor="accent2"/>
              <w:insideH w:val="single" w:sz="4" w:space="0" w:color="F6911E" w:themeColor="accent2"/>
              <w:insideV w:val="single" w:sz="4" w:space="0" w:color="F6911E" w:themeColor="accent2"/>
            </w:tblBorders>
            <w:tblLook w:val="04A0" w:firstRow="1" w:lastRow="0" w:firstColumn="1" w:lastColumn="0" w:noHBand="0" w:noVBand="1"/>
          </w:tblPr>
          <w:tblGrid>
            <w:gridCol w:w="2261"/>
            <w:gridCol w:w="2261"/>
            <w:gridCol w:w="2261"/>
            <w:gridCol w:w="2261"/>
          </w:tblGrid>
          <w:tr w:rsidR="00890915" w14:paraId="48D94CC1" w14:textId="77777777">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22665A65" w14:textId="77777777" w:rsidR="00890915" w:rsidRDefault="00890915" w:rsidP="009A0A65">
                <w:pPr>
                  <w:pStyle w:val="Heading5"/>
                </w:pPr>
                <w:r>
                  <w:t>Date</w:t>
                </w:r>
              </w:p>
            </w:tc>
            <w:tc>
              <w:tcPr>
                <w:tcW w:w="2261" w:type="dxa"/>
                <w:vAlign w:val="center"/>
              </w:tcPr>
              <w:p w14:paraId="4BA6ABC2" w14:textId="77777777" w:rsidR="00890915" w:rsidRDefault="00890915" w:rsidP="009A0A65">
                <w:pPr>
                  <w:pStyle w:val="Heading5"/>
                  <w:cnfStyle w:val="100000000000" w:firstRow="1" w:lastRow="0" w:firstColumn="0" w:lastColumn="0" w:oddVBand="0" w:evenVBand="0" w:oddHBand="0" w:evenHBand="0" w:firstRowFirstColumn="0" w:firstRowLastColumn="0" w:lastRowFirstColumn="0" w:lastRowLastColumn="0"/>
                </w:pPr>
                <w:r>
                  <w:t>Version</w:t>
                </w:r>
              </w:p>
            </w:tc>
            <w:tc>
              <w:tcPr>
                <w:tcW w:w="2261" w:type="dxa"/>
                <w:vAlign w:val="center"/>
              </w:tcPr>
              <w:p w14:paraId="54180DDD" w14:textId="77777777" w:rsidR="00890915" w:rsidRDefault="00890915" w:rsidP="009A0A65">
                <w:pPr>
                  <w:pStyle w:val="Heading5"/>
                  <w:cnfStyle w:val="100000000000" w:firstRow="1" w:lastRow="0" w:firstColumn="0" w:lastColumn="0" w:oddVBand="0" w:evenVBand="0" w:oddHBand="0" w:evenHBand="0" w:firstRowFirstColumn="0" w:firstRowLastColumn="0" w:lastRowFirstColumn="0" w:lastRowLastColumn="0"/>
                </w:pPr>
                <w:r>
                  <w:t>Issued by</w:t>
                </w:r>
              </w:p>
            </w:tc>
            <w:tc>
              <w:tcPr>
                <w:tcW w:w="2261" w:type="dxa"/>
                <w:vAlign w:val="center"/>
              </w:tcPr>
              <w:p w14:paraId="39D8AFB4" w14:textId="77777777" w:rsidR="00890915" w:rsidRDefault="00890915" w:rsidP="009A0A65">
                <w:pPr>
                  <w:pStyle w:val="Heading5"/>
                  <w:cnfStyle w:val="100000000000" w:firstRow="1" w:lastRow="0" w:firstColumn="0" w:lastColumn="0" w:oddVBand="0" w:evenVBand="0" w:oddHBand="0" w:evenHBand="0" w:firstRowFirstColumn="0" w:firstRowLastColumn="0" w:lastRowFirstColumn="0" w:lastRowLastColumn="0"/>
                </w:pPr>
                <w:r>
                  <w:t>Changes</w:t>
                </w:r>
              </w:p>
            </w:tc>
          </w:tr>
          <w:tr w:rsidR="007C29EB" w14:paraId="44FC1CE6" w14:textId="77777777">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53626313" w14:textId="77777777" w:rsidR="00890915" w:rsidRPr="00970AAB" w:rsidRDefault="00890915">
                <w:pPr>
                  <w:spacing w:after="80"/>
                  <w:rPr>
                    <w:b w:val="0"/>
                    <w:bCs w:val="0"/>
                  </w:rPr>
                </w:pPr>
              </w:p>
            </w:tc>
            <w:tc>
              <w:tcPr>
                <w:tcW w:w="2261" w:type="dxa"/>
                <w:vAlign w:val="center"/>
              </w:tcPr>
              <w:p w14:paraId="007FBD60" w14:textId="77777777" w:rsidR="00890915" w:rsidRDefault="00890915">
                <w:pPr>
                  <w:spacing w:after="80"/>
                  <w:cnfStyle w:val="000000100000" w:firstRow="0" w:lastRow="0" w:firstColumn="0" w:lastColumn="0" w:oddVBand="0" w:evenVBand="0" w:oddHBand="1" w:evenHBand="0" w:firstRowFirstColumn="0" w:firstRowLastColumn="0" w:lastRowFirstColumn="0" w:lastRowLastColumn="0"/>
                </w:pPr>
              </w:p>
            </w:tc>
            <w:tc>
              <w:tcPr>
                <w:tcW w:w="2261" w:type="dxa"/>
                <w:vAlign w:val="center"/>
              </w:tcPr>
              <w:p w14:paraId="3F90CDD0" w14:textId="77777777" w:rsidR="00890915" w:rsidRDefault="00890915">
                <w:pPr>
                  <w:spacing w:after="80"/>
                  <w:cnfStyle w:val="000000100000" w:firstRow="0" w:lastRow="0" w:firstColumn="0" w:lastColumn="0" w:oddVBand="0" w:evenVBand="0" w:oddHBand="1" w:evenHBand="0" w:firstRowFirstColumn="0" w:firstRowLastColumn="0" w:lastRowFirstColumn="0" w:lastRowLastColumn="0"/>
                </w:pPr>
              </w:p>
            </w:tc>
            <w:tc>
              <w:tcPr>
                <w:tcW w:w="2261" w:type="dxa"/>
                <w:vAlign w:val="center"/>
              </w:tcPr>
              <w:p w14:paraId="31347869" w14:textId="77777777" w:rsidR="00890915" w:rsidRDefault="00890915">
                <w:pPr>
                  <w:spacing w:after="80"/>
                  <w:cnfStyle w:val="000000100000" w:firstRow="0" w:lastRow="0" w:firstColumn="0" w:lastColumn="0" w:oddVBand="0" w:evenVBand="0" w:oddHBand="1" w:evenHBand="0" w:firstRowFirstColumn="0" w:firstRowLastColumn="0" w:lastRowFirstColumn="0" w:lastRowLastColumn="0"/>
                </w:pPr>
              </w:p>
            </w:tc>
          </w:tr>
        </w:tbl>
        <w:p w14:paraId="372434C6" w14:textId="77777777" w:rsidR="001E77BE" w:rsidRPr="009C15CA" w:rsidRDefault="001E77BE" w:rsidP="001E77BE">
          <w:pPr>
            <w:rPr>
              <w:rFonts w:ascii="Montserrat" w:hAnsi="Montserrat"/>
            </w:rPr>
          </w:pPr>
        </w:p>
        <w:bookmarkEnd w:id="4"/>
        <w:bookmarkEnd w:id="5"/>
        <w:p w14:paraId="57F4BC5F" w14:textId="4B5253A6" w:rsidR="00007C4E" w:rsidRDefault="00007C4E">
          <w:pPr>
            <w:spacing w:before="0" w:after="0" w:line="240" w:lineRule="auto"/>
            <w:rPr>
              <w:rFonts w:ascii="Montserrat" w:hAnsi="Montserrat"/>
            </w:rPr>
          </w:pPr>
          <w:r>
            <w:rPr>
              <w:rFonts w:ascii="Montserrat" w:hAnsi="Montserrat"/>
            </w:rPr>
            <w:br w:type="page"/>
          </w:r>
        </w:p>
        <w:p w14:paraId="305FE45E" w14:textId="77777777" w:rsidR="00CD7948" w:rsidRPr="00007C4E" w:rsidRDefault="00CD7948" w:rsidP="00007C4E">
          <w:pPr>
            <w:spacing w:after="0" w:line="240" w:lineRule="auto"/>
            <w:rPr>
              <w:rFonts w:ascii="Montserrat" w:hAnsi="Montserrat"/>
            </w:rPr>
          </w:pPr>
        </w:p>
        <w:p w14:paraId="72856103" w14:textId="3423FB4C" w:rsidR="00CD7948" w:rsidRDefault="00CD7948" w:rsidP="00B40D32">
          <w:pPr>
            <w:pStyle w:val="1ANumberedHeading1"/>
          </w:pPr>
          <w:bookmarkStart w:id="6" w:name="_Toc204071180"/>
          <w:r>
            <w:t>Executive Summary</w:t>
          </w:r>
          <w:bookmarkEnd w:id="6"/>
        </w:p>
        <w:p w14:paraId="379E1CAB" w14:textId="30FBCA28" w:rsidR="008A31A8" w:rsidRPr="008A31A8" w:rsidRDefault="00CD7948" w:rsidP="0065025D">
          <w:pPr>
            <w:pStyle w:val="BulletRound"/>
            <w:rPr>
              <w:lang w:bidi="en-US"/>
            </w:rPr>
          </w:pPr>
          <w:r w:rsidRPr="008A31A8">
            <w:rPr>
              <w:lang w:bidi="en-US"/>
            </w:rPr>
            <w:t>Overview of the transition</w:t>
          </w:r>
        </w:p>
        <w:p w14:paraId="77286917" w14:textId="468721DE" w:rsidR="008A31A8" w:rsidRPr="008A31A8" w:rsidRDefault="00CD7948" w:rsidP="0065025D">
          <w:pPr>
            <w:pStyle w:val="BulletRound"/>
            <w:rPr>
              <w:lang w:bidi="en-US"/>
            </w:rPr>
          </w:pPr>
          <w:r w:rsidRPr="008A31A8">
            <w:rPr>
              <w:lang w:bidi="en-US"/>
            </w:rPr>
            <w:t>Benefits of moving to modern management</w:t>
          </w:r>
        </w:p>
        <w:p w14:paraId="14642EFC" w14:textId="01736F41" w:rsidR="00CD7948" w:rsidRDefault="00CD7948" w:rsidP="0065025D">
          <w:pPr>
            <w:pStyle w:val="BulletRound"/>
            <w:rPr>
              <w:lang w:bidi="en-US"/>
            </w:rPr>
          </w:pPr>
          <w:r w:rsidRPr="008A31A8">
            <w:rPr>
              <w:lang w:bidi="en-US"/>
            </w:rPr>
            <w:t xml:space="preserve">Scope and intended </w:t>
          </w:r>
          <w:r w:rsidR="005A4443" w:rsidRPr="008A31A8">
            <w:rPr>
              <w:lang w:bidi="en-US"/>
            </w:rPr>
            <w:t>audience.</w:t>
          </w:r>
        </w:p>
        <w:p w14:paraId="4DF60A00" w14:textId="1BFD716E" w:rsidR="000C60EC" w:rsidRPr="008A31A8" w:rsidRDefault="000C60EC" w:rsidP="0065025D">
          <w:pPr>
            <w:pStyle w:val="BulletRound"/>
            <w:rPr>
              <w:lang w:bidi="en-US"/>
            </w:rPr>
          </w:pPr>
          <w:r>
            <w:rPr>
              <w:lang w:bidi="en-US"/>
            </w:rPr>
            <w:t>Presales</w:t>
          </w:r>
          <w:r w:rsidR="00D42CAB">
            <w:rPr>
              <w:lang w:bidi="en-US"/>
            </w:rPr>
            <w:t xml:space="preserve"> – considerations, business requirement</w:t>
          </w:r>
        </w:p>
        <w:p w14:paraId="47265445" w14:textId="6187C293" w:rsidR="00CD7948" w:rsidRDefault="00CD7948" w:rsidP="00B40D32">
          <w:pPr>
            <w:pStyle w:val="1ANumberedHeading1"/>
          </w:pPr>
          <w:bookmarkStart w:id="7" w:name="_Toc204071181"/>
          <w:r>
            <w:t>Current State Overview</w:t>
          </w:r>
          <w:bookmarkEnd w:id="7"/>
        </w:p>
        <w:p w14:paraId="5C69118D" w14:textId="77777777" w:rsidR="00E8207F" w:rsidRPr="0075057C" w:rsidRDefault="00E8207F" w:rsidP="00BF58D3">
          <w:pPr>
            <w:pStyle w:val="1ABodyTextLevel1"/>
          </w:pPr>
          <w:r w:rsidRPr="0075057C">
            <w:t>Before embarking on the transition to a cloud-managed Modern Desktop environment, it is crucial to perform a thorough assessment of your organisation’s current desktop management setup. This Current State Overview section provides a structured approach to document all key aspects of the existing environment. By capturing details on devices, infrastructure, policies, and operations, IT planners can identify gaps and plan a smooth migration from an on-premises SCCM (</w:t>
          </w:r>
          <w:proofErr w:type="spellStart"/>
          <w:r w:rsidRPr="0075057C">
            <w:t>ConfigMgr</w:t>
          </w:r>
          <w:proofErr w:type="spellEnd"/>
          <w:r w:rsidRPr="0075057C">
            <w:t>) managed model to Intune (Microsoft Endpoint Manager) cloud management. Below, we break down the major domains to assess and the types of data to collect in each area, using clear subheadings and bullet points for readability.</w:t>
          </w:r>
        </w:p>
        <w:p w14:paraId="7C235D0F" w14:textId="4DDFA888" w:rsidR="00E8207F" w:rsidRDefault="00E8207F" w:rsidP="00E82C8F">
          <w:pPr>
            <w:pStyle w:val="1ANumberedHeading2"/>
          </w:pPr>
          <w:r>
            <w:t>Device Inventory</w:t>
          </w:r>
        </w:p>
        <w:p w14:paraId="73B60C05" w14:textId="5F133AA6" w:rsidR="00E8207F" w:rsidRDefault="00E8207F" w:rsidP="00BF58D3">
          <w:pPr>
            <w:pStyle w:val="1ABodyTextLevel1"/>
          </w:pPr>
          <w:r>
            <w:t xml:space="preserve">Begin by </w:t>
          </w:r>
          <w:r w:rsidR="002719C0">
            <w:t>cataloguing</w:t>
          </w:r>
          <w:r>
            <w:t xml:space="preserve"> all endpoint devices in scope. A comprehensive device inventory helps gauge the scale of the migration and spot any legacy endpoints that may need upgrades or special handling. Key data points to document include:</w:t>
          </w:r>
        </w:p>
        <w:p w14:paraId="29F81A86" w14:textId="53A92A9D" w:rsidR="00E8207F" w:rsidRPr="001A6B8B" w:rsidRDefault="00E8207F" w:rsidP="00BF58D3">
          <w:pPr>
            <w:pStyle w:val="1ABulletTextLevel2"/>
          </w:pPr>
          <w:r w:rsidRPr="001A6B8B">
            <w:t>Device Count and Types: Total number of client devices and their form factors (desktops, laptops, mobile devices, tablets, etc.). Include both corporate-owned and any BYOD/personal devices that access corporate resources.</w:t>
          </w:r>
        </w:p>
        <w:p w14:paraId="2E1E4027" w14:textId="0C45377D" w:rsidR="00E8207F" w:rsidRPr="001A6B8B" w:rsidRDefault="00E8207F" w:rsidP="00BF58D3">
          <w:pPr>
            <w:pStyle w:val="1ABulletTextLevel2"/>
          </w:pPr>
          <w:r w:rsidRPr="001A6B8B">
            <w:t>Hardware Details: For each device model, record specifications such as make/model, CPU, RAM, storage, and age or purchase date. Identify any aging hardware that may not meet Windows 10/11 requirements or might be due for refresh.</w:t>
          </w:r>
        </w:p>
        <w:p w14:paraId="598FD7DB" w14:textId="72EECAE8" w:rsidR="00E8207F" w:rsidRPr="001A6B8B" w:rsidRDefault="00E8207F" w:rsidP="00BF58D3">
          <w:pPr>
            <w:pStyle w:val="1ABulletTextLevel2"/>
          </w:pPr>
          <w:r w:rsidRPr="001A6B8B">
            <w:t xml:space="preserve"> Operating System Versions: List the OS platform and version on each device (e.g., Windows 10 22H2, Windows 11, macOS, etc.). Highlight devices running outdated or unsupported OS </w:t>
          </w:r>
          <w:r w:rsidR="005A4443" w:rsidRPr="001A6B8B">
            <w:t>versions,</w:t>
          </w:r>
          <w:r w:rsidRPr="001A6B8B">
            <w:t xml:space="preserve"> for example, any remaining Windows 7/8 systems should be flagged for upgrade or replacement. Modern cloud management via Intune requires Windows 10 or later for full support.</w:t>
          </w:r>
        </w:p>
        <w:p w14:paraId="7E58D588" w14:textId="3018057A" w:rsidR="00E8207F" w:rsidRPr="001A6B8B" w:rsidRDefault="00C01E7E" w:rsidP="00BF58D3">
          <w:pPr>
            <w:pStyle w:val="1ABulletTextLevel2"/>
          </w:pPr>
          <w:r w:rsidRPr="001A6B8B">
            <w:t>Enrolment</w:t>
          </w:r>
          <w:r w:rsidR="00E8207F" w:rsidRPr="001A6B8B">
            <w:t xml:space="preserve">/Join Status: Note each device’s identity state: domain-joined to on-prem AD, Azure AD-joined, Hybrid Azure AD-joined, or Azure AD registered. This will indicate readiness for Intune </w:t>
          </w:r>
          <w:r w:rsidRPr="001A6B8B">
            <w:t>enrolment</w:t>
          </w:r>
          <w:r w:rsidR="00E8207F" w:rsidRPr="001A6B8B">
            <w:t xml:space="preserve"> (since Intune primarily manages Azure AD-joined or </w:t>
          </w:r>
          <w:r w:rsidR="00E8207F" w:rsidRPr="001A6B8B">
            <w:lastRenderedPageBreak/>
            <w:t>hybrid-joined devices). If devices are not yet Azure AD-aware, plan for steps to integrate them into Azure AD.</w:t>
          </w:r>
        </w:p>
        <w:p w14:paraId="3104AE9B" w14:textId="4E00FD4F" w:rsidR="00E8207F" w:rsidRPr="001A6B8B" w:rsidRDefault="00E8207F" w:rsidP="00BF58D3">
          <w:pPr>
            <w:pStyle w:val="1ABulletTextLevel2"/>
          </w:pPr>
          <w:r w:rsidRPr="001A6B8B">
            <w:t xml:space="preserve">Usage and Locations: If available, include information on where devices are used (office, remote, specific regions) and usage patterns. This can help in planning content distribution and support (for example, a large population of remote laptops might necessitate different </w:t>
          </w:r>
          <w:r w:rsidR="00C01E7E" w:rsidRPr="001A6B8B">
            <w:t>enrolment</w:t>
          </w:r>
          <w:r w:rsidRPr="001A6B8B">
            <w:t xml:space="preserve"> strategies).</w:t>
          </w:r>
        </w:p>
        <w:p w14:paraId="1BAB2EE0" w14:textId="77777777" w:rsidR="00E8207F" w:rsidRDefault="00E8207F" w:rsidP="00BF58D3">
          <w:pPr>
            <w:pStyle w:val="1ABodyTextLevel1"/>
          </w:pPr>
          <w:r>
            <w:t xml:space="preserve"> </w:t>
          </w:r>
        </w:p>
        <w:p w14:paraId="1132148E" w14:textId="77777777" w:rsidR="00E8207F" w:rsidRDefault="00E8207F" w:rsidP="00BF58D3">
          <w:pPr>
            <w:pStyle w:val="1ABodyTextLevel1"/>
          </w:pPr>
          <w:r>
            <w:t>Suggested tools: Leverage your existing SCCM database or asset management reports to export hardware and software inventory. SCCM’s hardware inventory can provide lists of devices with their OS and specs. Many organisations also run PowerShell scripts or use IT asset management tools to gather detailed inventories. Ensure the inventory encompasses all devices that will need management under Intune, including any that may not currently be in SCCM (e.g. remote users’ PCs not regularly connecting). This device inventory forms the foundation of your migration planning.</w:t>
          </w:r>
        </w:p>
        <w:p w14:paraId="494B4282" w14:textId="77777777" w:rsidR="00E8207F" w:rsidRDefault="00E8207F" w:rsidP="00BF58D3">
          <w:pPr>
            <w:pStyle w:val="1ABodyTextLevel1"/>
          </w:pPr>
          <w:r>
            <w:t xml:space="preserve"> </w:t>
          </w:r>
        </w:p>
        <w:p w14:paraId="1D0EE769" w14:textId="17C93DC0" w:rsidR="00E8207F" w:rsidRDefault="00E8207F" w:rsidP="00E82C8F">
          <w:pPr>
            <w:pStyle w:val="1ANumberedHeading2"/>
          </w:pPr>
          <w:r>
            <w:t>Configuration Manager (SCCM) Infrastructure</w:t>
          </w:r>
        </w:p>
        <w:p w14:paraId="5FD0603D" w14:textId="77777777" w:rsidR="00E8207F" w:rsidRDefault="00E8207F" w:rsidP="001D2029">
          <w:pPr>
            <w:pStyle w:val="1ABodyTextLevel2"/>
          </w:pPr>
          <w:r>
            <w:t>Document the current SCCM/MECM infrastructure and configuration that supports your legacy desktop management. This includes the architectural components, sites, and system roles that are in place on-premises. Key areas to assess and record:</w:t>
          </w:r>
        </w:p>
        <w:p w14:paraId="5808EDBC" w14:textId="78925BE3" w:rsidR="00E8207F" w:rsidRDefault="00E8207F" w:rsidP="00BF58D3">
          <w:pPr>
            <w:pStyle w:val="1ABulletTextLevel1"/>
          </w:pPr>
          <w:r>
            <w:t xml:space="preserve">Site Topology and Roles: Diagram or list your Configuration Manager hierarchy. Include the primary site (or central administration site if applicable) and any secondary sites. Enumerate all site system </w:t>
          </w:r>
          <w:r w:rsidR="005A4443">
            <w:t>roles,</w:t>
          </w:r>
          <w:r>
            <w:t xml:space="preserve"> e.g., management points, distribution points (DPs), software update points (SUP/WSUS), reporting services points, e</w:t>
          </w:r>
          <w:r w:rsidR="005A4443">
            <w:t>tc</w:t>
          </w:r>
          <w:r w:rsidR="007C497C">
            <w:t xml:space="preserve"> </w:t>
          </w:r>
          <w:r>
            <w:t>along with the servers hosting them and their locations. For each site server and role, capture the server OS version and hardware specs to understand the current hosting environment.</w:t>
          </w:r>
        </w:p>
        <w:p w14:paraId="69951C83" w14:textId="0A1675E6" w:rsidR="00E8207F" w:rsidRDefault="00E8207F" w:rsidP="00BF58D3">
          <w:pPr>
            <w:pStyle w:val="1ABulletTextLevel1"/>
          </w:pPr>
          <w:r>
            <w:t xml:space="preserve">SCCM Version and Health: Note the current SCCM build (version and build number) and the SQL Server version for the site database. Verify you are on a supported version and have applied recent updates. It’s also </w:t>
          </w:r>
          <w:proofErr w:type="gramStart"/>
          <w:r>
            <w:t>wise</w:t>
          </w:r>
          <w:proofErr w:type="gramEnd"/>
          <w:r>
            <w:t xml:space="preserve"> to check the health status of key components (site status, component status) and any known issues. For example, confirm that distribution points are healthy and content replication is working.</w:t>
          </w:r>
        </w:p>
        <w:p w14:paraId="1873B7EA" w14:textId="7C5B1798" w:rsidR="00E8207F" w:rsidRDefault="00E8207F" w:rsidP="00BF58D3">
          <w:pPr>
            <w:pStyle w:val="1ABulletTextLevel1"/>
          </w:pPr>
          <w:r>
            <w:t>Content Distribution Methods: Review how software and updates are distributed across your network today. Document the number and placement of DPs, any use of branch caching or peer-to-peer distribution, and whether cloud distribution (Cloud Distribution Point or Delivery Optimization) is in use. Identify network boundary groups and throttling settings used to control bandwidth. This information will help plan for content delivery in Intune (which relies more on internet distribution and Delivery Optimization).</w:t>
          </w:r>
        </w:p>
        <w:p w14:paraId="2A635C2F" w14:textId="6E5198BE" w:rsidR="00E8207F" w:rsidRDefault="00E8207F" w:rsidP="00BF58D3">
          <w:pPr>
            <w:pStyle w:val="1ABulletTextLevel1"/>
          </w:pPr>
          <w:r>
            <w:lastRenderedPageBreak/>
            <w:t>Client Details: Record the SCCM client agent deployment status across devices (what percentage of endpoints have the client installed and healthy). Also note client settings in effect (e.g., polling intervals, cache size, etc.) that might be relevant when transitioning to Intune policies.</w:t>
          </w:r>
        </w:p>
        <w:p w14:paraId="40D43830" w14:textId="123944E8" w:rsidR="00E8207F" w:rsidRDefault="00E8207F" w:rsidP="00BF58D3">
          <w:pPr>
            <w:pStyle w:val="1ABulletTextLevel1"/>
          </w:pPr>
          <w:r>
            <w:t>AD Integration and Schema Extensions: Verify if Active Directory schema was extended for SCCM and document any AD dependencies (like System Management container permissions). Also note the discovery methods in use (AD discovery for users/devices) and any forests being scanned. This indicates how tightly SCCM is woven into AD, which will shift as Intune uses Azure AD.</w:t>
          </w:r>
        </w:p>
        <w:p w14:paraId="461656AE" w14:textId="3F89E71C" w:rsidR="00E8207F" w:rsidRDefault="00E8207F" w:rsidP="00BF58D3">
          <w:pPr>
            <w:pStyle w:val="1ABulletTextLevel1"/>
          </w:pPr>
          <w:r>
            <w:t>Current Workloads and Integrations: List which endpoint management workloads SCCM is handling (software distribution, patching, OS imaging, compliance, etc.), and whether any of these are already offloaded or integrated with cloud services. For instance, note if Cloud Management Gateway (CMG) is deployed to manage internet-based clients, if Tenant Attach or co-management with Intune is already enabled for any devices, or if Desktop Analytics (now deprecated) was used for update planning. Also mention any integration with third-party tools (for software packaging, endpoint security, ITSM, etc.) that tie into SCCM. Each integration point may need reconfiguration or an Intune-compatible replacement in the new model.</w:t>
          </w:r>
        </w:p>
        <w:p w14:paraId="7122E3F7" w14:textId="6449CD13" w:rsidR="00E8207F" w:rsidRDefault="00E8207F" w:rsidP="001D2029">
          <w:pPr>
            <w:pStyle w:val="1ABodyTextLevel2"/>
          </w:pPr>
          <w:r>
            <w:t>By compiling a detailed picture of the SCCM infrastructure, you can plan which components will be retired, which might remain in co-management (if any), and ensure nothing critical is overlooked. (For example, documenting “Boundary Groups X and Y cover remote offices using on-prem DPs” will highlight that those offices might require additional internet bandwidth or use of Delivery Optimization when moved to cloud.)</w:t>
          </w:r>
        </w:p>
        <w:p w14:paraId="5B1F5C20" w14:textId="3C398D40" w:rsidR="00E8207F" w:rsidRDefault="00E8207F" w:rsidP="00E82C8F">
          <w:pPr>
            <w:pStyle w:val="1ANumberedHeading2"/>
          </w:pPr>
          <w:r>
            <w:t>Identity and Directory Services</w:t>
          </w:r>
        </w:p>
        <w:p w14:paraId="5D1E1DFA" w14:textId="77777777" w:rsidR="00E8207F" w:rsidRDefault="00E8207F" w:rsidP="001D2029">
          <w:pPr>
            <w:pStyle w:val="1ABodyTextLevel2"/>
          </w:pPr>
          <w:r>
            <w:t>Assess and document your current identity model for both users and devices, as this underpins authentication and access in a modern cloud-managed environment. Intune and other modern management tools are tightly integrated with Azure AD (Entra ID) for identity-driven control, so understanding your present directory setup is vital:</w:t>
          </w:r>
        </w:p>
        <w:p w14:paraId="6770DE4E" w14:textId="169BBA35" w:rsidR="00E8207F" w:rsidRDefault="00E8207F" w:rsidP="00BF58D3">
          <w:pPr>
            <w:pStyle w:val="1ABulletTextLevel1"/>
          </w:pPr>
          <w:r>
            <w:t xml:space="preserve">Active Directory (On-Premises): Describe your Active Directory </w:t>
          </w:r>
          <w:r w:rsidR="005A4443">
            <w:t>environment,</w:t>
          </w:r>
          <w:r>
            <w:t xml:space="preserve"> number of domains, forests, and the organisational unit (OU) structure used for computers and users. Note how devices are joined: most mid-large organisations have computers joined to AD domains. If multiple AD domains or forests exist, document trust relationships and how SCCM is interacting with each (SCCM discovery settings can reveal which domains/OU it manages).</w:t>
          </w:r>
        </w:p>
        <w:p w14:paraId="700D320C" w14:textId="15F19232" w:rsidR="00E8207F" w:rsidRDefault="00E8207F" w:rsidP="00BF58D3">
          <w:pPr>
            <w:pStyle w:val="1ABulletTextLevel1"/>
          </w:pPr>
          <w:r>
            <w:t xml:space="preserve">Azure AD (Entra ID): Indicate whether an Azure AD tenant is in place and if Azure AD Connect is syncing on-premises identities to Azure AD (most Office 365 or Microsoft 365 enterprises will have this). Confirm the identity synchronization status and if Hybrid </w:t>
          </w:r>
          <w:r>
            <w:lastRenderedPageBreak/>
            <w:t xml:space="preserve">Azure AD Join is enabled for Windows devices. Knowing the percentage of devices that are already Hybrid AAD joined versus purely on-prem AD joined will influence your Intune </w:t>
          </w:r>
          <w:r w:rsidR="00C01E7E">
            <w:t>enrolment</w:t>
          </w:r>
          <w:r>
            <w:t xml:space="preserve"> approach. If devices are only AD-joined currently, plan for enabling Hybrid join or moving to cloud join during the migration.</w:t>
          </w:r>
        </w:p>
        <w:p w14:paraId="4545DCC9" w14:textId="7AD2A4EF" w:rsidR="00E8207F" w:rsidRDefault="00E8207F" w:rsidP="00BF58D3">
          <w:pPr>
            <w:pStyle w:val="1ABulletTextLevel1"/>
          </w:pPr>
          <w:r>
            <w:t>User Identity and Authentication: Document how users currently authenticate to resources. For example, do you use AD FS or federation services for enabling cloud logon (which might be the case if using Office 365)? Are users leveraging multi-factor authentication today for any services? In a modern desktop scenario, Azure AD-based Conditional Access and MFA are common, so understanding current practices helps in planning equivalent or improved controls with Intune/Entra ID.</w:t>
          </w:r>
        </w:p>
        <w:p w14:paraId="2433F08D" w14:textId="45D62306" w:rsidR="00E8207F" w:rsidRDefault="00E8207F" w:rsidP="00BF58D3">
          <w:pPr>
            <w:pStyle w:val="1ABulletTextLevel1"/>
          </w:pPr>
          <w:r>
            <w:t xml:space="preserve">Groups and Role Structure: Inventory the AD security groups or distribution groups that are used for managing devices or users (e.g. groups used for software deployments, GPO filtering, or SCCM collections). </w:t>
          </w:r>
          <w:r w:rsidR="00C01E7E">
            <w:t>Analyse</w:t>
          </w:r>
          <w:r>
            <w:t xml:space="preserve"> your user and device </w:t>
          </w:r>
          <w:r w:rsidR="005A4443">
            <w:t>group’s</w:t>
          </w:r>
          <w:r>
            <w:t xml:space="preserve"> structure</w:t>
          </w:r>
          <w:r w:rsidR="007C497C">
            <w:t>,</w:t>
          </w:r>
          <w:r>
            <w:t xml:space="preserve"> this is important because Intune will use Azure AD groups (synced from AD or cloud-only) for targeting apps and policies. Note any dynamic grouping logic or complex nesting that might need to be recreated in Azure AD. Also, list any administrative roles or service accounts in AD that relate to device management (for example, any service accounts SCCM uses, or any delegation of AD permissions for managing computers).</w:t>
          </w:r>
        </w:p>
        <w:p w14:paraId="5196308D" w14:textId="228D012F" w:rsidR="00E8207F" w:rsidRDefault="00E8207F" w:rsidP="00BF58D3">
          <w:pPr>
            <w:pStyle w:val="1ABulletTextLevel1"/>
          </w:pPr>
          <w:r>
            <w:t>Identity Security Posture: Include any current identity-related security measures. For instance, if password policies or lockout policies are enforced via GPO, if smart card or certificate-based authentication is used for logon, or if there are naming conventions and tagging of device objects in AD. These details could affect how you design Azure AD join and Intune compliance policies. Additionally, note if any identities (user or device) are purely cloud (Azure AD only) as they will have no on-prem GPO/SCCM footprint but will need Intune policies.</w:t>
          </w:r>
        </w:p>
        <w:p w14:paraId="09D1739B" w14:textId="21DC1A1D" w:rsidR="00E8207F" w:rsidRDefault="00E8207F" w:rsidP="001D2029">
          <w:pPr>
            <w:pStyle w:val="1ABodyTextLevel2"/>
          </w:pPr>
          <w:r>
            <w:t xml:space="preserve">Ensuring that your Azure AD tenant is prepared is a key pre-migration step, Intune’s cloud management relies on it. In summary, capture the current state of AD/Azure AD integration so you can plan to transition policies and </w:t>
          </w:r>
          <w:r w:rsidR="004E3FAE">
            <w:t>enrolment</w:t>
          </w:r>
          <w:r>
            <w:t xml:space="preserve"> flows accordingly. For example, if many devices are not yet Hybrid Azure AD joined, you might include a phase to enable that for existing AD-joined machines to smooth their Intune </w:t>
          </w:r>
          <w:r w:rsidR="004E3FAE">
            <w:t>enrolment</w:t>
          </w:r>
          <w:r>
            <w:t>.</w:t>
          </w:r>
        </w:p>
        <w:p w14:paraId="739793F8" w14:textId="76C3EF81" w:rsidR="00E8207F" w:rsidRDefault="00E8207F" w:rsidP="001D2029">
          <w:pPr>
            <w:pStyle w:val="1ABodyTextLevel2"/>
          </w:pPr>
          <w:r>
            <w:t xml:space="preserve"> (Intune uses Azure AD for device registration and user targeting, so any gaps in syncing or Azure AD setup must be addressed before migration. The planning should also consider identity cleanup e.g. removing stale computer account</w:t>
          </w:r>
          <w:r w:rsidR="007C497C">
            <w:t>s</w:t>
          </w:r>
          <w:r>
            <w:t>, so the new environment has accurate device records.)</w:t>
          </w:r>
        </w:p>
        <w:p w14:paraId="44000EFA" w14:textId="0D0BE2BB" w:rsidR="00E8207F" w:rsidRDefault="00E8207F" w:rsidP="00E82C8F">
          <w:pPr>
            <w:pStyle w:val="1ANumberedHeading2"/>
          </w:pPr>
          <w:r>
            <w:t xml:space="preserve"> Group Policy and Configuration Settings</w:t>
          </w:r>
        </w:p>
        <w:p w14:paraId="535DE232" w14:textId="43E61C03" w:rsidR="00E8207F" w:rsidRDefault="00E8207F" w:rsidP="001D2029">
          <w:pPr>
            <w:pStyle w:val="1ABodyTextLevel2"/>
          </w:pPr>
          <w:r>
            <w:t xml:space="preserve">Most large organisations maintain numerous Group Policy Objects (GPOs) and configuration scripts to enforce settings on Windows PCs. As part of the current state assessment, inventory all GPOs and related configuration baselines that apply to your </w:t>
          </w:r>
          <w:r>
            <w:lastRenderedPageBreak/>
            <w:t xml:space="preserve">endpoints. This domain often requires careful analysis, since Intune’s MDM policies will eventually replace or </w:t>
          </w:r>
          <w:r w:rsidR="005A4443">
            <w:t>replicate</w:t>
          </w:r>
          <w:r>
            <w:t xml:space="preserve"> many of these settings. Key steps and data to collect:</w:t>
          </w:r>
        </w:p>
        <w:p w14:paraId="53BB875B" w14:textId="16732A77" w:rsidR="00E8207F" w:rsidRDefault="00E8207F" w:rsidP="00BF58D3">
          <w:pPr>
            <w:pStyle w:val="1ABulletTextLevel1"/>
          </w:pPr>
          <w:r>
            <w:t>GPO Inventory: Export a list of all GPOs in your Active Directory, especially those linked to the OUs containing client computers and those applied to users. Document the purpose of each GPO and major settings it enforces (e.g., security options, firewall rules, Internet Explorer settings, Office ADMX policies, etc.). Pay attention to GPOs critical for security (like password policies, BitLocker settings, Windows Update settings) and those configuring the user environment. This list will serve as a checklist for what needs to be mapped to Intune configuration profiles or compliance policies.</w:t>
          </w:r>
        </w:p>
        <w:p w14:paraId="5C449D2D" w14:textId="766701BE" w:rsidR="00E8207F" w:rsidRDefault="00E8207F" w:rsidP="00BF58D3">
          <w:pPr>
            <w:pStyle w:val="1ABulletTextLevel1"/>
          </w:pPr>
          <w:r>
            <w:t xml:space="preserve">Group Policy Analytics: Take advantage of tools to </w:t>
          </w:r>
          <w:r w:rsidR="004E3FAE">
            <w:t>analyse</w:t>
          </w:r>
          <w:r>
            <w:t xml:space="preserve"> GPOs for cloud compatibility. Microsoft provides Group Policy Analytics in Intune to evaluate which GPO settings are supported by MDM providers. By importing your GPOs into this tool, you can generate a report showing which settings have equivalent Intune policies, which might conflict, or which are not supported in modern management. The report will categorize GPOs or settings as “supported/ready for migration” vs. “not supported” (or deprecated), helping prioritize which policies can be moved to Intune and which will require an alternative solution. Make note of any GPOs that cannot be translated directly, for example, complex logon scripts or printer deployment policies</w:t>
          </w:r>
          <w:r w:rsidR="007C497C">
            <w:t>,</w:t>
          </w:r>
          <w:r>
            <w:t xml:space="preserve"> as these will need special consideration (such as replacing with Intune PowerShell scripts or new cloud-managed approaches).</w:t>
          </w:r>
        </w:p>
        <w:p w14:paraId="4F4EAF7F" w14:textId="5E977068" w:rsidR="00E8207F" w:rsidRDefault="00E8207F" w:rsidP="00BF58D3">
          <w:pPr>
            <w:pStyle w:val="1ABulletTextLevel1"/>
          </w:pPr>
          <w:r>
            <w:t>Security Baselines and Compliance Settings: If you use SCCM Configuration Baselines or scripts to enforce configuration (outside of GPO), list those as well. Some organisations implement CIS or STIG security baseline settings via GPO or SCCM baselines</w:t>
          </w:r>
          <w:r w:rsidR="007C497C">
            <w:t>,</w:t>
          </w:r>
          <w:r>
            <w:t xml:space="preserve"> ensure those settings are captured in your inventory. Intune offers Security Baselines templates and custom CSP policies, but you need to know which settings are currently in effect on your PCs to configure Intune accordingly.</w:t>
          </w:r>
        </w:p>
        <w:p w14:paraId="18AF8769" w14:textId="157C45B5" w:rsidR="00E8207F" w:rsidRDefault="00E8207F" w:rsidP="00BF58D3">
          <w:pPr>
            <w:pStyle w:val="1ABulletTextLevel1"/>
          </w:pPr>
          <w:r>
            <w:t>Local Policies &amp; Scripts: Document any local machine policies or startup/login scripts (for example, logon scripts that map drives or deploy apps). These may be implemented via GPO (User logon scripts) or via SCCM (e.g., as scheduled tasks or package installs). Identify what those scripts do, as Intune might require a different method (such as Intune PowerShell scripts or use of Azure AD login scripts) to achieve the same outcomes.</w:t>
          </w:r>
        </w:p>
        <w:p w14:paraId="20EA8CAE" w14:textId="340352D2" w:rsidR="00E8207F" w:rsidRDefault="00E8207F" w:rsidP="00BF58D3">
          <w:pPr>
            <w:pStyle w:val="1ABulletTextLevel1"/>
          </w:pPr>
          <w:r>
            <w:t xml:space="preserve">Administrative Templates in Intune: Be aware that many ADMX-backed settings can be configured through Intune’s Administrative Templates or Settings </w:t>
          </w:r>
          <w:r w:rsidR="00A51992">
            <w:t>Catalogue</w:t>
          </w:r>
          <w:r>
            <w:t xml:space="preserve"> if supported. As part of the GPO analysis, mark which settings are MDM-compatible. The goal is to create a mapping of current GPO settings to future Intune policies. Microsoft’s analytics tool can even automate migrating multiple GPOs to Intune configuration profiles (with a “best effort” migration), but it’s important to review the output carefully.</w:t>
          </w:r>
        </w:p>
        <w:p w14:paraId="3260E65D" w14:textId="04242AB1" w:rsidR="00E8207F" w:rsidRDefault="00E8207F" w:rsidP="00B35BEB">
          <w:pPr>
            <w:pStyle w:val="1ABulletTextLevel1"/>
          </w:pPr>
          <w:r>
            <w:t xml:space="preserve">Exceptions and Hard-to-Migrate Settings: Highlight any configuration that might not have a cloud-friendly equivalent. For example, GPOs that require the device to be on-prem </w:t>
          </w:r>
          <w:r>
            <w:lastRenderedPageBreak/>
            <w:t xml:space="preserve">(like certain software deployment GPOs or folder redirection policies) or settings that rely on on-prem infrastructure. These will need separate </w:t>
          </w:r>
          <w:r w:rsidR="00A51992">
            <w:t>planning,</w:t>
          </w:r>
          <w:r>
            <w:t xml:space="preserve"> e.g., replacing folder redirection with OneDrive Known Folder Move, replacing GPO software installs with Intune app push, etc. By listing these now, you can include them in the project plan for remediation or alternative solutions.</w:t>
          </w:r>
        </w:p>
        <w:p w14:paraId="4A725992" w14:textId="0DE4EC51" w:rsidR="00E8207F" w:rsidRDefault="00E8207F" w:rsidP="001D2029">
          <w:pPr>
            <w:pStyle w:val="1ABodyTextLevel2"/>
          </w:pPr>
          <w:r>
            <w:t xml:space="preserve">In summary, create a GPO-to-Intune matrix: for each major policy or setting, determine if it will be migrated, replaced, or retired. This ensures that moving to Intune won’t leave any important configuration unmanaged. It’s often useful to prioritize core security and compliance GPOs </w:t>
          </w:r>
          <w:r w:rsidR="00A51992">
            <w:t>first,</w:t>
          </w:r>
          <w:r>
            <w:t xml:space="preserve"> e.g., policies enforcing BitLocker, firewall, Windows </w:t>
          </w:r>
          <w:proofErr w:type="spellStart"/>
          <w:proofErr w:type="gramStart"/>
          <w:r>
            <w:t>U</w:t>
          </w:r>
          <w:r w:rsidR="00A51992">
            <w:t>Update,</w:t>
          </w:r>
          <w:r>
            <w:t>since</w:t>
          </w:r>
          <w:proofErr w:type="spellEnd"/>
          <w:proofErr w:type="gramEnd"/>
          <w:r>
            <w:t xml:space="preserve"> Intune will need to enforce those via device configuration profiles or compliance policies. Using Intune’s Group Policy analytics is highly recommended to speed up this assessment. The output will show which GPO settings can be directly migrated to MDM profiles and flag any unsupported ones (for instance, certain legacy settings with no MDM counterpart).</w:t>
          </w:r>
        </w:p>
        <w:p w14:paraId="1FE32370" w14:textId="77777777" w:rsidR="00E8207F" w:rsidRDefault="00E8207F" w:rsidP="001D2029">
          <w:pPr>
            <w:pStyle w:val="1ABodyTextLevel2"/>
          </w:pPr>
          <w:r>
            <w:t xml:space="preserve"> </w:t>
          </w:r>
        </w:p>
        <w:p w14:paraId="2D7E1700" w14:textId="5C2A523C" w:rsidR="00E8207F" w:rsidRDefault="00E8207F" w:rsidP="001D2029">
          <w:pPr>
            <w:pStyle w:val="1ABodyTextLevel2"/>
          </w:pPr>
          <w:r>
            <w:t xml:space="preserve">(Remember to involve your domain GPO administrators in this process. They often have insight into which policies are truly necessary versus old artifacts. This is a good opportunity to clean up redundant or outdated </w:t>
          </w:r>
          <w:proofErr w:type="gramStart"/>
          <w:r>
            <w:t>GPOs</w:t>
          </w:r>
          <w:proofErr w:type="gramEnd"/>
          <w:r>
            <w:t xml:space="preserve"> so they are not blindly replicated in the new environment.</w:t>
          </w:r>
        </w:p>
        <w:p w14:paraId="594517EA" w14:textId="77777777" w:rsidR="00E8207F" w:rsidRDefault="00E8207F" w:rsidP="00E82C8F">
          <w:pPr>
            <w:pStyle w:val="1ANumberedHeading2"/>
          </w:pPr>
          <w:r>
            <w:t>Application Landscape</w:t>
          </w:r>
        </w:p>
        <w:p w14:paraId="5E6B1AE3" w14:textId="1548BA3C" w:rsidR="00E8207F" w:rsidRDefault="00E8207F" w:rsidP="001D2029">
          <w:pPr>
            <w:pStyle w:val="1ABodyTextLevel2"/>
          </w:pPr>
          <w:r>
            <w:t xml:space="preserve"> A detailed application inventory is another critical component of the current state documentation. Applications are the lifeblood of user productivity, and moving to Intune will require packaging and deploying apps in new ways. To prepare, list all the applications installed or managed in the current environment, along with relevant attributes and data points:</w:t>
          </w:r>
        </w:p>
        <w:p w14:paraId="4DF34D88" w14:textId="2B1C11A5" w:rsidR="00E8207F" w:rsidRDefault="00E8207F" w:rsidP="00B35BEB">
          <w:pPr>
            <w:pStyle w:val="1ABulletTextLevel2"/>
          </w:pPr>
          <w:r>
            <w:t xml:space="preserve">Application </w:t>
          </w:r>
          <w:proofErr w:type="spellStart"/>
          <w:r>
            <w:t>Catalog</w:t>
          </w:r>
          <w:proofErr w:type="spellEnd"/>
          <w:r>
            <w:t>: Compile a list of all software titles deployed to users or computers. Microsoft’s planning guidance suggests starting with “a list of the apps your users regularly use.” These are the apps you’ll need on their devices in the new environment. Include in the inventory: business productivity suites (e.g., Microsoft 365 apps), line-of-business (LOB) applications, custom in-house apps, developer tools, legacy apps, web applications (especially if any rely on legacy browsers or IE mode), and even small utilities that are widely installed.</w:t>
          </w:r>
        </w:p>
        <w:p w14:paraId="09F236CC" w14:textId="214BC118" w:rsidR="00E8207F" w:rsidRDefault="00E8207F" w:rsidP="00B35BEB">
          <w:pPr>
            <w:pStyle w:val="1ABulletTextLevel2"/>
          </w:pPr>
          <w:r>
            <w:t xml:space="preserve">Deployment Method &amp; Format: For each application, note how it is currently delivered and managed. Are they packaged in SCCM as “Applications” or “Packages” or deployed via GPO or scripts? Identify the installer </w:t>
          </w:r>
          <w:r w:rsidR="00A51992">
            <w:t>type,</w:t>
          </w:r>
          <w:r>
            <w:t xml:space="preserve"> MSI, EXE, Script, App-V, Microsoft Store app, etc. This will indicate how you might package it for Intune (Intune supports Win</w:t>
          </w:r>
          <w:proofErr w:type="gramStart"/>
          <w:r>
            <w:t>32 .</w:t>
          </w:r>
          <w:proofErr w:type="spellStart"/>
          <w:r>
            <w:t>intunewin</w:t>
          </w:r>
          <w:proofErr w:type="spellEnd"/>
          <w:proofErr w:type="gramEnd"/>
          <w:r>
            <w:t xml:space="preserve"> packages for Win32 apps, MSIX, Store apps, etc.). For example, an MSI deployed via SCCM can likely be wrapped into an Intune Win32 package with minimal </w:t>
          </w:r>
          <w:r>
            <w:lastRenderedPageBreak/>
            <w:t>changes, whereas a complex task sequence or script-based install might require conversion to a PowerShell script deployment or a Win32 app model in Intune.</w:t>
          </w:r>
        </w:p>
        <w:p w14:paraId="2C2CE22A" w14:textId="6D816659" w:rsidR="00E8207F" w:rsidRDefault="00E8207F" w:rsidP="00B35BEB">
          <w:pPr>
            <w:pStyle w:val="1ABulletTextLevel2"/>
          </w:pPr>
          <w:r>
            <w:t xml:space="preserve">Application Owner and Criticality: Document the business owner or department for each app and its importance (critical, optional, retired). This helps prioritize testing and </w:t>
          </w:r>
          <w:r w:rsidR="00A51992">
            <w:t>migration,</w:t>
          </w:r>
          <w:r>
            <w:t xml:space="preserve"> mission-critical apps (ERP systems, security agents, etc.) must be ready for Intune deployment early. Also note if any app has licensing constraints or device-specific licensing that might be affected by reinstallation or re-</w:t>
          </w:r>
          <w:proofErr w:type="spellStart"/>
          <w:r>
            <w:t>enrollment</w:t>
          </w:r>
          <w:proofErr w:type="spellEnd"/>
          <w:r>
            <w:t>.</w:t>
          </w:r>
        </w:p>
        <w:p w14:paraId="50ED259F" w14:textId="51061FED" w:rsidR="00E8207F" w:rsidRDefault="00E8207F" w:rsidP="00B35BEB">
          <w:pPr>
            <w:pStyle w:val="1ABulletTextLevel2"/>
          </w:pPr>
          <w:r>
            <w:t>Version and Update Info: Record the current version of each application in use and how updates are applied. Some apps may auto-update (e.g., Chrome, Zoom), some are updated via SCCM or manual processes. Knowing this helps plan whether Intune will simply deploy the latest version or if you need an update strategy (Intune can push updates for Microsoft 365 Apps and some Store apps, but third-party apps might need packaging of new versions or use of tools like Windows Package Manager).</w:t>
          </w:r>
        </w:p>
        <w:p w14:paraId="34C91FBA" w14:textId="5391DA01" w:rsidR="00E8207F" w:rsidRDefault="00E8207F" w:rsidP="00B35BEB">
          <w:pPr>
            <w:pStyle w:val="1ABulletTextLevel2"/>
          </w:pPr>
          <w:r>
            <w:t>Compatibility Considerations: Identify any known compatibility issues with newer OS or MDM management. For instance, legacy 32-bit apps or apps that require outdated frameworks (like old Java or .NET versions) should be flagged. Also, if an application currently requires a device to be domain-joined or connected to the LAN (for license servers or database access), note that dependency</w:t>
          </w:r>
          <w:r w:rsidR="007C497C">
            <w:t>,</w:t>
          </w:r>
          <w:r>
            <w:t xml:space="preserve"> it might influence whether the app can run on an Azure AD joined device off-network or if adjustments (e.g., VPN or Azure AD application proxy) are needed.</w:t>
          </w:r>
        </w:p>
        <w:p w14:paraId="22D2E9AE" w14:textId="6F66F028" w:rsidR="00E8207F" w:rsidRDefault="00E8207F" w:rsidP="00B35BEB">
          <w:pPr>
            <w:pStyle w:val="1ABulletTextLevel2"/>
          </w:pPr>
          <w:r>
            <w:t>Packaging and Source Files: Ensure you have the source installation files or package definitions for each app. As part of this assessment, verify you have the latest installers or a method to repackage each app in Intune. If you have internally developed apps, check that you can obtain their installer or deployable package.</w:t>
          </w:r>
        </w:p>
        <w:p w14:paraId="105B7A27" w14:textId="7924301A" w:rsidR="00E8207F" w:rsidRDefault="00E8207F" w:rsidP="00B35BEB">
          <w:pPr>
            <w:pStyle w:val="1ABulletTextLevel2"/>
          </w:pPr>
          <w:r>
            <w:t xml:space="preserve">Usage Data: If possible, include metrics on application usage. SCCM’s software metering or other analytics might show which apps are actively used vs. installed but rarely used. This can feed into an app rationalization </w:t>
          </w:r>
          <w:r w:rsidR="00A51992">
            <w:t>exercise,</w:t>
          </w:r>
          <w:r>
            <w:t xml:space="preserve"> you may decide not to migrate certain rarely used or redundant applications, reducing the support burden in the new environment. Focus on the core set of applications that truly need to be managed and deployed to users going forward.</w:t>
          </w:r>
        </w:p>
        <w:p w14:paraId="1782DEF6" w14:textId="46BD96F6" w:rsidR="00E8207F" w:rsidRDefault="00E8207F" w:rsidP="001D2029">
          <w:pPr>
            <w:pStyle w:val="1ABodyTextLevel2"/>
          </w:pPr>
          <w:r>
            <w:t xml:space="preserve">By collecting this information, you can plan the application migration in detail. Intune supports many app types (Win32, Microsoft 365, LOB MSI, store apps, etc.), but each app will need to be prepared. For example: MSI apps can be added directly or repackaged; EXE installers likely need to be wrapped </w:t>
          </w:r>
          <w:proofErr w:type="gramStart"/>
          <w:r>
            <w:t>into .</w:t>
          </w:r>
          <w:proofErr w:type="spellStart"/>
          <w:r>
            <w:t>intunewin</w:t>
          </w:r>
          <w:proofErr w:type="spellEnd"/>
          <w:proofErr w:type="gramEnd"/>
          <w:r>
            <w:t xml:space="preserve"> format using Microsoft’s Win32 Content Prep Tool; apps delivered via scripts or task sequences may need new scripting in Intune or different deployment approaches. Knowing the current state ensures you don’t miss any critical software during the move.</w:t>
          </w:r>
        </w:p>
        <w:p w14:paraId="12B04D2D" w14:textId="77777777" w:rsidR="00E8207F" w:rsidRDefault="00E8207F" w:rsidP="001D2029">
          <w:pPr>
            <w:pStyle w:val="1ABodyTextLevel2"/>
          </w:pPr>
          <w:r>
            <w:t xml:space="preserve"> </w:t>
          </w:r>
        </w:p>
        <w:p w14:paraId="108D679B" w14:textId="13356044" w:rsidR="00E8207F" w:rsidRDefault="00E8207F" w:rsidP="001D2029">
          <w:pPr>
            <w:pStyle w:val="1ABodyTextLevel2"/>
          </w:pPr>
          <w:r>
            <w:lastRenderedPageBreak/>
            <w:t xml:space="preserve">(As a best practice, engage application owners </w:t>
          </w:r>
          <w:r w:rsidR="00A51992">
            <w:t>early,</w:t>
          </w:r>
          <w:r>
            <w:t xml:space="preserve"> let them validate if the latest versions are being used and if any upcoming upgrades should coincide with the Intune migration. Also consider using this phase to eliminate obsolete software and consolidate titles, which will simplify your modern desktop environment.)</w:t>
          </w:r>
        </w:p>
        <w:p w14:paraId="09546A3F" w14:textId="5CC07264" w:rsidR="00E8207F" w:rsidRDefault="00E8207F" w:rsidP="00E82C8F">
          <w:pPr>
            <w:pStyle w:val="1ANumberedHeading2"/>
          </w:pPr>
          <w:r>
            <w:t xml:space="preserve"> Compliance and Device Posture</w:t>
          </w:r>
        </w:p>
        <w:p w14:paraId="789F3D17" w14:textId="3ACF9830" w:rsidR="00E8207F" w:rsidRDefault="00E8207F" w:rsidP="001D2029">
          <w:pPr>
            <w:pStyle w:val="1ABodyTextLevel2"/>
          </w:pPr>
          <w:r>
            <w:t xml:space="preserve"> Assess the current compliance posture of your endpoints and the policies or tools used to evaluate compliance. In a legacy environment, “compliance” might be enforced through a combination of GPO security settings, SCCM compliance settings (configuration baselines), antivirus status, and manual audits. Intune will introduce device compliance policies to continuously assess if a device meets requirements (for example, requiring encryption, password, OS version, etc.). To prepare, gather information on:</w:t>
          </w:r>
        </w:p>
        <w:p w14:paraId="0FF7915F" w14:textId="72553BDF" w:rsidR="00E8207F" w:rsidRDefault="00E8207F" w:rsidP="00BF58D3">
          <w:pPr>
            <w:pStyle w:val="1ABulletTextLevel2"/>
          </w:pPr>
          <w:r>
            <w:t>Corporate Compliance Requirements: Document the security and configuration standards that all devices are expected to meet in your organisation. These could include encryption mandates (e.g., all laptops must have BitLocker enabled), password/PIN policies (e.g., require complex passwords or screen lock after X minutes), antivirus/endpoint protection requirements, minimum OS levels or patch levels, and any regulatory standards (PCI, HIPAA, GDPR, etc.) that dictate device controls. Essentially, list out what “compliant” means in your environment today.</w:t>
          </w:r>
        </w:p>
        <w:p w14:paraId="2790A049" w14:textId="529AEBB5" w:rsidR="00E8207F" w:rsidRDefault="00E8207F" w:rsidP="00BF58D3">
          <w:pPr>
            <w:pStyle w:val="1ABulletTextLevel2"/>
          </w:pPr>
          <w:r>
            <w:t xml:space="preserve">Current Compliance Enforcement: Describe how these requirements are currently enforced or measured. For instance, are you using SCCM Configuration Baselines to check settings or configurations (like verifying BitLocker or firewall status)? Do you rely on Active Directory GPOs to enforce many of these and assume compliance if GPOs applied? Is there a separate endpoint security or vulnerability management tool that reports on compliance (for example, a tool that scans for missing patches or insecure configurations)? Compile reports if available: e.g. </w:t>
          </w:r>
          <w:r w:rsidR="002719C0">
            <w:t>W</w:t>
          </w:r>
          <w:r>
            <w:t>hat percentage of devices are fully encrypted</w:t>
          </w:r>
          <w:r w:rsidR="00975E24">
            <w:t>,</w:t>
          </w:r>
          <w:r>
            <w:t xml:space="preserve"> have up-to-date AV signatures, have installed the latest Windows updates, etc.</w:t>
          </w:r>
        </w:p>
        <w:p w14:paraId="7261E1E4" w14:textId="150944D6" w:rsidR="00E8207F" w:rsidRDefault="00E8207F" w:rsidP="00BF58D3">
          <w:pPr>
            <w:pStyle w:val="1ABulletTextLevel2"/>
          </w:pPr>
          <w:r>
            <w:t>Deviation and Risk Areas: Identify where compliance might be lacking. If, for example, your last SCCM compliance report or security audit found 10% of devices are not encrypted or 15% are behind on patching, note these as current state issues. They represent technical debt that might be addressed during the migration (since moving to Intune is an opportunity to improve compliance via stricter cloud policies and maybe Conditional Access that blocks non-compliant devices).</w:t>
          </w:r>
        </w:p>
        <w:p w14:paraId="3023CBB5" w14:textId="74F794D9" w:rsidR="00E8207F" w:rsidRDefault="00E8207F" w:rsidP="00BF58D3">
          <w:pPr>
            <w:pStyle w:val="1ABulletTextLevel2"/>
          </w:pPr>
          <w:r>
            <w:t xml:space="preserve">Policies and Baselines: Gather the details of any compliance-related policies. This overlaps with the GPO and security baseline </w:t>
          </w:r>
          <w:r w:rsidR="00BD4521">
            <w:t>inventory,</w:t>
          </w:r>
          <w:r>
            <w:t xml:space="preserve"> e.g., if you have a “Windows Firewall must be ON” policy or “Device must lock after 15 minutes idle” policy, capture those details. If SCCM’s Endpoint Protection or Device Compliance feature was in use (for instance, the SCCM antimalware policy or configuration items to check settings), list </w:t>
          </w:r>
          <w:r>
            <w:lastRenderedPageBreak/>
            <w:t>those policies and what they check. Also, note if any compliance reports are regularly produced for management (like monthly security posture reports</w:t>
          </w:r>
          <w:r w:rsidR="00BD4521">
            <w:t>),</w:t>
          </w:r>
          <w:r>
            <w:t xml:space="preserve"> this will indicate which metrics you need to continue tracking in the new system (Intune and Defender for Endpoint can report on similar metrics).</w:t>
          </w:r>
        </w:p>
        <w:p w14:paraId="684ABD89" w14:textId="76A3FDB1" w:rsidR="00E8207F" w:rsidRDefault="00E8207F" w:rsidP="00BF58D3">
          <w:pPr>
            <w:pStyle w:val="1ABulletTextLevel2"/>
          </w:pPr>
          <w:r>
            <w:t>Certificates and Network Access: If compliance in your context extends to things like valid device certificates (for Wi-Fi/VPN) or posture checks for network access control, document how that’s done currently. For example, some organisations use Network Access Protection (NAP) (old tech) or NAC solutions that require certain health attestation. Note any such systems or requirements, as they will need integration with or replacement by Intune/Conditional Access in the future.</w:t>
          </w:r>
        </w:p>
        <w:p w14:paraId="1656285C" w14:textId="0C48610C" w:rsidR="00E8207F" w:rsidRDefault="00E8207F" w:rsidP="00BF58D3">
          <w:pPr>
            <w:pStyle w:val="1ABulletTextLevel2"/>
          </w:pPr>
          <w:r>
            <w:t>Exceptions Handling: Note if there are devices that are out of compliance but have exceptions (e.g., a group of kiosk PCs with no BitLocker due to lack of TPM, or developers with local admin rights as an exception to policy). Recording these will help create plans to either grandfather those in or eliminate the exceptions moving forward.</w:t>
          </w:r>
        </w:p>
        <w:p w14:paraId="2A11B126" w14:textId="4FBFB2A5" w:rsidR="00E8207F" w:rsidRDefault="00E8207F" w:rsidP="001D2029">
          <w:pPr>
            <w:pStyle w:val="1ABodyTextLevel2"/>
          </w:pPr>
          <w:r>
            <w:t>In short, the goal is to have a snapshot of how secure and compliant your devices are today, and by what means that is achieved. Intune will offer compliance policies that mirror many of these checks (for example, enforcing encryption, requiring antivirus, requiring a minimum OS version, etc.), and Conditional Access can tie compliance to resource access. Your current state analysis should set the baseline so you can measure improvement and ensure no requirement is overlooked.</w:t>
          </w:r>
        </w:p>
        <w:p w14:paraId="56DE9194" w14:textId="435F19A9" w:rsidR="00E8207F" w:rsidRDefault="00E8207F" w:rsidP="001D2029">
          <w:pPr>
            <w:pStyle w:val="1ABodyTextLevel2"/>
          </w:pPr>
          <w:r w:rsidRPr="00B35BEB">
            <w:t xml:space="preserve">(Keep in mind that moving to modern management often improves compliance </w:t>
          </w:r>
          <w:r w:rsidR="00BD4521" w:rsidRPr="00B35BEB">
            <w:t>visibility,</w:t>
          </w:r>
          <w:r w:rsidRPr="00B35BEB">
            <w:t xml:space="preserve"> for instance, Intune can provide real-time compliance status and integrate with Defender for Endpoint to assess risk. As you document the current posture, you might already identify policies to implement in Intune’s compliance </w:t>
          </w:r>
          <w:proofErr w:type="spellStart"/>
          <w:r w:rsidRPr="00B35BEB">
            <w:t>center</w:t>
          </w:r>
          <w:proofErr w:type="spellEnd"/>
          <w:r w:rsidRPr="00B35BEB">
            <w:t>. Microsoft recommends establishing a baseline of compliance policies early in the Intune rollout</w:t>
          </w:r>
          <w:r>
            <w:t>.)</w:t>
          </w:r>
        </w:p>
        <w:p w14:paraId="3383CB3C" w14:textId="77777777" w:rsidR="00E8207F" w:rsidRDefault="00E8207F" w:rsidP="00E82C8F">
          <w:pPr>
            <w:pStyle w:val="1ANumberedHeading2"/>
          </w:pPr>
          <w:r>
            <w:t>Security Tools and Policies</w:t>
          </w:r>
        </w:p>
        <w:p w14:paraId="6249B48D" w14:textId="4CB68832" w:rsidR="00E8207F" w:rsidRDefault="00E8207F" w:rsidP="001D2029">
          <w:pPr>
            <w:pStyle w:val="1ABodyTextLevel2"/>
          </w:pPr>
          <w:r>
            <w:t>It</w:t>
          </w:r>
          <w:r w:rsidR="00B35BEB">
            <w:t xml:space="preserve"> is</w:t>
          </w:r>
          <w:r>
            <w:t xml:space="preserve"> important to map out all security tools, agents, and configurations currently in use on endpoints, as these will influence your Intune migration strategy. Modern Desktop management will likely consolidate or replace some of these with cloud-driven solutions (for example, using Microsoft Defender and Intune’s built-in controls). In this section, document:</w:t>
          </w:r>
        </w:p>
        <w:p w14:paraId="40A077DD" w14:textId="08354102" w:rsidR="00E8207F" w:rsidRDefault="00E8207F" w:rsidP="00BF58D3">
          <w:pPr>
            <w:pStyle w:val="1ABulletTextLevel2"/>
          </w:pPr>
          <w:r>
            <w:t xml:space="preserve">Endpoint Protection (Anti-Virus/Anti-Malware): Identify the primary anti-malware solution on your Windows endpoints. Many organisations use Microsoft Defender Antivirus (managed via SCCM or Group Policy), while others use third-party AV like Symantec, McAfee, CrowdStrike, etc. Note which product is installed on clients and how it’s managed. If SCCM’s Endpoint Protection policies are used to manage Defender, list those policy settings (exclusions, scan schedules). If a third-party AV is in place, how is it administered and will it remain, or are you planning to move to Defender for an </w:t>
          </w:r>
          <w:r>
            <w:lastRenderedPageBreak/>
            <w:t>integrated solution? This will determine if you need to deploy a new AV or turn off old agents during the transition.</w:t>
          </w:r>
        </w:p>
        <w:p w14:paraId="67232FAD" w14:textId="7E0B8DC3" w:rsidR="00E8207F" w:rsidRDefault="00E8207F" w:rsidP="00BF58D3">
          <w:pPr>
            <w:pStyle w:val="1ABulletTextLevel2"/>
          </w:pPr>
          <w:r>
            <w:t>Endpoint Detection and Response (EDR) / Advanced Threat Protection: Document any advanced security agents on endpoints (e.g., Microsoft Defender for Endpoint, CrowdStrike Falcon, Carbon Black, etc.). If you have Defender for Endpoint (MDE), note how it’s deployed (SCCM can onboard devices to MDE, or via script). Intune has native integration with MDE for reporting device risk, so knowing current deployment helps plan switching the onboarding mechanism. If another EDR is present, plan how it will co-exist or whether it will be replaced.</w:t>
          </w:r>
        </w:p>
        <w:p w14:paraId="4BE8EA3F" w14:textId="1C4A8035" w:rsidR="00E8207F" w:rsidRDefault="00E8207F" w:rsidP="00BF58D3">
          <w:pPr>
            <w:pStyle w:val="1ABulletTextLevel2"/>
          </w:pPr>
          <w:r>
            <w:t xml:space="preserve">Disk Encryption and Key Management: Check how BitLocker (or </w:t>
          </w:r>
          <w:proofErr w:type="gramStart"/>
          <w:r>
            <w:t>other</w:t>
          </w:r>
          <w:proofErr w:type="gramEnd"/>
          <w:r>
            <w:t xml:space="preserve"> full-disk encryption) is managed presently. Many SCCM environments use MBAM (Microsoft BitLocker Administration and Monitoring) integrated with SCCM or stand-alone, or they simply use AD to backup BitLocker keys. Document the percentage of devices encrypted and where the recovery keys live (AD, MBAM database, etc.). If MBAM is in use, note its version and integration. Intune can manage BitLocker keys and enforce encryption compliance, so you’ll likely replace MBAM with Intune’s BitLocker management or a similar service. It’s crucial to ensure no devices slip through without their keys backed up during the transition.</w:t>
          </w:r>
        </w:p>
        <w:p w14:paraId="416F4A07" w14:textId="71252939" w:rsidR="00E8207F" w:rsidRDefault="00E8207F" w:rsidP="00BF58D3">
          <w:pPr>
            <w:pStyle w:val="1ABulletTextLevel2"/>
          </w:pPr>
          <w:r>
            <w:t>Firewalls and Device Control: List how Windows Firewall is managed (GPO? SCCM policy? Third-party firewall?). If via GPO/SCCM, include the main rules or any non-default settings, as these will need to be configured in Intune’s Endpoint Security policies or CSPs. Similarly, if you use device control features (like blocking USB storage via Group Policy or an endpoint DLP/device control agent), capture that. Intune can manage some of these via policies (e.g., removable drive restrictions via configuration profiles or Defender settings).</w:t>
          </w:r>
        </w:p>
        <w:p w14:paraId="6577D1E5" w14:textId="39AB63D9" w:rsidR="00E8207F" w:rsidRDefault="00E8207F" w:rsidP="00BF58D3">
          <w:pPr>
            <w:pStyle w:val="1ABulletTextLevel2"/>
          </w:pPr>
          <w:r>
            <w:t xml:space="preserve">Other Endpoint Agents: Inventory any other security or management agents running on endpoints. Common ones: VPN clients, Wi-Fi profiles, MDM agents (if any coexist, perhaps not in a pure SCCM environment), data loss prevention (DLP) agents, client certificates for network access, local admin management tools (such as Microsoft LAPS for rotating admin passwords via GPO). Each of these has a cloud </w:t>
          </w:r>
          <w:proofErr w:type="spellStart"/>
          <w:r>
            <w:t>analog</w:t>
          </w:r>
          <w:proofErr w:type="spellEnd"/>
          <w:r>
            <w:t xml:space="preserve"> (Intune can push VPN and Wi-Fi profiles with certificates, and Azure AD now has an integrated LAPS feature, etc.), but you need to know what’s there now. For instance, if users currently authenticate to Wi-Fi via a certificate deployed by GPO, you’ll need Intune’s certificate deployment in the new setup.</w:t>
          </w:r>
        </w:p>
        <w:p w14:paraId="40BC38D9" w14:textId="7F224449" w:rsidR="00E8207F" w:rsidRDefault="00E8207F" w:rsidP="00BF58D3">
          <w:pPr>
            <w:pStyle w:val="1ABulletTextLevel2"/>
          </w:pPr>
          <w:r>
            <w:t xml:space="preserve">Security Monitoring and Logs: Note how security events or logs are collected. Do you have any integrations like sending Windows Defender ATP alerts to a SIEM, or using SCCM’s alerts for malware detection? If SCCM’s reporting is used for compliance or threat events, mark that down. Intune, combined with cloud tools, will have different </w:t>
          </w:r>
          <w:r>
            <w:lastRenderedPageBreak/>
            <w:t xml:space="preserve">monitoring, so ensure equivalent coverage is planned (e.g., via Defender for Endpoint and Microsoft 365 security </w:t>
          </w:r>
          <w:proofErr w:type="spellStart"/>
          <w:r>
            <w:t>center</w:t>
          </w:r>
          <w:proofErr w:type="spellEnd"/>
          <w:r>
            <w:t xml:space="preserve"> for unified logging).</w:t>
          </w:r>
        </w:p>
        <w:p w14:paraId="0FDDC3F0" w14:textId="63603960" w:rsidR="00E8207F" w:rsidRDefault="00E8207F" w:rsidP="00BF58D3">
          <w:pPr>
            <w:pStyle w:val="1ABulletTextLevel2"/>
          </w:pPr>
          <w:r>
            <w:t xml:space="preserve">Conditional Access and Access Policies: Although more of an identity piece, include any existing Conditional Access policies or other access control in place (via Azure AD or other solutions) that pertain to device state. For example, some organisations might already have a Conditional Access policy requiring domain-joined or compliant PCs for certain apps. Document these because after migration, you will likely adjust them to require Intune compliance. Also note if any on-prem Network Access Control (NAC) systems are used for VPN or Wi-Fi that check device </w:t>
          </w:r>
          <w:r w:rsidR="00BD4521">
            <w:t>posture,</w:t>
          </w:r>
          <w:r>
            <w:t xml:space="preserve"> these might need integration with Intune’s compliance (some NACs can consume Intune compliance data via API).</w:t>
          </w:r>
        </w:p>
        <w:p w14:paraId="49B27F44" w14:textId="588DD66F" w:rsidR="00E8207F" w:rsidRDefault="00E8207F" w:rsidP="00BF58D3">
          <w:pPr>
            <w:pStyle w:val="1ABulletTextLevel2"/>
          </w:pPr>
          <w:r>
            <w:t>Physical Security &amp; Miscellaneous: If relevant, mention any other endpoint security measures like BIOS password management, use of security keys (YubiKeys, etc.), or application control solutions (AppLocker or Windows Defender Application Control policies currently in place). These might need to be carried over (Intune can deploy AppLocker/WDAC policies too).</w:t>
          </w:r>
        </w:p>
        <w:p w14:paraId="43BFA0D9" w14:textId="17BEDDD6" w:rsidR="00E8207F" w:rsidRDefault="00E8207F" w:rsidP="001D2029">
          <w:pPr>
            <w:pStyle w:val="1ABodyTextLevel2"/>
          </w:pPr>
          <w:r>
            <w:t xml:space="preserve">By auditing the security tools and configurations in the current state, you ensure that the migration to Intune does not inadvertently weaken security. Instead, you can plan to either migrate these controls into Intune’s toolset or integrate third-party tools with Intune where possible. For example, if MBAM is currently used for BitLocker, you’d plan to use Intune’s BitLocker policy and key escrow going forward, but you must note to migrate recovery keys or escrow new ones properly. If Defender AV is currently managed by SCCM, you’ll switch to Intune Endpoint Protection </w:t>
          </w:r>
          <w:r w:rsidR="00BD4521">
            <w:t>policies,</w:t>
          </w:r>
          <w:r>
            <w:t xml:space="preserve"> but make sure to capture the exclusions and settings you have now, so they can be reconfigured in Intune.</w:t>
          </w:r>
        </w:p>
        <w:p w14:paraId="176996F2" w14:textId="77777777" w:rsidR="00B35BEB" w:rsidRDefault="00B35BEB" w:rsidP="001D2029">
          <w:pPr>
            <w:pStyle w:val="1ABodyTextLevel2"/>
          </w:pPr>
        </w:p>
        <w:p w14:paraId="4360A4AE" w14:textId="102E10EF" w:rsidR="00E8207F" w:rsidRDefault="00E8207F" w:rsidP="001D2029">
          <w:pPr>
            <w:pStyle w:val="1ABodyTextLevel2"/>
          </w:pPr>
          <w:r>
            <w:t xml:space="preserve">In many cases, moving to modern management with Intune is a chance to simplify the endpoint security </w:t>
          </w:r>
          <w:r w:rsidR="00BD4521">
            <w:t>stack,</w:t>
          </w:r>
          <w:r>
            <w:t xml:space="preserve"> possibly consolidating to Microsoft’s integrated security if you choose. However, ensure any removal or replacement of security software is done methodically, to avoid leaving gaps. Your current state documentation of these tools is the reference to check off that each control is accounted for in the target state.</w:t>
          </w:r>
        </w:p>
        <w:p w14:paraId="5A55CCE7" w14:textId="67B64411" w:rsidR="00E8207F" w:rsidRDefault="00E8207F" w:rsidP="00E82C8F">
          <w:pPr>
            <w:pStyle w:val="1ANumberedHeading2"/>
          </w:pPr>
          <w:r>
            <w:t xml:space="preserve"> Software Updates and Patch Management</w:t>
          </w:r>
        </w:p>
        <w:p w14:paraId="0335E6AF" w14:textId="301C77C5" w:rsidR="00E8207F" w:rsidRDefault="00E8207F" w:rsidP="001D2029">
          <w:pPr>
            <w:pStyle w:val="1ABodyTextLevel2"/>
          </w:pPr>
          <w:r>
            <w:t>Understanding how software updates are currently managed will guide how you transition to cloud-based update methods like Windows Update for Business. Document the existing patch management process and infrastructure in detail:</w:t>
          </w:r>
        </w:p>
        <w:p w14:paraId="45DF6F5C" w14:textId="7EF620A0" w:rsidR="00E8207F" w:rsidRDefault="00E8207F" w:rsidP="00BF58D3">
          <w:pPr>
            <w:pStyle w:val="1ABulletTextLevel2"/>
          </w:pPr>
          <w:r>
            <w:t xml:space="preserve">WSUS/SCCM Infrastructure: Note whether you use SCCM’s Software Update Point (SUP) with WSUS to deploy Windows Updates, and any details of that setup. Include the WSUS server locations, how they sync (categories/products), and if there are multiple WSUS for different regions. If SCCM is orchestrating updates, record the maintenance windows and </w:t>
          </w:r>
          <w:r>
            <w:lastRenderedPageBreak/>
            <w:t xml:space="preserve">deployment rings (e.g., maybe an “IT pilot group” gets patches first, then a week later broad </w:t>
          </w:r>
          <w:r w:rsidR="00975E24">
            <w:t>deployment,</w:t>
          </w:r>
          <w:r>
            <w:t xml:space="preserve"> capture that policy).</w:t>
          </w:r>
        </w:p>
        <w:p w14:paraId="27C00793" w14:textId="421E1A4B" w:rsidR="00E8207F" w:rsidRDefault="00E8207F" w:rsidP="00BF58D3">
          <w:pPr>
            <w:pStyle w:val="1ABulletTextLevel2"/>
          </w:pPr>
          <w:r>
            <w:t>Update Cadence and Compliance: Describe the current patch cycle. Are Windows patches deployed monthly on Patch Tuesday with a certain schedule? What about out-of-band patches? Also, how quickly are updates applied and what is the current compliance rate (e.g., “90% of PCs install updates within 2 weeks of release” or any SLA)? This will be useful to set targets for Intune’s update rings and measure improvement or changes. If you have recent compliance reports from SCCM or WSUS (e.g., percent of devices missing critical updates), include that data in your notes.</w:t>
          </w:r>
        </w:p>
        <w:p w14:paraId="0CEF5325" w14:textId="17E3935A" w:rsidR="00E8207F" w:rsidRDefault="00E8207F" w:rsidP="00BF58D3">
          <w:pPr>
            <w:pStyle w:val="1ABulletTextLevel2"/>
          </w:pPr>
          <w:r>
            <w:t>Feature Updates (OS Upgrades): Document how you handle major Windows 10/11 feature updates. Are these done via SCCM task sequences, servicing plans, or not done regularly? If many devices are still on older builds, that’s a consideration (Intune can manage feature updates via Windows Update for Business). List the Windows 10/11 builds in use from your device inventory to see if there’s consistency or a need to catch up older builds as part of migration.</w:t>
          </w:r>
        </w:p>
        <w:p w14:paraId="54556385" w14:textId="55B25AFD" w:rsidR="00E8207F" w:rsidRDefault="00E8207F" w:rsidP="00BF58D3">
          <w:pPr>
            <w:pStyle w:val="1ABulletTextLevel2"/>
          </w:pPr>
          <w:r>
            <w:t xml:space="preserve">Office and Application Updates: Include how Microsoft 365 Apps (Office) are updated if </w:t>
          </w:r>
          <w:r w:rsidR="00BD4521">
            <w:t>applicable,</w:t>
          </w:r>
          <w:r>
            <w:t xml:space="preserve"> via SCCM, via Office CDN (internet), or not standardized? Similarly, note if third-party applications are patched using any mechanism (SCCM with SCUP or third-party </w:t>
          </w:r>
          <w:r w:rsidR="00975E24">
            <w:t>catalogues</w:t>
          </w:r>
          <w:r>
            <w:t>, or manual installs). Some orgs use tools (or even SCCM packages) to update common apps like browsers, Java, Adobe, etc. Capture any such process, as you may need an Intune strategy (Intune doesn’t natively auto-update third-party apps except via Winget or store integration, so you might plan to leverage Winget/Store apps or a third-party service in the new model).</w:t>
          </w:r>
        </w:p>
        <w:p w14:paraId="6AD7BE2E" w14:textId="434EA08C" w:rsidR="00E8207F" w:rsidRDefault="00E8207F" w:rsidP="00BF58D3">
          <w:pPr>
            <w:pStyle w:val="1ABulletTextLevel2"/>
          </w:pPr>
          <w:r>
            <w:t xml:space="preserve">Update Policies and GPOs: Check for any Group Policies related to Windows Update (for example, policies that control automatic update settings on clients, or defer upgrades). Typically, SCCM environments have GPO set to make the computer get updates from WSUS/SCCM and not auto-reboot on its own. List those because they will need to be replaced or removed when shifting to </w:t>
          </w:r>
          <w:proofErr w:type="spellStart"/>
          <w:r>
            <w:t>WUfB</w:t>
          </w:r>
          <w:proofErr w:type="spellEnd"/>
          <w:r>
            <w:t>. Intune’s update rings will take over the job, but conflicting GPOs must be addressed.</w:t>
          </w:r>
        </w:p>
        <w:p w14:paraId="71A7D4E2" w14:textId="3A71EF9B" w:rsidR="00E8207F" w:rsidRDefault="00E8207F" w:rsidP="00BF58D3">
          <w:pPr>
            <w:pStyle w:val="1ABulletTextLevel2"/>
          </w:pPr>
          <w:r>
            <w:t>Reboot and Compliance Settings: Document how reboots for updates are handled currently (e.g., SCCM may have user experience settings to suppress reboots during work hours). Also, if using SCCM maintenance windows, note those schedules (like servers or special groups might have designated patch times). Even though Intune doesn’t have maintenance windows in the same way, knowing this helps communicate changes to users/teams.</w:t>
          </w:r>
        </w:p>
        <w:p w14:paraId="3CD604B1" w14:textId="21B95068" w:rsidR="00E8207F" w:rsidRDefault="00E8207F" w:rsidP="006322C4">
          <w:pPr>
            <w:pStyle w:val="1ABulletTextLevel2"/>
          </w:pPr>
          <w:r>
            <w:t xml:space="preserve">Reporting and Monitoring: Identify what reports or dashboards are used to track update deployment. SCCM has built-in reports for compliance; if those are provided to management, note that so you can later configure Intune Update Compliance reports or </w:t>
          </w:r>
          <w:r>
            <w:lastRenderedPageBreak/>
            <w:t xml:space="preserve">Endpoint Analytics to deliver similar insights. Microsoft also provides Update Compliance via Azure (Log Analytics) if you use </w:t>
          </w:r>
          <w:r w:rsidR="00BD4521">
            <w:t>that,</w:t>
          </w:r>
          <w:r>
            <w:t xml:space="preserve"> mention if in use.</w:t>
          </w:r>
        </w:p>
        <w:p w14:paraId="797ED051" w14:textId="77777777" w:rsidR="00E8207F" w:rsidRDefault="00E8207F" w:rsidP="001D2029">
          <w:pPr>
            <w:pStyle w:val="1ABodyTextLevel2"/>
          </w:pPr>
          <w:r>
            <w:t>Collecting this information ensures you plan an update strategy in Intune that meets or exceeds what you have now. For example, if currently you patch monthly with 2 deferral rings, you might use Intune’s Update Rings and feature update deployments to mirror that. Or if you find many devices are behind on updates, you might tighten compliance in the new environment. Be prepared to address any gaps; for instance, Intune’s Windows Update for Business will require devices to get updates from Microsoft cloud services, so check that network egress is allowed (see Networking section) and that clients don’t have policies locking them to on-prem WSUS.</w:t>
          </w:r>
        </w:p>
        <w:p w14:paraId="110AA159" w14:textId="77777777" w:rsidR="00E8207F" w:rsidRDefault="00E8207F" w:rsidP="001D2029">
          <w:pPr>
            <w:pStyle w:val="1ABodyTextLevel2"/>
          </w:pPr>
          <w:r>
            <w:t xml:space="preserve"> </w:t>
          </w:r>
        </w:p>
        <w:p w14:paraId="2CDE65D6" w14:textId="34D68D4F" w:rsidR="00E8207F" w:rsidRDefault="00E8207F" w:rsidP="001D2029">
          <w:pPr>
            <w:pStyle w:val="1ABodyTextLevel2"/>
          </w:pPr>
          <w:r>
            <w:t xml:space="preserve">(One side benefit to highlight: moving to cloud update management can reduce the load on your network from having on-prem update servers. However, it shifts load to internet bandwidth, so plan accordingly. Also, Intune’s tenant </w:t>
          </w:r>
          <w:proofErr w:type="gramStart"/>
          <w:r>
            <w:t>attach</w:t>
          </w:r>
          <w:proofErr w:type="gramEnd"/>
          <w:r>
            <w:t xml:space="preserve"> or co-management can allow piloting </w:t>
          </w:r>
          <w:proofErr w:type="spellStart"/>
          <w:r>
            <w:t>WUfB</w:t>
          </w:r>
          <w:proofErr w:type="spellEnd"/>
          <w:r>
            <w:t xml:space="preserve"> on some devices while others still use SCCM during </w:t>
          </w:r>
          <w:r w:rsidR="00975E24">
            <w:t>transition,</w:t>
          </w:r>
          <w:r>
            <w:t xml:space="preserve"> your current state data will help identify such pilot groups, e.g., “IT department laptops on Windows 11” could test Intune update rings first.)</w:t>
          </w:r>
        </w:p>
        <w:p w14:paraId="66F5C64E" w14:textId="7EA8599C" w:rsidR="00E8207F" w:rsidRDefault="00E8207F" w:rsidP="00E82C8F">
          <w:pPr>
            <w:pStyle w:val="1ANumberedHeading2"/>
          </w:pPr>
          <w:r>
            <w:t>Network and Connectivity</w:t>
          </w:r>
        </w:p>
        <w:p w14:paraId="7DC58F40" w14:textId="77777777" w:rsidR="00E8207F" w:rsidRDefault="00E8207F" w:rsidP="001D2029">
          <w:pPr>
            <w:pStyle w:val="1ABodyTextLevel2"/>
          </w:pPr>
          <w:r>
            <w:t>The network context in which your devices operate is a key part of the current state. Transitioning to Intune (cloud management) will impact network traffic patterns and require certain connectivity. Assess the following aspects of networking and document their current state:</w:t>
          </w:r>
        </w:p>
        <w:p w14:paraId="1F158031" w14:textId="77777777" w:rsidR="00E8207F" w:rsidRPr="006322C4" w:rsidRDefault="00E8207F" w:rsidP="006322C4">
          <w:pPr>
            <w:pStyle w:val="1ABulletTextLevel2"/>
          </w:pPr>
          <w:r w:rsidRPr="006322C4">
            <w:t xml:space="preserve">    •   Corporate Network Topology: Provide an overview of your network layout relevant to client devices. List major office locations, </w:t>
          </w:r>
          <w:proofErr w:type="spellStart"/>
          <w:r w:rsidRPr="006322C4">
            <w:t>datacenters</w:t>
          </w:r>
          <w:proofErr w:type="spellEnd"/>
          <w:r w:rsidRPr="006322C4">
            <w:t>, and remote connectivity setup. For each site, note the connectivity type (LAN, Wi-Fi) and whether users predominantly work on-network or remotely. If you have many remote users or branch offices, identify them because after moving to Intune, those clients will get updates/apps over the internet rather than via local SCCM distribution points.</w:t>
          </w:r>
        </w:p>
        <w:p w14:paraId="16E387AF" w14:textId="77777777" w:rsidR="00E8207F" w:rsidRPr="006322C4" w:rsidRDefault="00E8207F" w:rsidP="006322C4">
          <w:pPr>
            <w:pStyle w:val="1ABulletTextLevel2"/>
          </w:pPr>
          <w:r w:rsidRPr="006322C4">
            <w:t xml:space="preserve">    •   VPN and Remote Access: Document how remote users connect today. Do they use a VPN to access corporate resources? If so, is it always-on or user-initiated, and do clients need to be on VPN to receive updates/software from SCCM? Many organisations found during increased remote work that they needed solutions like Cloud Management Gateway or split-tunnel VPN to allow direct internet update traffic. If not already noted, mention if a Cloud Management Gateway (CMG) or similar is in place to manage internet-based clients. This shows how well your current setup already accommodates cloud management. If you rely heavily on VPN for management, plan for adjusting that (Intune-managed devices generally don’t require VPN for management, but they do need internet access).</w:t>
          </w:r>
        </w:p>
        <w:p w14:paraId="31D8FAAC" w14:textId="77777777" w:rsidR="00E8207F" w:rsidRPr="006322C4" w:rsidRDefault="00E8207F" w:rsidP="006322C4">
          <w:pPr>
            <w:pStyle w:val="1ABulletTextLevel2"/>
          </w:pPr>
          <w:r w:rsidRPr="006322C4">
            <w:lastRenderedPageBreak/>
            <w:t xml:space="preserve">    •   Internet Bandwidth and Proxies: Since Intune and cloud updates will fetch content from the internet (Microsoft’s CDN, Office CDN, etc.), assess your internet egress capacity. Document current bandwidth at major sites and current internet usage. For example, if patches and software come from an internal SCCM DP today, note that Intune will instead have clients download from internet endpoints. Identify if your network uses proxy servers or firewall filtering for outbound traffic. If yes, list any proxy authentication requirements or limits, because you may need to configure proxy bypasses for Intune and Azure service URLs. Ensure you have or will have firewall rules to allow Intune device communication (to Azure AD, Intune, Office 365, Windows Update URLs, etc.).</w:t>
          </w:r>
        </w:p>
        <w:p w14:paraId="6C1577DE" w14:textId="77777777" w:rsidR="00E8207F" w:rsidRPr="006322C4" w:rsidRDefault="00E8207F" w:rsidP="006322C4">
          <w:pPr>
            <w:pStyle w:val="1ABulletTextLevel2"/>
          </w:pPr>
          <w:r w:rsidRPr="006322C4">
            <w:t xml:space="preserve">    •   Network Constraints: Note any locations with limited connectivity or high latency. For instance, if you have field sites with very slow links that currently rely on a local SCCM DP for content, those will need special consideration (perhaps using Delivery Optimization peer caching or adding a Connected Cache server). Mark down if Delivery Optimization is already configured via GPO or SCCM client settings for peer-to-peer content sharing. If not, plan to utilize it with Intune to reduce internet load.</w:t>
          </w:r>
        </w:p>
        <w:p w14:paraId="0EA46242" w14:textId="77777777" w:rsidR="00E8207F" w:rsidRPr="006322C4" w:rsidRDefault="00E8207F" w:rsidP="006322C4">
          <w:pPr>
            <w:pStyle w:val="1ABulletTextLevel2"/>
          </w:pPr>
          <w:r w:rsidRPr="006322C4">
            <w:t xml:space="preserve">    •   Name Resolution and Services: If devices today depend on internal DNS or other network services (like on-prem authentication), mention those. Azure AD joined devices using Intune might not always be on internal DNS, etc., so if any critical corporate apps require internal network access, you might need always-on VPN or application proxy solutions. Identifying these needs now (e.g., an app that only works on the intranet) will inform whether you need to deploy Intune-managed VPN profiles or reconsider certain app architectures.</w:t>
          </w:r>
        </w:p>
        <w:p w14:paraId="535A32F3" w14:textId="77777777" w:rsidR="00E8207F" w:rsidRPr="006322C4" w:rsidRDefault="00E8207F" w:rsidP="006322C4">
          <w:pPr>
            <w:pStyle w:val="1ABulletTextLevel2"/>
          </w:pPr>
          <w:r w:rsidRPr="006322C4">
            <w:t xml:space="preserve">    •   Content Distribution Mechanisms: Overlaps with SCCM infrastructure, but from a network lens, note how content is optimized. Do you use BranchCache or any caching appliances for SCCM content? Do remote sites pull over WAN or have local cache? Intune relies heavily on internet distribution; however, Microsoft’s Delivery Optimization (DO) can enable devices in the same LAN to share downloaded bits. If not using DO yet, highlight that as a new mechanism to configure. Also, if any users are in countries/regions with limited Azure </w:t>
          </w:r>
          <w:proofErr w:type="spellStart"/>
          <w:r w:rsidRPr="006322C4">
            <w:t>datacenter</w:t>
          </w:r>
          <w:proofErr w:type="spellEnd"/>
          <w:r w:rsidRPr="006322C4">
            <w:t xml:space="preserve"> presence or slow internet, that should be flagged.</w:t>
          </w:r>
        </w:p>
        <w:p w14:paraId="25344AC4" w14:textId="7CB3679F" w:rsidR="00E8207F" w:rsidRPr="006322C4" w:rsidRDefault="00E8207F" w:rsidP="006322C4">
          <w:pPr>
            <w:pStyle w:val="1ABulletTextLevel2"/>
          </w:pPr>
          <w:r w:rsidRPr="006322C4">
            <w:t xml:space="preserve">    •   Network Security Controls: Consider if there are any NAC solutions or firewall rules that differentiate managed vs unmanaged devices. For example, some networks block unmanaged devices from certain resources. When devices transition to Intune/Azure AD join, ensure the network will still recognize them appropriately (possibly via Certificate or Intune NAC integration). Document any such controls </w:t>
          </w:r>
          <w:r w:rsidR="001962B2" w:rsidRPr="006322C4">
            <w:t>now,</w:t>
          </w:r>
          <w:r w:rsidRPr="006322C4">
            <w:t xml:space="preserve"> e.g., “802.1x network access requires domain machine </w:t>
          </w:r>
          <w:proofErr w:type="spellStart"/>
          <w:r w:rsidRPr="006322C4">
            <w:t>certificate”</w:t>
          </w:r>
          <w:proofErr w:type="gramStart"/>
          <w:r w:rsidR="001962B2" w:rsidRPr="006322C4">
            <w:t>”,</w:t>
          </w:r>
          <w:r w:rsidRPr="006322C4">
            <w:t>because</w:t>
          </w:r>
          <w:proofErr w:type="spellEnd"/>
          <w:proofErr w:type="gramEnd"/>
          <w:r w:rsidRPr="006322C4">
            <w:t xml:space="preserve"> after migration that might be replaced with an Intune-delivered certificate for Azure AD joined devices.</w:t>
          </w:r>
        </w:p>
        <w:p w14:paraId="43ED2DC8" w14:textId="4B7F87EF" w:rsidR="00E8207F" w:rsidRDefault="00E8207F" w:rsidP="00BF58D3">
          <w:pPr>
            <w:pStyle w:val="1ABodyTextLevel1"/>
          </w:pPr>
          <w:r>
            <w:lastRenderedPageBreak/>
            <w:t>In essence, the current state network assessment ensures that moving management to the cloud will not be hindered by infrastructure. It also helps predict bandwidth impact. Often, it’s useful to involve your networking team to get data on current SCCM traffic vs internet traffic. The aim is to prepare the network (open required URLs, maybe upgrade bandwidth or implement peer caching) so that software distribution and updates via Intune will be efficient.</w:t>
          </w:r>
        </w:p>
        <w:p w14:paraId="56B31FA9" w14:textId="173A8B86" w:rsidR="00E8207F" w:rsidRDefault="00E8207F" w:rsidP="00BF58D3">
          <w:pPr>
            <w:pStyle w:val="1ABodyTextLevel1"/>
          </w:pPr>
          <w:r>
            <w:t xml:space="preserve">(Real-world tip: Many organisations set up a pilot where they shift patching of a subset of clients to Windows Update for Business and monitor the WAN impact. Use the inventory of remote vs on-site devices to design such pilots. If you have network monitoring data, establish a baseline of how much data SCCM content distribution uses; you can then anticipate cloud content usage. Intune and cloud updates can </w:t>
          </w:r>
          <w:proofErr w:type="gramStart"/>
          <w:r>
            <w:t>actually reduce</w:t>
          </w:r>
          <w:proofErr w:type="gramEnd"/>
          <w:r>
            <w:t xml:space="preserve"> complexity, but you must be sure your internet pipes and policies are ready.)</w:t>
          </w:r>
        </w:p>
        <w:p w14:paraId="30D28A76" w14:textId="77777777" w:rsidR="00E8207F" w:rsidRDefault="00E8207F" w:rsidP="00E82C8F">
          <w:pPr>
            <w:pStyle w:val="1ANumberedHeading2"/>
          </w:pPr>
          <w:r>
            <w:t>Support and Operations</w:t>
          </w:r>
        </w:p>
        <w:p w14:paraId="34F3BDB7" w14:textId="2CA89188" w:rsidR="00E8207F" w:rsidRDefault="00E8207F" w:rsidP="00BF58D3">
          <w:pPr>
            <w:pStyle w:val="1ABodyTextLevel1"/>
          </w:pPr>
          <w:r>
            <w:t>Finally, evaluate the IT support structure and operational processes for managing desktops currently. Migrating to a modern desktop model will affect how IT supports devices, so capturing the current state of operations allows you to plan training and process updates. Focus on how devices are provisioned, maintained, and serviced today:</w:t>
          </w:r>
        </w:p>
        <w:p w14:paraId="05C1F3BE" w14:textId="69B4C9C6" w:rsidR="00E8207F" w:rsidRDefault="00E8207F" w:rsidP="00BF58D3">
          <w:pPr>
            <w:pStyle w:val="1ABulletTextLevel2"/>
          </w:pPr>
          <w:r>
            <w:t>Provisioning and Imaging: Document the process for setting up new or rebuilt PCs. Do you use SCCM OSD (Operating System Deployment) with imaging and task sequences? If so, note details: e.g., PXE boot, custom images, Task Sequence steps (especially if they install software or join domain, etc.). If imaging is done outside SCCM (like using MDT or manual cloning), record that. This is critical because in a Modern Desktop world, you may shift to Windows Autopilot for provisioning new devices, instead of traditional imaging. Knowing the current imaging process (how long it takes, what it configures, what drivers or apps are injected) helps in replicating those outcomes via Autopilot and Intune policies. Also, identify if different departments have unique images or if any offline domain join or specific provisioning steps are used.</w:t>
          </w:r>
        </w:p>
        <w:p w14:paraId="7CB086D4" w14:textId="31FA484F" w:rsidR="00E8207F" w:rsidRDefault="00E8207F" w:rsidP="00BF58D3">
          <w:pPr>
            <w:pStyle w:val="1ABulletTextLevel2"/>
          </w:pPr>
          <w:r>
            <w:t xml:space="preserve">Software Deployment Requests: Describe how IT handles requests for new software or updates. For example, do end-users go through a self-service portal (like SCCM’s Software </w:t>
          </w:r>
          <w:proofErr w:type="spellStart"/>
          <w:r>
            <w:t>Center</w:t>
          </w:r>
          <w:proofErr w:type="spellEnd"/>
          <w:r>
            <w:t xml:space="preserve"> or a ticketing system) to get applications? Are there automated deployments or is it mostly helpdesk-driven? If using Software </w:t>
          </w:r>
          <w:proofErr w:type="spellStart"/>
          <w:r>
            <w:t>Center</w:t>
          </w:r>
          <w:proofErr w:type="spellEnd"/>
          <w:r>
            <w:t>, note that Intune’s equivalent is the Company Portal app for self-service. If users are accustomed to one method, you’ll need to manage the change. Document any internal SLAs for software deployment or any approval workflows.</w:t>
          </w:r>
        </w:p>
        <w:p w14:paraId="1B3165CF" w14:textId="20C61E58" w:rsidR="00E8207F" w:rsidRDefault="00E8207F" w:rsidP="00BF58D3">
          <w:pPr>
            <w:pStyle w:val="1ABulletTextLevel2"/>
          </w:pPr>
          <w:r>
            <w:t xml:space="preserve">Incident and Problem Management: High-level, summarize how support tickets related to desktops are handled. Which teams are involved (e.g., Service Desk Level 1, Desktop Support Level 2, SCCM admins Level 3)? This matters because post-migration, roles might </w:t>
          </w:r>
          <w:r w:rsidR="001962B2">
            <w:t>shift,</w:t>
          </w:r>
          <w:r>
            <w:t xml:space="preserve"> for instance, Tier 1 might handle resetting a device via Intune instead of reimaging </w:t>
          </w:r>
          <w:r>
            <w:lastRenderedPageBreak/>
            <w:t>via SCCM. Note any common incidents (like VPN issues, BitLocker lockouts, etc.) as those processes might change with Intune (e.g., Intune can help with BitLocker recovery key retrieval via Azure).</w:t>
          </w:r>
        </w:p>
        <w:p w14:paraId="511B742A" w14:textId="2E57FBAA" w:rsidR="00E8207F" w:rsidRDefault="00E8207F" w:rsidP="00BF58D3">
          <w:pPr>
            <w:pStyle w:val="1ABulletTextLevel2"/>
          </w:pPr>
          <w:r>
            <w:t xml:space="preserve">Remote Support Tools: List the tools used for remote assistance or control. SCCM offers Remote Control and many use tools like TeamViewer, Remote Desktop, or Microsoft Quick Assist. If your helpdesk relies on the SCCM Remote Control tool to connect to user machines on the LAN, note that. Intune has a Remote Help (if licensed) or integrates with TeamViewer for similar functionality. Ensure you have a plan to replace the </w:t>
          </w:r>
          <w:r w:rsidR="001962B2">
            <w:t>remote-control</w:t>
          </w:r>
          <w:r>
            <w:t xml:space="preserve"> method. If any special tools are used for macOS or mobile device support, list them as well.</w:t>
          </w:r>
        </w:p>
        <w:p w14:paraId="2544516A" w14:textId="4104E473" w:rsidR="00E8207F" w:rsidRDefault="00E8207F" w:rsidP="00BF58D3">
          <w:pPr>
            <w:pStyle w:val="1ABulletTextLevel2"/>
          </w:pPr>
          <w:r>
            <w:t xml:space="preserve">Update and Maintenance Processes: Beyond automated patching, how are emergency updates or out-of-band fixes handled? For example, do support teams manually push updates via SCCM or scripts when needed? Also, document how often machines are reprovisioned or </w:t>
          </w:r>
          <w:r w:rsidR="001962B2">
            <w:t>swapped,</w:t>
          </w:r>
          <w:r>
            <w:t xml:space="preserve"> if the practice has been to reimage a PC for any major issue, that might change with Intune/Autopilot where a reset or refresh can be triggered. Outline any regular maintenance tasks (like SCCM client health checks, monthly reboots, disk encryption checks by support, etc.).</w:t>
          </w:r>
        </w:p>
        <w:p w14:paraId="48F42766" w14:textId="15984412" w:rsidR="00E8207F" w:rsidRDefault="00E8207F" w:rsidP="00BF58D3">
          <w:pPr>
            <w:pStyle w:val="1ABulletTextLevel2"/>
          </w:pPr>
          <w:r>
            <w:t xml:space="preserve">Documentation and Knowledge Base: Gather any existing runbooks or support docs for managing the current environment. This might include SCCM admin guides, troubleshooting steps for client issues, etc. These documents indicate what the support staff currently checks or fixes (for instance, an SCCM client repair script). Each of those steps will need a counterpart in Intune (e.g., troubleshooting Intune </w:t>
          </w:r>
          <w:proofErr w:type="spellStart"/>
          <w:r>
            <w:t>enrollment</w:t>
          </w:r>
          <w:proofErr w:type="spellEnd"/>
          <w:r>
            <w:t xml:space="preserve"> or configuration sync). Identifying them now helps ensure support teams are retrained appropriately.</w:t>
          </w:r>
        </w:p>
        <w:p w14:paraId="5998505D" w14:textId="0D7834C5" w:rsidR="00E8207F" w:rsidRDefault="00E8207F" w:rsidP="00BF58D3">
          <w:pPr>
            <w:pStyle w:val="1ABulletTextLevel2"/>
          </w:pPr>
          <w:r>
            <w:t xml:space="preserve">End-User Support and Training: Note how users are supported in terms of IT guidance. Is there a portal or FAQ for common tasks (e.g., how to get software from Software </w:t>
          </w:r>
          <w:proofErr w:type="spellStart"/>
          <w:r>
            <w:t>Center</w:t>
          </w:r>
          <w:proofErr w:type="spellEnd"/>
          <w:r>
            <w:t>)? Do users call the helpdesk for things like joining Wi-Fi, or is it automated? This is relevant because moving to Intune might introduce new user-facing elements (like Company Portal, or different UI for updates). Recognize any user experience differences and plan to update documentation for end-users accordingly.</w:t>
          </w:r>
        </w:p>
        <w:p w14:paraId="6DDA6D10" w14:textId="578D0EF4" w:rsidR="00E8207F" w:rsidRDefault="00E8207F" w:rsidP="00BF58D3">
          <w:pPr>
            <w:pStyle w:val="1ABulletTextLevel2"/>
          </w:pPr>
          <w:r>
            <w:t xml:space="preserve">Operational Metrics: If available, review metrics like number of monthly support tickets for desktop issues, average time to resolve, etc. While not directly technical, if (for example) your helpdesk gets many tickets about software installation failures or BitLocker recovery, those are areas to focus improvements </w:t>
          </w:r>
          <w:proofErr w:type="gramStart"/>
          <w:r>
            <w:t>in</w:t>
          </w:r>
          <w:proofErr w:type="gramEnd"/>
          <w:r>
            <w:t xml:space="preserve"> the new design (e.g., Intune can empower users to install apps or view BitLocker keys via the portal, potentially reducing tickets). Mark any pain points in current operations that the modern desktop approach should try to address.</w:t>
          </w:r>
        </w:p>
        <w:p w14:paraId="71DD2AB3" w14:textId="0285AC76" w:rsidR="008A4327" w:rsidRDefault="008A4327" w:rsidP="008A4327">
          <w:pPr>
            <w:pStyle w:val="1ANumberedHeading2"/>
          </w:pPr>
          <w:r>
            <w:lastRenderedPageBreak/>
            <w:t>In Summary</w:t>
          </w:r>
        </w:p>
        <w:p w14:paraId="0EDECCE9" w14:textId="50B66A5E" w:rsidR="00E8207F" w:rsidRDefault="00E8207F" w:rsidP="001D2029">
          <w:pPr>
            <w:pStyle w:val="1ABodyTextLevel2"/>
          </w:pPr>
          <w:r>
            <w:t xml:space="preserve">As part of this assessment, consider using structured frameworks or assessment templates. Many organisations employ checklists or questionnaires during a current-state </w:t>
          </w:r>
          <w:r w:rsidR="001962B2">
            <w:t>review,</w:t>
          </w:r>
          <w:r>
            <w:t xml:space="preserve"> for instance, Microsoft’s Cloud Adoption Framework or enterprise architecture templates</w:t>
          </w:r>
          <w:r w:rsidR="007C497C">
            <w:t>,</w:t>
          </w:r>
          <w:r>
            <w:t xml:space="preserve"> to ensure all operational aspects are covered. While you may not name specific third-party tools, you can use generic scripts and reports (for example, a PowerShell script to gather SCCM client health across all devices, or an inventory of GPOs and applications) to collect needed data. The goal is a holistic view of “Day 0” operations, so that you can design the future “Day 1 and beyond” operations with Intune with minimal disruption.</w:t>
          </w:r>
        </w:p>
        <w:p w14:paraId="46803AD6" w14:textId="77777777" w:rsidR="008A4327" w:rsidRDefault="00E8207F" w:rsidP="001D2029">
          <w:pPr>
            <w:pStyle w:val="1ABodyTextLevel2"/>
          </w:pPr>
          <w:r>
            <w:t xml:space="preserve">In summary, understanding how IT supports the environment today will help you align your support model with the modern desktop approach. </w:t>
          </w:r>
        </w:p>
        <w:p w14:paraId="02F23317" w14:textId="77777777" w:rsidR="007C497C" w:rsidRDefault="007C497C" w:rsidP="001D2029">
          <w:pPr>
            <w:pStyle w:val="1ABodyTextLevel2"/>
          </w:pPr>
        </w:p>
        <w:p w14:paraId="6AEBC277" w14:textId="2454063E" w:rsidR="00E8207F" w:rsidRDefault="00E8207F" w:rsidP="001D2029">
          <w:pPr>
            <w:pStyle w:val="1ABodyTextLevel2"/>
          </w:pPr>
          <w:r>
            <w:t>You might identify training needs (e.g., cloud portal administration), shifts in responsibility (less imaging work, more policy management), and process changes (using Intune for wipes, using new remote assist tools, etc.). Documenting the current processes ensures that during migration, the IT support teams and end-users are prepared and that no critical support function is lost.</w:t>
          </w:r>
        </w:p>
        <w:p w14:paraId="7F487C5B" w14:textId="77777777" w:rsidR="007C497C" w:rsidRDefault="007C497C" w:rsidP="001D2029">
          <w:pPr>
            <w:pStyle w:val="1ABodyTextLevel2"/>
          </w:pPr>
        </w:p>
        <w:p w14:paraId="6F68FF39" w14:textId="5F56A440" w:rsidR="008A4327" w:rsidRDefault="00E8207F" w:rsidP="001D2029">
          <w:pPr>
            <w:pStyle w:val="1ABodyTextLevel2"/>
          </w:pPr>
          <w:r>
            <w:t>By thoroughly covering each of the domains above</w:t>
          </w:r>
          <w:r w:rsidR="007C497C">
            <w:t>,</w:t>
          </w:r>
          <w:r>
            <w:t xml:space="preserve"> Device Inventory, SCCM Infrastructure, Identity, GPOs, Applications, Compliance, Security, Updates, Networking, and Operations</w:t>
          </w:r>
          <w:r w:rsidR="007C497C">
            <w:t>,</w:t>
          </w:r>
          <w:r>
            <w:t xml:space="preserve"> you create a comprehensive Current State Overview. This serves as the baseline for your migration project. It not only helps in planning technical steps (like what policies to recreate in Intune, what apps to package, what network changes to implement) but also in stakeholder communication. Stakeholders can see clearly what is in place today and thus appreciate what will change when moving to a modern Intune-managed desktop environment. </w:t>
          </w:r>
        </w:p>
        <w:p w14:paraId="5EECF4C6" w14:textId="77777777" w:rsidR="007C497C" w:rsidRDefault="007C497C" w:rsidP="001D2029">
          <w:pPr>
            <w:pStyle w:val="1ABodyTextLevel2"/>
          </w:pPr>
        </w:p>
        <w:p w14:paraId="13D76D4E" w14:textId="764E870F" w:rsidR="00DC69B5" w:rsidRPr="00DC69B5" w:rsidRDefault="00E8207F" w:rsidP="001D2029">
          <w:pPr>
            <w:pStyle w:val="1ABodyTextLevel2"/>
          </w:pPr>
          <w:r>
            <w:t>Ensuring all this information is documented (often in spreadsheets, diagrams, and narrative form as we’ve outlined) will greatly support the success of your Modern Desktop migration blueprint. Each item you’ve assessed will tie into later phases of your project plan</w:t>
          </w:r>
          <w:r w:rsidR="007C497C">
            <w:t>,</w:t>
          </w:r>
          <w:r>
            <w:t xml:space="preserve"> whether it’s design decisions (based on current gaps or capabilities) or migration task sequences. A well-executed current state assessment, as detailed here, lays the groundwork for a smooth and informed transition.</w:t>
          </w:r>
        </w:p>
        <w:p w14:paraId="49E72FF7" w14:textId="21B2B5BD" w:rsidR="00CD7948" w:rsidRDefault="00CD7948" w:rsidP="00B40D32">
          <w:pPr>
            <w:pStyle w:val="1ANumberedHeading1"/>
          </w:pPr>
          <w:bookmarkStart w:id="8" w:name="_Toc204071182"/>
          <w:r>
            <w:t>Target State Vision</w:t>
          </w:r>
          <w:bookmarkEnd w:id="8"/>
        </w:p>
        <w:p w14:paraId="4CCA13B4" w14:textId="77777777" w:rsidR="007D7001" w:rsidRDefault="007D7001" w:rsidP="007D7001">
          <w:pPr>
            <w:pStyle w:val="1ABodyTextLevel1"/>
          </w:pPr>
          <w:r>
            <w:t>Establishing a clear vision for the modern desktop target state is critical to aligning technical decisions, stakeholder expectations, and migration efforts across the programme. This section defines what “good” looks like in a cloud-managed endpoint environment, focusing on user experience, architectural design, and operational outcomes.</w:t>
          </w:r>
        </w:p>
        <w:p w14:paraId="7F62C77D" w14:textId="77777777" w:rsidR="007D7001" w:rsidRDefault="007D7001" w:rsidP="007D7001">
          <w:pPr>
            <w:pStyle w:val="1ABodyTextLevel1"/>
          </w:pPr>
        </w:p>
        <w:p w14:paraId="4E1C91EE" w14:textId="0B8C0438" w:rsidR="007D7001" w:rsidRDefault="007D7001" w:rsidP="007D7001">
          <w:pPr>
            <w:pStyle w:val="1ABodyTextLevel1"/>
          </w:pPr>
          <w:r>
            <w:t>The target state represents the end goal: a simplified, secure, and agile endpoint environment underpinned by Microsoft Intune, Entra ID (Azure AD), and Windows Autopilot, supporting Zero Trust principles and hybrid work scenarios. The vision described here can be adapted for varying organisational needs but should serve as a consistent reference point throughout delivery.</w:t>
          </w:r>
        </w:p>
        <w:p w14:paraId="7F004A82" w14:textId="77777777" w:rsidR="007D7001" w:rsidRDefault="007D7001" w:rsidP="007D7001">
          <w:pPr>
            <w:pStyle w:val="1ABodyTextLevel1"/>
          </w:pPr>
        </w:p>
        <w:p w14:paraId="6DA04457" w14:textId="75E72752" w:rsidR="007D7001" w:rsidRDefault="007D7001" w:rsidP="007D7001">
          <w:pPr>
            <w:pStyle w:val="1ANumberedHeading2"/>
          </w:pPr>
          <w:r>
            <w:t>Modern Desktop Characteristics</w:t>
          </w:r>
        </w:p>
        <w:p w14:paraId="1E253F3F" w14:textId="77777777" w:rsidR="007D7001" w:rsidRDefault="007D7001" w:rsidP="001D2029">
          <w:pPr>
            <w:pStyle w:val="1ABodyTextLevel2"/>
          </w:pPr>
          <w:r>
            <w:t>The target modern desktop environment should exhibit the following characteristics:</w:t>
          </w:r>
        </w:p>
        <w:p w14:paraId="54F13642" w14:textId="77777777" w:rsidR="007D7001" w:rsidRDefault="007D7001" w:rsidP="001D2029">
          <w:pPr>
            <w:pStyle w:val="1ABodyTextLevel2"/>
          </w:pPr>
        </w:p>
        <w:p w14:paraId="15F80531" w14:textId="1236A1FE" w:rsidR="007D7001" w:rsidRDefault="007D7001" w:rsidP="001D2029">
          <w:pPr>
            <w:pStyle w:val="1ABodyTextLevel2"/>
            <w:numPr>
              <w:ilvl w:val="0"/>
              <w:numId w:val="69"/>
            </w:numPr>
          </w:pPr>
          <w:r w:rsidRPr="007D7001">
            <w:rPr>
              <w:b/>
              <w:bCs/>
            </w:rPr>
            <w:t>Cloud-native and agile:</w:t>
          </w:r>
          <w:r>
            <w:t xml:space="preserve"> Devices are managed entirely via cloud-based services (Intune, Entra ID), eliminating dependencies on traditional domain-joined infrastructure.</w:t>
          </w:r>
        </w:p>
        <w:p w14:paraId="66EBF035" w14:textId="45AA8370" w:rsidR="007D7001" w:rsidRDefault="007D7001" w:rsidP="001D2029">
          <w:pPr>
            <w:pStyle w:val="1ABodyTextLevel2"/>
            <w:numPr>
              <w:ilvl w:val="0"/>
              <w:numId w:val="69"/>
            </w:numPr>
          </w:pPr>
          <w:r w:rsidRPr="007D7001">
            <w:rPr>
              <w:b/>
              <w:bCs/>
            </w:rPr>
            <w:t>User-first experience:</w:t>
          </w:r>
          <w:r>
            <w:t xml:space="preserve"> Fast out-of-box setup using Autopilot, seamless application access via Company Portal, and minimal IT touch during provisioning or break/fix scenarios.</w:t>
          </w:r>
        </w:p>
        <w:p w14:paraId="046AFF11" w14:textId="4EC2078A" w:rsidR="007D7001" w:rsidRDefault="007D7001" w:rsidP="001D2029">
          <w:pPr>
            <w:pStyle w:val="1ABodyTextLevel2"/>
            <w:numPr>
              <w:ilvl w:val="0"/>
              <w:numId w:val="69"/>
            </w:numPr>
          </w:pPr>
          <w:r w:rsidRPr="007D7001">
            <w:rPr>
              <w:b/>
              <w:bCs/>
            </w:rPr>
            <w:t>Zero Trust security model:</w:t>
          </w:r>
          <w:r>
            <w:t xml:space="preserve"> Conditional Access enforces compliance and risk-based decisions at login and application access. Data is protected via encryption, MFA, and strong identity controls.</w:t>
          </w:r>
        </w:p>
        <w:p w14:paraId="17C7F28A" w14:textId="529DA57A" w:rsidR="007D7001" w:rsidRDefault="007D7001" w:rsidP="001D2029">
          <w:pPr>
            <w:pStyle w:val="1ABodyTextLevel2"/>
            <w:numPr>
              <w:ilvl w:val="0"/>
              <w:numId w:val="69"/>
            </w:numPr>
          </w:pPr>
          <w:r w:rsidRPr="007D7001">
            <w:rPr>
              <w:b/>
              <w:bCs/>
            </w:rPr>
            <w:t>Scalable and consistent operations:</w:t>
          </w:r>
          <w:r>
            <w:t xml:space="preserve"> Configuration, updates, and security policies are enforced through cloud policies and dynamic groups, providing consistency across geographies and departments.</w:t>
          </w:r>
        </w:p>
        <w:p w14:paraId="6CB056EC" w14:textId="5E88211A" w:rsidR="007D7001" w:rsidRDefault="007D7001" w:rsidP="001D2029">
          <w:pPr>
            <w:pStyle w:val="1ABodyTextLevel2"/>
            <w:numPr>
              <w:ilvl w:val="0"/>
              <w:numId w:val="69"/>
            </w:numPr>
          </w:pPr>
          <w:r w:rsidRPr="007D7001">
            <w:rPr>
              <w:b/>
              <w:bCs/>
            </w:rPr>
            <w:t>Data and identity-centric:</w:t>
          </w:r>
          <w:r>
            <w:t xml:space="preserve"> Users can work securely across devices, with data stored in OneDrive and access governed by their identity rather than the network they are on.</w:t>
          </w:r>
        </w:p>
        <w:p w14:paraId="03EEFA8A" w14:textId="55339CB7" w:rsidR="007D7001" w:rsidRDefault="007D7001" w:rsidP="001D2029">
          <w:pPr>
            <w:pStyle w:val="1ABodyTextLevel2"/>
            <w:numPr>
              <w:ilvl w:val="0"/>
              <w:numId w:val="69"/>
            </w:numPr>
          </w:pPr>
          <w:r w:rsidRPr="007D7001">
            <w:rPr>
              <w:b/>
              <w:bCs/>
            </w:rPr>
            <w:t>Telemetry-driven management:</w:t>
          </w:r>
          <w:r>
            <w:t xml:space="preserve"> Real-time health and compliance insights are captured via Endpoint Analytics and Microsoft Defender integrations, driving proactive remediation.</w:t>
          </w:r>
        </w:p>
        <w:p w14:paraId="54057826" w14:textId="37B7048C" w:rsidR="007D7001" w:rsidRDefault="007D7001" w:rsidP="007D7001">
          <w:pPr>
            <w:pStyle w:val="1ANumberedHeading2"/>
          </w:pPr>
          <w:r>
            <w:t>Technology Architecture</w:t>
          </w:r>
        </w:p>
        <w:p w14:paraId="52CF60E0" w14:textId="4E8891C8" w:rsidR="007D7001" w:rsidRDefault="007D7001" w:rsidP="001D2029">
          <w:pPr>
            <w:pStyle w:val="1ABodyTextLevel2"/>
          </w:pPr>
          <w:r w:rsidRPr="007D7001">
            <w:t>A standard modern desktop implementation will be based on the following architectural pillars:</w:t>
          </w:r>
        </w:p>
        <w:p w14:paraId="0120D14D" w14:textId="77777777" w:rsidR="007D7001" w:rsidRDefault="007D7001" w:rsidP="001D2029">
          <w:pPr>
            <w:pStyle w:val="1ABodyTextLevel2"/>
          </w:pPr>
        </w:p>
        <w:p w14:paraId="40095A90" w14:textId="77777777" w:rsidR="002053ED" w:rsidRDefault="002053ED" w:rsidP="001D2029">
          <w:pPr>
            <w:pStyle w:val="1ABodyTextLevel2"/>
          </w:pPr>
        </w:p>
        <w:p w14:paraId="698C9480" w14:textId="77777777" w:rsidR="002053ED" w:rsidRDefault="002053ED" w:rsidP="001D2029">
          <w:pPr>
            <w:pStyle w:val="1ABodyTextLevel2"/>
          </w:pPr>
        </w:p>
        <w:p w14:paraId="4D1505D1" w14:textId="77777777" w:rsidR="002053ED" w:rsidRDefault="002053ED" w:rsidP="001D2029">
          <w:pPr>
            <w:pStyle w:val="1ABodyTextLevel2"/>
          </w:pPr>
        </w:p>
        <w:p w14:paraId="50957CAC" w14:textId="77777777" w:rsidR="002053ED" w:rsidRDefault="002053ED" w:rsidP="001D2029">
          <w:pPr>
            <w:pStyle w:val="1ABodyTextLevel2"/>
          </w:pPr>
        </w:p>
        <w:p w14:paraId="5B2D4DEA" w14:textId="77777777" w:rsidR="002053ED" w:rsidRDefault="002053ED" w:rsidP="001D2029">
          <w:pPr>
            <w:pStyle w:val="1ABodyTextLevel2"/>
          </w:pPr>
        </w:p>
        <w:p w14:paraId="1830FA2A" w14:textId="77777777" w:rsidR="002053ED" w:rsidRDefault="002053ED" w:rsidP="001D2029">
          <w:pPr>
            <w:pStyle w:val="1ABodyTextLevel2"/>
          </w:pPr>
        </w:p>
        <w:tbl>
          <w:tblPr>
            <w:tblStyle w:val="TableGrid"/>
            <w:tblW w:w="0" w:type="auto"/>
            <w:tblInd w:w="567" w:type="dxa"/>
            <w:tblLook w:val="04A0" w:firstRow="1" w:lastRow="0" w:firstColumn="1" w:lastColumn="0" w:noHBand="0" w:noVBand="1"/>
          </w:tblPr>
          <w:tblGrid>
            <w:gridCol w:w="3077"/>
            <w:gridCol w:w="5282"/>
          </w:tblGrid>
          <w:tr w:rsidR="007D7001" w14:paraId="4C10E419" w14:textId="77777777" w:rsidTr="007D7001">
            <w:tc>
              <w:tcPr>
                <w:tcW w:w="3077" w:type="dxa"/>
              </w:tcPr>
              <w:p w14:paraId="6BF02FD6" w14:textId="6419A34A" w:rsidR="007D7001" w:rsidRPr="007D7001" w:rsidRDefault="007D7001" w:rsidP="001D2029">
                <w:pPr>
                  <w:pStyle w:val="1ABodyTextLevel2"/>
                </w:pPr>
                <w:r w:rsidRPr="007D7001">
                  <w:lastRenderedPageBreak/>
                  <w:t>Component</w:t>
                </w:r>
              </w:p>
            </w:tc>
            <w:tc>
              <w:tcPr>
                <w:tcW w:w="5282" w:type="dxa"/>
              </w:tcPr>
              <w:p w14:paraId="78681595" w14:textId="6A9597F0" w:rsidR="007D7001" w:rsidRPr="007D7001" w:rsidRDefault="007D7001" w:rsidP="001D2029">
                <w:pPr>
                  <w:pStyle w:val="1ABodyTextLevel2"/>
                </w:pPr>
                <w:r w:rsidRPr="007D7001">
                  <w:t>Role in Target State</w:t>
                </w:r>
              </w:p>
            </w:tc>
          </w:tr>
          <w:tr w:rsidR="007D7001" w14:paraId="3AF1C984" w14:textId="77777777" w:rsidTr="007D7001">
            <w:tc>
              <w:tcPr>
                <w:tcW w:w="3077" w:type="dxa"/>
              </w:tcPr>
              <w:p w14:paraId="3F0B6D5F" w14:textId="1D9CCC0D" w:rsidR="007D7001" w:rsidRDefault="007D7001" w:rsidP="001D2029">
                <w:pPr>
                  <w:pStyle w:val="1ABodyTextLevel2"/>
                </w:pPr>
                <w:r>
                  <w:t>Microsoft Intune</w:t>
                </w:r>
              </w:p>
            </w:tc>
            <w:tc>
              <w:tcPr>
                <w:tcW w:w="5282" w:type="dxa"/>
              </w:tcPr>
              <w:p w14:paraId="346FAAA2" w14:textId="234CD1B6" w:rsidR="007D7001" w:rsidRDefault="007D7001" w:rsidP="001D2029">
                <w:pPr>
                  <w:pStyle w:val="1ABodyTextLevel2"/>
                </w:pPr>
                <w:r>
                  <w:t>Core MDM and MAM platform for Windows, macOS, iOS, Android</w:t>
                </w:r>
              </w:p>
            </w:tc>
          </w:tr>
          <w:tr w:rsidR="007D7001" w14:paraId="45BAACED" w14:textId="77777777" w:rsidTr="007D7001">
            <w:tc>
              <w:tcPr>
                <w:tcW w:w="3077" w:type="dxa"/>
              </w:tcPr>
              <w:p w14:paraId="68CC9D6D" w14:textId="29F9DDEC" w:rsidR="007D7001" w:rsidRDefault="007D7001" w:rsidP="001D2029">
                <w:pPr>
                  <w:pStyle w:val="1ABodyTextLevel2"/>
                </w:pPr>
                <w:r>
                  <w:t xml:space="preserve">Entra ID </w:t>
                </w:r>
              </w:p>
            </w:tc>
            <w:tc>
              <w:tcPr>
                <w:tcW w:w="5282" w:type="dxa"/>
              </w:tcPr>
              <w:p w14:paraId="0CC03B96" w14:textId="1677AD38" w:rsidR="007D7001" w:rsidRDefault="007D7001" w:rsidP="001D2029">
                <w:pPr>
                  <w:pStyle w:val="1ABodyTextLevel2"/>
                </w:pPr>
                <w:r>
                  <w:t>Device identity, group management, Conditional Access, role-based access control</w:t>
                </w:r>
              </w:p>
            </w:tc>
          </w:tr>
          <w:tr w:rsidR="007D7001" w14:paraId="3C5AC7A2" w14:textId="77777777" w:rsidTr="007D7001">
            <w:tc>
              <w:tcPr>
                <w:tcW w:w="3077" w:type="dxa"/>
              </w:tcPr>
              <w:p w14:paraId="2588EC39" w14:textId="083CF4DF" w:rsidR="007D7001" w:rsidRDefault="007D7001" w:rsidP="001D2029">
                <w:pPr>
                  <w:pStyle w:val="1ABodyTextLevel2"/>
                </w:pPr>
                <w:r>
                  <w:t>Windows Autopilot</w:t>
                </w:r>
              </w:p>
            </w:tc>
            <w:tc>
              <w:tcPr>
                <w:tcW w:w="5282" w:type="dxa"/>
              </w:tcPr>
              <w:p w14:paraId="10DAFE4F" w14:textId="258AB2FB" w:rsidR="007D7001" w:rsidRDefault="007D7001" w:rsidP="001D2029">
                <w:pPr>
                  <w:pStyle w:val="1ABodyTextLevel2"/>
                </w:pPr>
                <w:r>
                  <w:t>Enables zero-touch provisioning and out-of-box setup for new and re-provisioned PCs</w:t>
                </w:r>
              </w:p>
            </w:tc>
          </w:tr>
          <w:tr w:rsidR="007D7001" w14:paraId="2FB1BD5E" w14:textId="77777777" w:rsidTr="007D7001">
            <w:tc>
              <w:tcPr>
                <w:tcW w:w="3077" w:type="dxa"/>
              </w:tcPr>
              <w:p w14:paraId="01A96EC4" w14:textId="550101DA" w:rsidR="007D7001" w:rsidRDefault="007D7001" w:rsidP="001D2029">
                <w:pPr>
                  <w:pStyle w:val="1ABodyTextLevel2"/>
                </w:pPr>
                <w:r>
                  <w:t>Microsoft 365 Apps</w:t>
                </w:r>
              </w:p>
            </w:tc>
            <w:tc>
              <w:tcPr>
                <w:tcW w:w="5282" w:type="dxa"/>
              </w:tcPr>
              <w:p w14:paraId="5C0B11AB" w14:textId="22B0EAA7" w:rsidR="007D7001" w:rsidRDefault="007D7001" w:rsidP="001D2029">
                <w:pPr>
                  <w:pStyle w:val="1ABodyTextLevel2"/>
                </w:pPr>
                <w:r>
                  <w:t>Cloud productivity suite, deployed and updated via Intune</w:t>
                </w:r>
              </w:p>
            </w:tc>
          </w:tr>
          <w:tr w:rsidR="007D7001" w14:paraId="760EA44D" w14:textId="77777777" w:rsidTr="007D7001">
            <w:tc>
              <w:tcPr>
                <w:tcW w:w="3077" w:type="dxa"/>
              </w:tcPr>
              <w:p w14:paraId="50BA81D5" w14:textId="7826D611" w:rsidR="007D7001" w:rsidRDefault="007D7001" w:rsidP="001D2029">
                <w:pPr>
                  <w:pStyle w:val="1ABodyTextLevel2"/>
                </w:pPr>
                <w:r>
                  <w:t>Defender for Endpoint</w:t>
                </w:r>
              </w:p>
            </w:tc>
            <w:tc>
              <w:tcPr>
                <w:tcW w:w="5282" w:type="dxa"/>
              </w:tcPr>
              <w:p w14:paraId="1E13BB8C" w14:textId="04EF3C5F" w:rsidR="007D7001" w:rsidRDefault="007D7001" w:rsidP="001D2029">
                <w:pPr>
                  <w:pStyle w:val="1ABodyTextLevel2"/>
                </w:pPr>
                <w:r>
                  <w:t>Advanced threat protection, EDR and compliance signals</w:t>
                </w:r>
              </w:p>
            </w:tc>
          </w:tr>
          <w:tr w:rsidR="007D7001" w14:paraId="77FF8101" w14:textId="77777777" w:rsidTr="007D7001">
            <w:tc>
              <w:tcPr>
                <w:tcW w:w="3077" w:type="dxa"/>
              </w:tcPr>
              <w:p w14:paraId="2AC211E3" w14:textId="68EBB518" w:rsidR="007D7001" w:rsidRDefault="007D7001" w:rsidP="001D2029">
                <w:pPr>
                  <w:pStyle w:val="1ABodyTextLevel2"/>
                </w:pPr>
                <w:r>
                  <w:t>Windows Hello for Business</w:t>
                </w:r>
              </w:p>
            </w:tc>
            <w:tc>
              <w:tcPr>
                <w:tcW w:w="5282" w:type="dxa"/>
              </w:tcPr>
              <w:p w14:paraId="72350B4D" w14:textId="358F367B" w:rsidR="007D7001" w:rsidRDefault="007D7001" w:rsidP="001D2029">
                <w:pPr>
                  <w:pStyle w:val="1ABodyTextLevel2"/>
                </w:pPr>
                <w:proofErr w:type="spellStart"/>
                <w:r>
                  <w:t>Passwordless</w:t>
                </w:r>
                <w:proofErr w:type="spellEnd"/>
                <w:r>
                  <w:t xml:space="preserve"> authentication and improved sign-in security</w:t>
                </w:r>
              </w:p>
            </w:tc>
          </w:tr>
          <w:tr w:rsidR="007D7001" w14:paraId="15F1CB40" w14:textId="77777777" w:rsidTr="007D7001">
            <w:tc>
              <w:tcPr>
                <w:tcW w:w="3077" w:type="dxa"/>
              </w:tcPr>
              <w:p w14:paraId="2005031E" w14:textId="5229E194" w:rsidR="007D7001" w:rsidRDefault="007D7001" w:rsidP="001D2029">
                <w:pPr>
                  <w:pStyle w:val="1ABodyTextLevel2"/>
                </w:pPr>
                <w:r>
                  <w:t>OneDrive for Business</w:t>
                </w:r>
              </w:p>
            </w:tc>
            <w:tc>
              <w:tcPr>
                <w:tcW w:w="5282" w:type="dxa"/>
              </w:tcPr>
              <w:p w14:paraId="7B556432" w14:textId="2BBFBCE3" w:rsidR="007D7001" w:rsidRDefault="007D7001" w:rsidP="001D2029">
                <w:pPr>
                  <w:pStyle w:val="1ABodyTextLevel2"/>
                </w:pPr>
                <w:r>
                  <w:t>Profile and document redirection (KFM), enabling enterprise state roaming</w:t>
                </w:r>
              </w:p>
            </w:tc>
          </w:tr>
        </w:tbl>
        <w:p w14:paraId="1A80D321" w14:textId="77777777" w:rsidR="007D7001" w:rsidRDefault="007D7001" w:rsidP="001D2029">
          <w:pPr>
            <w:pStyle w:val="1ABodyTextLevel2"/>
          </w:pPr>
        </w:p>
        <w:p w14:paraId="0983084B" w14:textId="76D435D0" w:rsidR="002053ED" w:rsidRDefault="002053ED" w:rsidP="002053ED">
          <w:pPr>
            <w:pStyle w:val="1ANumberedHeading2"/>
          </w:pPr>
          <w:r>
            <w:t>End User Experience</w:t>
          </w:r>
        </w:p>
        <w:p w14:paraId="7F6A21F7" w14:textId="50F2F2F8" w:rsidR="002053ED" w:rsidRDefault="002053ED" w:rsidP="001D2029">
          <w:pPr>
            <w:pStyle w:val="1ABodyTextLevel2"/>
          </w:pPr>
          <w:r>
            <w:t>The modern desktop experience for end users should be:</w:t>
          </w:r>
          <w:r>
            <w:br/>
          </w:r>
        </w:p>
        <w:p w14:paraId="25A5F060" w14:textId="6BC14E45" w:rsidR="002053ED" w:rsidRDefault="002053ED" w:rsidP="001D2029">
          <w:pPr>
            <w:pStyle w:val="1ABodyTextLevel2"/>
            <w:numPr>
              <w:ilvl w:val="0"/>
              <w:numId w:val="70"/>
            </w:numPr>
          </w:pPr>
          <w:r w:rsidRPr="002053ED">
            <w:rPr>
              <w:b/>
              <w:bCs/>
            </w:rPr>
            <w:t>Fast and secure out-of-box:</w:t>
          </w:r>
          <w:r>
            <w:t xml:space="preserve"> New devices arrive pre-registered and pre-assigned via Autopilot. Users sign in with cloud credentials and receive apps, policies, and security settings automatically.</w:t>
          </w:r>
        </w:p>
        <w:p w14:paraId="6A035F13" w14:textId="2DE381AA" w:rsidR="002053ED" w:rsidRDefault="002053ED" w:rsidP="001D2029">
          <w:pPr>
            <w:pStyle w:val="1ABodyTextLevel2"/>
            <w:numPr>
              <w:ilvl w:val="0"/>
              <w:numId w:val="70"/>
            </w:numPr>
          </w:pPr>
          <w:r w:rsidRPr="002053ED">
            <w:rPr>
              <w:b/>
              <w:bCs/>
            </w:rPr>
            <w:t>Self-service enabled:</w:t>
          </w:r>
          <w:r>
            <w:t xml:space="preserve"> Apps are available via the Company Portal. Password resets, BitLocker key recovery, and device wipe are handled via self-service portals or helpdesk with minimal disruption.</w:t>
          </w:r>
        </w:p>
        <w:p w14:paraId="1E6351B1" w14:textId="22925796" w:rsidR="002053ED" w:rsidRDefault="002053ED" w:rsidP="001D2029">
          <w:pPr>
            <w:pStyle w:val="1ABodyTextLevel2"/>
            <w:numPr>
              <w:ilvl w:val="0"/>
              <w:numId w:val="70"/>
            </w:numPr>
          </w:pPr>
          <w:r w:rsidRPr="002053ED">
            <w:rPr>
              <w:b/>
              <w:bCs/>
            </w:rPr>
            <w:t>Mobile and consistent:</w:t>
          </w:r>
          <w:r>
            <w:t xml:space="preserve"> Whether in-office or remote, users experience the same performance, security, and access controls.</w:t>
          </w:r>
        </w:p>
        <w:p w14:paraId="076E2559" w14:textId="3D3C6768" w:rsidR="002053ED" w:rsidRDefault="002053ED" w:rsidP="001D2029">
          <w:pPr>
            <w:pStyle w:val="1ABodyTextLevel2"/>
            <w:numPr>
              <w:ilvl w:val="0"/>
              <w:numId w:val="70"/>
            </w:numPr>
          </w:pPr>
          <w:r w:rsidRPr="002053ED">
            <w:rPr>
              <w:b/>
              <w:bCs/>
            </w:rPr>
            <w:t>Minimal downtime:</w:t>
          </w:r>
          <w:r>
            <w:t xml:space="preserve"> Issues are resolved via reset, autopilot re-provisioning, or remote assistance, avoiding re-imaging or manual interventions.</w:t>
          </w:r>
        </w:p>
        <w:p w14:paraId="621DDCA9" w14:textId="1B414F6B" w:rsidR="002053ED" w:rsidRDefault="002053ED" w:rsidP="002053ED">
          <w:pPr>
            <w:pStyle w:val="1ANumberedHeading2"/>
          </w:pPr>
          <w:r>
            <w:t>Alignment to Business Strategy</w:t>
          </w:r>
        </w:p>
        <w:p w14:paraId="7C90D87B" w14:textId="77777777" w:rsidR="002053ED" w:rsidRDefault="002053ED" w:rsidP="001D2029">
          <w:pPr>
            <w:pStyle w:val="1ABodyTextLevel2"/>
          </w:pPr>
          <w:r>
            <w:t>The modern desktop target state enables the following business objectives:</w:t>
          </w:r>
        </w:p>
        <w:p w14:paraId="5BCDE815" w14:textId="2ED86F08" w:rsidR="002053ED" w:rsidRDefault="002053ED" w:rsidP="001D2029">
          <w:pPr>
            <w:pStyle w:val="1ABodyTextLevel2"/>
            <w:numPr>
              <w:ilvl w:val="0"/>
              <w:numId w:val="71"/>
            </w:numPr>
          </w:pPr>
          <w:r w:rsidRPr="002053ED">
            <w:rPr>
              <w:b/>
              <w:bCs/>
            </w:rPr>
            <w:lastRenderedPageBreak/>
            <w:t>Hybrid workforce enablement:</w:t>
          </w:r>
          <w:r>
            <w:t xml:space="preserve"> Secure access from anywhere without reliance on VPN or LAN-only systems.</w:t>
          </w:r>
        </w:p>
        <w:p w14:paraId="054D6225" w14:textId="6B7DC916" w:rsidR="002053ED" w:rsidRDefault="002053ED" w:rsidP="001D2029">
          <w:pPr>
            <w:pStyle w:val="1ABodyTextLevel2"/>
            <w:numPr>
              <w:ilvl w:val="0"/>
              <w:numId w:val="71"/>
            </w:numPr>
          </w:pPr>
          <w:r w:rsidRPr="002053ED">
            <w:rPr>
              <w:b/>
              <w:bCs/>
            </w:rPr>
            <w:t>Operational cost reduction:</w:t>
          </w:r>
          <w:r>
            <w:t xml:space="preserve"> Eliminates on-prem infrastructure (e.g. SCCM servers, imaging infrastructure), reduces manual IT effort.</w:t>
          </w:r>
        </w:p>
        <w:p w14:paraId="04BAEA3B" w14:textId="2439DFD8" w:rsidR="002053ED" w:rsidRDefault="002053ED" w:rsidP="001D2029">
          <w:pPr>
            <w:pStyle w:val="1ABodyTextLevel2"/>
            <w:numPr>
              <w:ilvl w:val="0"/>
              <w:numId w:val="71"/>
            </w:numPr>
          </w:pPr>
          <w:r w:rsidRPr="002053ED">
            <w:rPr>
              <w:b/>
              <w:bCs/>
            </w:rPr>
            <w:t>Faster time to value:</w:t>
          </w:r>
          <w:r>
            <w:t xml:space="preserve"> New starters are productive on day one with fully provisioned, policy-compliant devices.</w:t>
          </w:r>
        </w:p>
        <w:p w14:paraId="11B8832C" w14:textId="6F753167" w:rsidR="002053ED" w:rsidRDefault="002053ED" w:rsidP="001D2029">
          <w:pPr>
            <w:pStyle w:val="1ABodyTextLevel2"/>
            <w:numPr>
              <w:ilvl w:val="0"/>
              <w:numId w:val="71"/>
            </w:numPr>
          </w:pPr>
          <w:r w:rsidRPr="002053ED">
            <w:rPr>
              <w:b/>
              <w:bCs/>
            </w:rPr>
            <w:t>Security assurance:</w:t>
          </w:r>
          <w:r>
            <w:t xml:space="preserve"> Compliance, encryption, and access controls enforced through a unified cloud stack.</w:t>
          </w:r>
        </w:p>
        <w:p w14:paraId="49A47D21" w14:textId="2AEC13A3" w:rsidR="002053ED" w:rsidRDefault="002053ED" w:rsidP="001D2029">
          <w:pPr>
            <w:pStyle w:val="1ABodyTextLevel2"/>
            <w:numPr>
              <w:ilvl w:val="0"/>
              <w:numId w:val="71"/>
            </w:numPr>
          </w:pPr>
          <w:proofErr w:type="gramStart"/>
          <w:r w:rsidRPr="002053ED">
            <w:rPr>
              <w:b/>
              <w:bCs/>
            </w:rPr>
            <w:t>Future-proofing</w:t>
          </w:r>
          <w:proofErr w:type="gramEnd"/>
          <w:r w:rsidRPr="002053ED">
            <w:rPr>
              <w:b/>
              <w:bCs/>
            </w:rPr>
            <w:t>:</w:t>
          </w:r>
          <w:r>
            <w:t xml:space="preserve"> Aligns with Microsoft’s roadmap and ecosystem strategy, reducing the need for disruptive architectural change in future.</w:t>
          </w:r>
        </w:p>
        <w:p w14:paraId="3BD36DE9" w14:textId="41B687BB" w:rsidR="001D2029" w:rsidRDefault="001D2029" w:rsidP="001D2029">
          <w:pPr>
            <w:pStyle w:val="1ANumberedHeading2"/>
          </w:pPr>
          <w:r>
            <w:t>Summary</w:t>
          </w:r>
        </w:p>
        <w:p w14:paraId="02192B9C" w14:textId="5C8C4C10" w:rsidR="001D2029" w:rsidRPr="001D2029" w:rsidRDefault="001D2029" w:rsidP="001D2029">
          <w:pPr>
            <w:pStyle w:val="p1"/>
            <w:ind w:left="567"/>
            <w:rPr>
              <w:rFonts w:ascii="Open Sans" w:hAnsi="Open Sans" w:cs="Open Sans"/>
              <w:sz w:val="20"/>
              <w:szCs w:val="20"/>
            </w:rPr>
          </w:pPr>
          <w:r w:rsidRPr="001D2029">
            <w:rPr>
              <w:rFonts w:ascii="Open Sans" w:hAnsi="Open Sans" w:cs="Open Sans"/>
              <w:sz w:val="20"/>
              <w:szCs w:val="20"/>
            </w:rPr>
            <w:t xml:space="preserve">The target state defines a fully cloud-managed, secure, and user-centric Modern Desktop environment built on </w:t>
          </w:r>
          <w:r w:rsidRPr="001D2029">
            <w:rPr>
              <w:rStyle w:val="s1"/>
              <w:rFonts w:ascii="Open Sans" w:eastAsiaTheme="majorEastAsia" w:hAnsi="Open Sans" w:cs="Open Sans"/>
              <w:b/>
              <w:bCs/>
              <w:sz w:val="20"/>
              <w:szCs w:val="20"/>
            </w:rPr>
            <w:t>Microsoft Intune</w:t>
          </w:r>
          <w:r w:rsidRPr="001D2029">
            <w:rPr>
              <w:rFonts w:ascii="Open Sans" w:hAnsi="Open Sans" w:cs="Open Sans"/>
              <w:sz w:val="20"/>
              <w:szCs w:val="20"/>
            </w:rPr>
            <w:t xml:space="preserve">, </w:t>
          </w:r>
          <w:r w:rsidRPr="001D2029">
            <w:rPr>
              <w:rStyle w:val="s1"/>
              <w:rFonts w:ascii="Open Sans" w:eastAsiaTheme="majorEastAsia" w:hAnsi="Open Sans" w:cs="Open Sans"/>
              <w:b/>
              <w:bCs/>
              <w:sz w:val="20"/>
              <w:szCs w:val="20"/>
            </w:rPr>
            <w:t>Entra ID</w:t>
          </w:r>
          <w:r w:rsidRPr="001D2029">
            <w:rPr>
              <w:rFonts w:ascii="Open Sans" w:hAnsi="Open Sans" w:cs="Open Sans"/>
              <w:sz w:val="20"/>
              <w:szCs w:val="20"/>
            </w:rPr>
            <w:t xml:space="preserve">, and </w:t>
          </w:r>
          <w:r w:rsidRPr="001D2029">
            <w:rPr>
              <w:rStyle w:val="s1"/>
              <w:rFonts w:ascii="Open Sans" w:eastAsiaTheme="majorEastAsia" w:hAnsi="Open Sans" w:cs="Open Sans"/>
              <w:b/>
              <w:bCs/>
              <w:sz w:val="20"/>
              <w:szCs w:val="20"/>
            </w:rPr>
            <w:t>Windows Autopilot</w:t>
          </w:r>
          <w:r w:rsidRPr="001D2029">
            <w:rPr>
              <w:rFonts w:ascii="Open Sans" w:hAnsi="Open Sans" w:cs="Open Sans"/>
              <w:sz w:val="20"/>
              <w:szCs w:val="20"/>
            </w:rPr>
            <w:t>. Devices are managed without reliance on traditional on-prem infrastructure, enabling agile provisioning, Zero Trust security, and consistent user experiences regardless of location.</w:t>
          </w:r>
        </w:p>
        <w:p w14:paraId="1AAABB51" w14:textId="77777777" w:rsidR="001D2029" w:rsidRPr="001D2029" w:rsidRDefault="001D2029" w:rsidP="001D2029">
          <w:pPr>
            <w:pStyle w:val="p1"/>
            <w:ind w:left="567"/>
            <w:rPr>
              <w:rFonts w:ascii="Open Sans" w:hAnsi="Open Sans" w:cs="Open Sans"/>
              <w:sz w:val="20"/>
              <w:szCs w:val="20"/>
            </w:rPr>
          </w:pPr>
          <w:r w:rsidRPr="001D2029">
            <w:rPr>
              <w:rFonts w:ascii="Open Sans" w:hAnsi="Open Sans" w:cs="Open Sans"/>
              <w:sz w:val="20"/>
              <w:szCs w:val="20"/>
            </w:rPr>
            <w:t>This future state empowers organisations to:</w:t>
          </w:r>
        </w:p>
        <w:p w14:paraId="22E0DC62" w14:textId="77777777" w:rsidR="001D2029" w:rsidRPr="001D2029" w:rsidRDefault="001D2029" w:rsidP="001D2029">
          <w:pPr>
            <w:pStyle w:val="p1"/>
            <w:numPr>
              <w:ilvl w:val="0"/>
              <w:numId w:val="80"/>
            </w:numPr>
            <w:tabs>
              <w:tab w:val="clear" w:pos="720"/>
              <w:tab w:val="num" w:pos="1287"/>
            </w:tabs>
            <w:ind w:left="1287"/>
            <w:rPr>
              <w:rFonts w:ascii="Open Sans" w:hAnsi="Open Sans" w:cs="Open Sans"/>
              <w:sz w:val="20"/>
              <w:szCs w:val="20"/>
            </w:rPr>
          </w:pPr>
          <w:r w:rsidRPr="001D2029">
            <w:rPr>
              <w:rFonts w:ascii="Open Sans" w:hAnsi="Open Sans" w:cs="Open Sans"/>
              <w:sz w:val="20"/>
              <w:szCs w:val="20"/>
            </w:rPr>
            <w:t xml:space="preserve">Streamline device onboarding through </w:t>
          </w:r>
          <w:r w:rsidRPr="001D2029">
            <w:rPr>
              <w:rStyle w:val="s1"/>
              <w:rFonts w:ascii="Open Sans" w:eastAsiaTheme="majorEastAsia" w:hAnsi="Open Sans" w:cs="Open Sans"/>
              <w:b/>
              <w:bCs/>
              <w:sz w:val="20"/>
              <w:szCs w:val="20"/>
            </w:rPr>
            <w:t>Autopilot and out-of-box provisioning</w:t>
          </w:r>
        </w:p>
        <w:p w14:paraId="277370CC" w14:textId="77777777" w:rsidR="001D2029" w:rsidRPr="001D2029" w:rsidRDefault="001D2029" w:rsidP="001D2029">
          <w:pPr>
            <w:pStyle w:val="p1"/>
            <w:numPr>
              <w:ilvl w:val="0"/>
              <w:numId w:val="80"/>
            </w:numPr>
            <w:tabs>
              <w:tab w:val="clear" w:pos="720"/>
              <w:tab w:val="num" w:pos="1287"/>
            </w:tabs>
            <w:ind w:left="1287"/>
            <w:rPr>
              <w:rFonts w:ascii="Open Sans" w:hAnsi="Open Sans" w:cs="Open Sans"/>
              <w:sz w:val="20"/>
              <w:szCs w:val="20"/>
            </w:rPr>
          </w:pPr>
          <w:r w:rsidRPr="001D2029">
            <w:rPr>
              <w:rFonts w:ascii="Open Sans" w:hAnsi="Open Sans" w:cs="Open Sans"/>
              <w:sz w:val="20"/>
              <w:szCs w:val="20"/>
            </w:rPr>
            <w:t xml:space="preserve">Enforce strong identity and compliance via </w:t>
          </w:r>
          <w:r w:rsidRPr="001D2029">
            <w:rPr>
              <w:rStyle w:val="s1"/>
              <w:rFonts w:ascii="Open Sans" w:eastAsiaTheme="majorEastAsia" w:hAnsi="Open Sans" w:cs="Open Sans"/>
              <w:b/>
              <w:bCs/>
              <w:sz w:val="20"/>
              <w:szCs w:val="20"/>
            </w:rPr>
            <w:t>Conditional Access and Entra ID</w:t>
          </w:r>
        </w:p>
        <w:p w14:paraId="12BB09BE" w14:textId="77777777" w:rsidR="001D2029" w:rsidRPr="001D2029" w:rsidRDefault="001D2029" w:rsidP="001D2029">
          <w:pPr>
            <w:pStyle w:val="p1"/>
            <w:numPr>
              <w:ilvl w:val="0"/>
              <w:numId w:val="80"/>
            </w:numPr>
            <w:tabs>
              <w:tab w:val="clear" w:pos="720"/>
              <w:tab w:val="num" w:pos="1287"/>
            </w:tabs>
            <w:ind w:left="1287"/>
            <w:rPr>
              <w:rFonts w:ascii="Open Sans" w:hAnsi="Open Sans" w:cs="Open Sans"/>
              <w:sz w:val="20"/>
              <w:szCs w:val="20"/>
            </w:rPr>
          </w:pPr>
          <w:r w:rsidRPr="001D2029">
            <w:rPr>
              <w:rStyle w:val="s1"/>
              <w:rFonts w:ascii="Open Sans" w:eastAsiaTheme="majorEastAsia" w:hAnsi="Open Sans" w:cs="Open Sans"/>
              <w:sz w:val="20"/>
              <w:szCs w:val="20"/>
            </w:rPr>
            <w:t xml:space="preserve">Simplify operations through </w:t>
          </w:r>
          <w:r w:rsidRPr="001D2029">
            <w:rPr>
              <w:rFonts w:ascii="Open Sans" w:hAnsi="Open Sans" w:cs="Open Sans"/>
              <w:b/>
              <w:bCs/>
              <w:sz w:val="20"/>
              <w:szCs w:val="20"/>
            </w:rPr>
            <w:t>policy-driven configuration</w:t>
          </w:r>
          <w:r w:rsidRPr="001D2029">
            <w:rPr>
              <w:rStyle w:val="s1"/>
              <w:rFonts w:ascii="Open Sans" w:eastAsiaTheme="majorEastAsia" w:hAnsi="Open Sans" w:cs="Open Sans"/>
              <w:sz w:val="20"/>
              <w:szCs w:val="20"/>
            </w:rPr>
            <w:t xml:space="preserve"> and </w:t>
          </w:r>
          <w:r w:rsidRPr="001D2029">
            <w:rPr>
              <w:rFonts w:ascii="Open Sans" w:hAnsi="Open Sans" w:cs="Open Sans"/>
              <w:b/>
              <w:bCs/>
              <w:sz w:val="20"/>
              <w:szCs w:val="20"/>
            </w:rPr>
            <w:t>centralised management</w:t>
          </w:r>
        </w:p>
        <w:p w14:paraId="2C718A60" w14:textId="77777777" w:rsidR="001D2029" w:rsidRPr="001D2029" w:rsidRDefault="001D2029" w:rsidP="001D2029">
          <w:pPr>
            <w:pStyle w:val="p1"/>
            <w:numPr>
              <w:ilvl w:val="0"/>
              <w:numId w:val="80"/>
            </w:numPr>
            <w:tabs>
              <w:tab w:val="clear" w:pos="720"/>
              <w:tab w:val="num" w:pos="1287"/>
            </w:tabs>
            <w:ind w:left="1287"/>
            <w:rPr>
              <w:rFonts w:ascii="Open Sans" w:hAnsi="Open Sans" w:cs="Open Sans"/>
              <w:sz w:val="20"/>
              <w:szCs w:val="20"/>
            </w:rPr>
          </w:pPr>
          <w:r w:rsidRPr="001D2029">
            <w:rPr>
              <w:rFonts w:ascii="Open Sans" w:hAnsi="Open Sans" w:cs="Open Sans"/>
              <w:sz w:val="20"/>
              <w:szCs w:val="20"/>
            </w:rPr>
            <w:t>Reduce infrastructure overhead and improve end-user satisfaction</w:t>
          </w:r>
        </w:p>
        <w:p w14:paraId="2D837E13" w14:textId="2232214B" w:rsidR="001D2029" w:rsidRPr="001D2029" w:rsidRDefault="001D2029" w:rsidP="001D2029">
          <w:pPr>
            <w:pStyle w:val="p1"/>
            <w:numPr>
              <w:ilvl w:val="0"/>
              <w:numId w:val="80"/>
            </w:numPr>
            <w:tabs>
              <w:tab w:val="clear" w:pos="720"/>
              <w:tab w:val="num" w:pos="1287"/>
            </w:tabs>
            <w:ind w:left="1287"/>
            <w:rPr>
              <w:rFonts w:ascii="Open Sans" w:hAnsi="Open Sans" w:cs="Open Sans"/>
              <w:sz w:val="20"/>
              <w:szCs w:val="20"/>
            </w:rPr>
          </w:pPr>
          <w:r w:rsidRPr="001D2029">
            <w:rPr>
              <w:rFonts w:ascii="Open Sans" w:hAnsi="Open Sans" w:cs="Open Sans"/>
              <w:sz w:val="20"/>
              <w:szCs w:val="20"/>
            </w:rPr>
            <w:t xml:space="preserve">Align with Microsoft’s roadmap and leading standards for </w:t>
          </w:r>
          <w:r w:rsidRPr="001D2029">
            <w:rPr>
              <w:rStyle w:val="s1"/>
              <w:rFonts w:ascii="Open Sans" w:eastAsiaTheme="majorEastAsia" w:hAnsi="Open Sans" w:cs="Open Sans"/>
              <w:b/>
              <w:bCs/>
              <w:sz w:val="20"/>
              <w:szCs w:val="20"/>
            </w:rPr>
            <w:t>hybrid work and endpoint security</w:t>
          </w:r>
        </w:p>
        <w:p w14:paraId="53394AA7" w14:textId="16EBDB3B" w:rsidR="00CD7948" w:rsidRPr="001D2029" w:rsidRDefault="001D2029" w:rsidP="001D2029">
          <w:pPr>
            <w:pStyle w:val="p1"/>
            <w:ind w:left="567"/>
            <w:rPr>
              <w:rFonts w:ascii="Open Sans" w:hAnsi="Open Sans" w:cs="Open Sans"/>
              <w:sz w:val="20"/>
              <w:szCs w:val="20"/>
            </w:rPr>
          </w:pPr>
          <w:r w:rsidRPr="001D2029">
            <w:rPr>
              <w:rFonts w:ascii="Open Sans" w:hAnsi="Open Sans" w:cs="Open Sans"/>
              <w:sz w:val="20"/>
              <w:szCs w:val="20"/>
            </w:rPr>
            <w:t>The vision balances technical excellence with user experience, enabling scalable, secure, and future-ready desktop operations.</w:t>
          </w:r>
        </w:p>
        <w:p w14:paraId="57F1DA55" w14:textId="2A713855" w:rsidR="00CD7948" w:rsidRDefault="00CD7948" w:rsidP="00B40D32">
          <w:pPr>
            <w:pStyle w:val="1ANumberedHeading1"/>
          </w:pPr>
          <w:bookmarkStart w:id="9" w:name="_Toc204071183"/>
          <w:r>
            <w:t>Key Prerequisites</w:t>
          </w:r>
          <w:bookmarkEnd w:id="9"/>
        </w:p>
        <w:p w14:paraId="442C1A6D" w14:textId="77777777" w:rsidR="008C5476" w:rsidRPr="008C5476" w:rsidRDefault="008C5476" w:rsidP="00E82C8F">
          <w:pPr>
            <w:pStyle w:val="1ANumberedHeading2"/>
          </w:pPr>
          <w:r w:rsidRPr="008C5476">
            <w:t>Key Prerequisites: Tenant Configuration Readiness</w:t>
          </w:r>
        </w:p>
        <w:p w14:paraId="6AFE9A8A" w14:textId="77777777" w:rsidR="008C5476" w:rsidRPr="008C5476" w:rsidRDefault="008C5476" w:rsidP="001D2029">
          <w:pPr>
            <w:pStyle w:val="1ABodyTextLevel2"/>
          </w:pPr>
          <w:r w:rsidRPr="008C5476">
            <w:t>Before initiating the technical deployment of a Modern Desktop environment, it is essential to ensure that the foundational cloud tenant configuration is in a mature and operationally ready state. Many challenges encountered during endpoint onboarding, policy deployment, and identity management can be traced back to incomplete or inconsistent tenant setup. This section outlines the critical prerequisites required for tenant readiness, with a specific focus on Entra ID (formerly Azure AD) configuration, cloud-only versus hybrid identity decisions, and licensing alignment.</w:t>
          </w:r>
        </w:p>
        <w:p w14:paraId="447BA342" w14:textId="77777777" w:rsidR="008C5476" w:rsidRPr="008C5476" w:rsidRDefault="008C5476" w:rsidP="002719C0">
          <w:pPr>
            <w:pStyle w:val="1ANumberedHeading3"/>
          </w:pPr>
          <w:r w:rsidRPr="008C5476">
            <w:lastRenderedPageBreak/>
            <w:t>Purpose of Tenant Readiness Assessment</w:t>
          </w:r>
        </w:p>
        <w:p w14:paraId="5632F005" w14:textId="6F682C5C" w:rsidR="008C5476" w:rsidRPr="008C5476" w:rsidRDefault="008C5476" w:rsidP="00295972">
          <w:pPr>
            <w:pStyle w:val="1ABodyTextLevel3"/>
          </w:pPr>
          <w:r w:rsidRPr="008C5476">
            <w:t>The cloud tenant underpins all Modern Desktop capabilities from device identity and compliance to policy enforcement and reporting. A tenant readiness assessment enables the project team to:</w:t>
          </w:r>
        </w:p>
        <w:p w14:paraId="7B2ECFDF" w14:textId="77777777" w:rsidR="008C5476" w:rsidRPr="00F678A3" w:rsidRDefault="008C5476" w:rsidP="00F678A3">
          <w:pPr>
            <w:pStyle w:val="1ABulletTextLevel3"/>
          </w:pPr>
          <w:r w:rsidRPr="00F678A3">
            <w:t>Confirm that core cloud identity and device services are operational and aligned with architectural requirements.</w:t>
          </w:r>
        </w:p>
        <w:p w14:paraId="4DE998F8" w14:textId="77777777" w:rsidR="008C5476" w:rsidRPr="00F678A3" w:rsidRDefault="008C5476" w:rsidP="00F678A3">
          <w:pPr>
            <w:pStyle w:val="1ABulletTextLevel3"/>
          </w:pPr>
          <w:r w:rsidRPr="00F678A3">
            <w:t>Identify misconfigurations or gaps that could block device onboarding or degrade user experience.</w:t>
          </w:r>
        </w:p>
        <w:p w14:paraId="159E3EC8" w14:textId="77777777" w:rsidR="008C5476" w:rsidRPr="00F678A3" w:rsidRDefault="008C5476" w:rsidP="00F678A3">
          <w:pPr>
            <w:pStyle w:val="1ABulletTextLevel3"/>
          </w:pPr>
          <w:r w:rsidRPr="00F678A3">
            <w:t>Ensure licensing models and feature access align with the planned deployment approach.</w:t>
          </w:r>
        </w:p>
        <w:p w14:paraId="6A618716" w14:textId="0AE36E8B" w:rsidR="008C5476" w:rsidRPr="008C5476" w:rsidRDefault="008C5476" w:rsidP="008C5476">
          <w:pPr>
            <w:pStyle w:val="1ABulletTextLevel3"/>
          </w:pPr>
          <w:r w:rsidRPr="00F678A3">
            <w:t>Establish a consistent and supportable baseline across production, pilot, and test environments.</w:t>
          </w:r>
        </w:p>
        <w:p w14:paraId="03B5C82E" w14:textId="52147B93" w:rsidR="00CD7948" w:rsidRDefault="00CD7948" w:rsidP="00F678A3">
          <w:pPr>
            <w:pStyle w:val="1ABulletTextLevel3"/>
          </w:pPr>
          <w:r>
            <w:t>Entra ID hybrid or cloud-only decisions</w:t>
          </w:r>
        </w:p>
        <w:p w14:paraId="0618A70A" w14:textId="77777777" w:rsidR="00B17B4A" w:rsidRPr="00B17B4A" w:rsidRDefault="00B17B4A" w:rsidP="00E82C8F">
          <w:pPr>
            <w:pStyle w:val="1ANumberedHeading2"/>
          </w:pPr>
          <w:r w:rsidRPr="00B17B4A">
            <w:t>Entra ID Configuration and Identity Model</w:t>
          </w:r>
        </w:p>
        <w:p w14:paraId="7ACCE779" w14:textId="77777777" w:rsidR="00B17B4A" w:rsidRPr="00B17B4A" w:rsidRDefault="00B17B4A" w:rsidP="00B17B4A">
          <w:r w:rsidRPr="00B17B4A">
            <w:t>A clear understanding of the organisation’s identity approach is foundational to Modern Desktop success. Key considerations include:</w:t>
          </w:r>
        </w:p>
        <w:p w14:paraId="21D8F9AE" w14:textId="27EA0FDD" w:rsidR="00B17B4A" w:rsidRPr="00B17B4A" w:rsidRDefault="00B17B4A" w:rsidP="002719C0">
          <w:pPr>
            <w:pStyle w:val="1ANumberedHeading3"/>
          </w:pPr>
          <w:r w:rsidRPr="00B17B4A">
            <w:t>Identity Source Strategy</w:t>
          </w:r>
        </w:p>
        <w:p w14:paraId="1BEF5145" w14:textId="77777777" w:rsidR="00B17B4A" w:rsidRPr="00B17B4A" w:rsidRDefault="00B17B4A" w:rsidP="00B17B4A">
          <w:pPr>
            <w:numPr>
              <w:ilvl w:val="0"/>
              <w:numId w:val="45"/>
            </w:numPr>
          </w:pPr>
          <w:r w:rsidRPr="00B17B4A">
            <w:rPr>
              <w:b/>
              <w:bCs/>
            </w:rPr>
            <w:t>Cloud-Only Identity</w:t>
          </w:r>
          <w:r w:rsidRPr="00B17B4A">
            <w:br/>
            <w:t>Suitable for greenfield deployments, remote-first workforces, or where legacy domain join is being deprecated. Simplifies provisioning and reduces dependency on legacy infrastructure but may require rethinking existing access policies and automation processes.</w:t>
          </w:r>
        </w:p>
        <w:p w14:paraId="470D7B5D" w14:textId="77777777" w:rsidR="00B17B4A" w:rsidRPr="00B17B4A" w:rsidRDefault="00B17B4A" w:rsidP="00B17B4A">
          <w:pPr>
            <w:numPr>
              <w:ilvl w:val="0"/>
              <w:numId w:val="45"/>
            </w:numPr>
          </w:pPr>
          <w:r w:rsidRPr="00B17B4A">
            <w:rPr>
              <w:b/>
              <w:bCs/>
            </w:rPr>
            <w:t>Hybrid Identity (Synchronized with On-Prem AD)</w:t>
          </w:r>
          <w:r w:rsidRPr="00B17B4A">
            <w:br/>
            <w:t>Retains integration with existing Active Directory environments via directory synchronisation. Often used where legacy applications, group policies, or domain-based access are still in use.</w:t>
          </w:r>
        </w:p>
        <w:p w14:paraId="4035E2FF" w14:textId="3A0450B8" w:rsidR="000D534D" w:rsidRDefault="00B17B4A" w:rsidP="002719C0">
          <w:pPr>
            <w:pStyle w:val="1ANumberedHeading4"/>
          </w:pPr>
          <w:r w:rsidRPr="00B17B4A">
            <w:t>Recommendation</w:t>
          </w:r>
        </w:p>
        <w:p w14:paraId="6B427A92" w14:textId="0B1859B3" w:rsidR="00B17B4A" w:rsidRPr="00B17B4A" w:rsidRDefault="00B17B4A" w:rsidP="00102BCD">
          <w:pPr>
            <w:pStyle w:val="1ABodyTextLevel3"/>
          </w:pPr>
          <w:r w:rsidRPr="00B17B4A">
            <w:t>Clearly document the chosen model and ensure it aligns with broader enterprise identity and application strategy. Avoid partial implementations that lead to inconsistent user experiences or device states.</w:t>
          </w:r>
        </w:p>
        <w:p w14:paraId="7065206F" w14:textId="26CE3425" w:rsidR="00B17B4A" w:rsidRPr="00B17B4A" w:rsidRDefault="00B17B4A" w:rsidP="002719C0">
          <w:pPr>
            <w:pStyle w:val="1ANumberedHeading3"/>
          </w:pPr>
          <w:r w:rsidRPr="00B17B4A">
            <w:t>Directory Synchronisation and Federation Readiness (if applicable)</w:t>
          </w:r>
        </w:p>
        <w:p w14:paraId="729A23A7" w14:textId="77777777" w:rsidR="00B17B4A" w:rsidRPr="00B17B4A" w:rsidRDefault="00B17B4A" w:rsidP="00B17B4A">
          <w:pPr>
            <w:numPr>
              <w:ilvl w:val="0"/>
              <w:numId w:val="46"/>
            </w:numPr>
          </w:pPr>
          <w:r w:rsidRPr="00B17B4A">
            <w:t>Validate that directory synchronisation services are healthy, up to date, and scoped appropriately for device objects and relevant user attributes.</w:t>
          </w:r>
        </w:p>
        <w:p w14:paraId="1E56BC13" w14:textId="77777777" w:rsidR="00B17B4A" w:rsidRPr="00B17B4A" w:rsidRDefault="00B17B4A" w:rsidP="00B17B4A">
          <w:pPr>
            <w:numPr>
              <w:ilvl w:val="0"/>
              <w:numId w:val="46"/>
            </w:numPr>
          </w:pPr>
          <w:r w:rsidRPr="00B17B4A">
            <w:lastRenderedPageBreak/>
            <w:t>Review any identity federation configurations (e.g. SSO, token lifetimes, MFA integration) for compatibility with Intune, compliance policies, and conditional access scenarios.</w:t>
          </w:r>
        </w:p>
        <w:p w14:paraId="0079E8DE" w14:textId="2CEC1120" w:rsidR="00B17B4A" w:rsidRPr="00B17B4A" w:rsidRDefault="00B17B4A" w:rsidP="002719C0">
          <w:pPr>
            <w:pStyle w:val="1ANumberedHeading3"/>
          </w:pPr>
          <w:r w:rsidRPr="00B17B4A">
            <w:t>Device Identity and Join Method</w:t>
          </w:r>
        </w:p>
        <w:p w14:paraId="5FE73675" w14:textId="77777777" w:rsidR="00B17B4A" w:rsidRPr="00B17B4A" w:rsidRDefault="00B17B4A" w:rsidP="00B17B4A">
          <w:pPr>
            <w:numPr>
              <w:ilvl w:val="0"/>
              <w:numId w:val="47"/>
            </w:numPr>
          </w:pPr>
          <w:r w:rsidRPr="00B17B4A">
            <w:t xml:space="preserve">Decide whether devices will be </w:t>
          </w:r>
          <w:r w:rsidRPr="00B17B4A">
            <w:rPr>
              <w:b/>
              <w:bCs/>
            </w:rPr>
            <w:t>Entra ID joined</w:t>
          </w:r>
          <w:r w:rsidRPr="00B17B4A">
            <w:t xml:space="preserve">, </w:t>
          </w:r>
          <w:r w:rsidRPr="00B17B4A">
            <w:rPr>
              <w:b/>
              <w:bCs/>
            </w:rPr>
            <w:t xml:space="preserve">hybrid </w:t>
          </w:r>
          <w:proofErr w:type="gramStart"/>
          <w:r w:rsidRPr="00B17B4A">
            <w:rPr>
              <w:b/>
              <w:bCs/>
            </w:rPr>
            <w:t>joined</w:t>
          </w:r>
          <w:r w:rsidRPr="00B17B4A">
            <w:t>, or</w:t>
          </w:r>
          <w:proofErr w:type="gramEnd"/>
          <w:r w:rsidRPr="00B17B4A">
            <w:t xml:space="preserve"> </w:t>
          </w:r>
          <w:r w:rsidRPr="00B17B4A">
            <w:rPr>
              <w:b/>
              <w:bCs/>
            </w:rPr>
            <w:t>registered only</w:t>
          </w:r>
          <w:r w:rsidRPr="00B17B4A">
            <w:t xml:space="preserve"> (for BYOD or mobile).</w:t>
          </w:r>
        </w:p>
        <w:p w14:paraId="44210DFB" w14:textId="77777777" w:rsidR="00B17B4A" w:rsidRDefault="00B17B4A" w:rsidP="00B17B4A">
          <w:pPr>
            <w:numPr>
              <w:ilvl w:val="0"/>
              <w:numId w:val="47"/>
            </w:numPr>
          </w:pPr>
          <w:r w:rsidRPr="00B17B4A">
            <w:t>Ensure all required prerequisites (e.g. Autopilot profile assignments, enrolment restrictions, naming conventions) are tested and confirmed for the chosen model.</w:t>
          </w:r>
        </w:p>
        <w:p w14:paraId="69E6C540" w14:textId="77777777" w:rsidR="00F27C7B" w:rsidRPr="00F27C7B" w:rsidRDefault="00F27C7B" w:rsidP="00E82C8F">
          <w:pPr>
            <w:pStyle w:val="1ANumberedHeading2"/>
          </w:pPr>
          <w:r w:rsidRPr="00F27C7B">
            <w:t>Conditional Access and Security Dependencies</w:t>
          </w:r>
        </w:p>
        <w:p w14:paraId="552A1665" w14:textId="77777777" w:rsidR="00F27C7B" w:rsidRPr="00F27C7B" w:rsidRDefault="00F27C7B" w:rsidP="00F27C7B">
          <w:r w:rsidRPr="00F27C7B">
            <w:t>Modern Desktop deployment typically involves enforcement of security baselines via Conditional Access policies. These are dependent on a well-structured identity and compliance posture.</w:t>
          </w:r>
        </w:p>
        <w:p w14:paraId="4AA9FAFB" w14:textId="77777777" w:rsidR="00F27C7B" w:rsidRPr="00F27C7B" w:rsidRDefault="00F27C7B" w:rsidP="00F27C7B">
          <w:pPr>
            <w:numPr>
              <w:ilvl w:val="0"/>
              <w:numId w:val="50"/>
            </w:numPr>
          </w:pPr>
          <w:r w:rsidRPr="00F27C7B">
            <w:t>Validate baseline Conditional Access policies do not block device enrolment or initial provisioning.</w:t>
          </w:r>
        </w:p>
        <w:p w14:paraId="760E444D" w14:textId="77777777" w:rsidR="00F27C7B" w:rsidRPr="00F27C7B" w:rsidRDefault="00F27C7B" w:rsidP="00F27C7B">
          <w:pPr>
            <w:numPr>
              <w:ilvl w:val="0"/>
              <w:numId w:val="50"/>
            </w:numPr>
          </w:pPr>
          <w:r w:rsidRPr="00F27C7B">
            <w:t>Define and test onboarding policies that allow temporary, scoped relaxation of controls for provisioning or testing.</w:t>
          </w:r>
        </w:p>
        <w:p w14:paraId="1C5F2500" w14:textId="77777777" w:rsidR="00F27C7B" w:rsidRPr="00F27C7B" w:rsidRDefault="00F27C7B" w:rsidP="00F27C7B">
          <w:pPr>
            <w:numPr>
              <w:ilvl w:val="0"/>
              <w:numId w:val="50"/>
            </w:numPr>
          </w:pPr>
          <w:r w:rsidRPr="00F27C7B">
            <w:t>Confirm integration with compliance signals (e.g. Intune compliance policies, Defender risk levels) to support adaptive access decisions.</w:t>
          </w:r>
        </w:p>
        <w:p w14:paraId="091B418D" w14:textId="77777777" w:rsidR="00F27C7B" w:rsidRPr="00F27C7B" w:rsidRDefault="00F27C7B" w:rsidP="00E82C8F">
          <w:pPr>
            <w:pStyle w:val="1ANumberedHeading2"/>
          </w:pPr>
          <w:r w:rsidRPr="00F27C7B">
            <w:t>Tenant Environment Hygiene and Governance</w:t>
          </w:r>
        </w:p>
        <w:p w14:paraId="75AE7BD0" w14:textId="77777777" w:rsidR="00F27C7B" w:rsidRPr="00F27C7B" w:rsidRDefault="00F27C7B" w:rsidP="00F27C7B">
          <w:r w:rsidRPr="00F27C7B">
            <w:t>Establishing good tenant hygiene reduces risk and improves predictability during rollout:</w:t>
          </w:r>
        </w:p>
        <w:p w14:paraId="41D0C03E" w14:textId="77777777" w:rsidR="00F27C7B" w:rsidRPr="00F27C7B" w:rsidRDefault="00F27C7B" w:rsidP="00F27C7B">
          <w:pPr>
            <w:numPr>
              <w:ilvl w:val="0"/>
              <w:numId w:val="51"/>
            </w:numPr>
          </w:pPr>
          <w:r w:rsidRPr="00F27C7B">
            <w:t>Clean up stale user, device, and group objects.</w:t>
          </w:r>
        </w:p>
        <w:p w14:paraId="006BD0BC" w14:textId="77777777" w:rsidR="00F27C7B" w:rsidRPr="00F27C7B" w:rsidRDefault="00F27C7B" w:rsidP="00F27C7B">
          <w:pPr>
            <w:numPr>
              <w:ilvl w:val="0"/>
              <w:numId w:val="51"/>
            </w:numPr>
          </w:pPr>
          <w:r w:rsidRPr="00F27C7B">
            <w:t>Review and document tenant-wide policies (e.g. device restrictions, naming conventions, enrolment limits).</w:t>
          </w:r>
        </w:p>
        <w:p w14:paraId="43337757" w14:textId="77777777" w:rsidR="00F27C7B" w:rsidRPr="00F27C7B" w:rsidRDefault="00F27C7B" w:rsidP="00F27C7B">
          <w:pPr>
            <w:numPr>
              <w:ilvl w:val="0"/>
              <w:numId w:val="51"/>
            </w:numPr>
          </w:pPr>
          <w:r w:rsidRPr="00F27C7B">
            <w:t>Establish environment segmentation (e.g. test vs production) with appropriate RBAC roles and change control mechanisms.</w:t>
          </w:r>
        </w:p>
        <w:p w14:paraId="09B9F4A1" w14:textId="5FB4019D" w:rsidR="00B17B4A" w:rsidRPr="00B17B4A" w:rsidRDefault="00F27C7B" w:rsidP="00B17B4A">
          <w:pPr>
            <w:numPr>
              <w:ilvl w:val="0"/>
              <w:numId w:val="51"/>
            </w:numPr>
          </w:pPr>
          <w:r w:rsidRPr="00F27C7B">
            <w:t>Ensure audit logging and alerting is enabled and tested for key identity and device events.</w:t>
          </w:r>
        </w:p>
        <w:p w14:paraId="6FCD38B1" w14:textId="49429D7C" w:rsidR="00CD7948" w:rsidRDefault="00CD7948" w:rsidP="00BF58D3">
          <w:pPr>
            <w:pStyle w:val="1ABulletTextLevel1"/>
          </w:pPr>
          <w:r>
            <w:tab/>
            <w:t>Licensing: Intune, Entra, Autopilot</w:t>
          </w:r>
        </w:p>
        <w:p w14:paraId="1F5C678C" w14:textId="77777777" w:rsidR="006E6AE8" w:rsidRPr="006E6AE8" w:rsidRDefault="006E6AE8" w:rsidP="00E82C8F">
          <w:pPr>
            <w:pStyle w:val="1ANumberedHeading2"/>
          </w:pPr>
          <w:r w:rsidRPr="006E6AE8">
            <w:t>Licensing Considerations</w:t>
          </w:r>
        </w:p>
        <w:p w14:paraId="36FD325D" w14:textId="77777777" w:rsidR="006E6AE8" w:rsidRPr="006E6AE8" w:rsidRDefault="006E6AE8" w:rsidP="006E6AE8">
          <w:r w:rsidRPr="006E6AE8">
            <w:t>Licensing affects both technical capability and compliance. Organisations must ensure that all required features for Modern Desktop are covered by assigned licences across users and devices.</w:t>
          </w:r>
        </w:p>
        <w:p w14:paraId="2A81DEB9" w14:textId="56E8F734" w:rsidR="006E6AE8" w:rsidRPr="006E6AE8" w:rsidRDefault="006E6AE8" w:rsidP="002719C0">
          <w:pPr>
            <w:pStyle w:val="1ANumberedHeading3"/>
          </w:pPr>
          <w:r w:rsidRPr="006E6AE8">
            <w:lastRenderedPageBreak/>
            <w:t>Core Licence Features to Validate</w:t>
          </w:r>
        </w:p>
        <w:p w14:paraId="534A16E1" w14:textId="77777777" w:rsidR="006E6AE8" w:rsidRPr="006E6AE8" w:rsidRDefault="006E6AE8" w:rsidP="006E6AE8">
          <w:r w:rsidRPr="006E6AE8">
            <w:t>Licences should entitle users/devices to:</w:t>
          </w:r>
        </w:p>
        <w:p w14:paraId="5C5C8E01" w14:textId="77777777" w:rsidR="006E6AE8" w:rsidRPr="006E6AE8" w:rsidRDefault="006E6AE8" w:rsidP="006E6AE8">
          <w:pPr>
            <w:numPr>
              <w:ilvl w:val="0"/>
              <w:numId w:val="48"/>
            </w:numPr>
          </w:pPr>
          <w:r w:rsidRPr="006E6AE8">
            <w:t>Mobile Device Management (MDM) capabilities via Intune</w:t>
          </w:r>
        </w:p>
        <w:p w14:paraId="65C09527" w14:textId="77777777" w:rsidR="006E6AE8" w:rsidRPr="006E6AE8" w:rsidRDefault="006E6AE8" w:rsidP="006E6AE8">
          <w:pPr>
            <w:numPr>
              <w:ilvl w:val="0"/>
              <w:numId w:val="48"/>
            </w:numPr>
          </w:pPr>
          <w:r w:rsidRPr="006E6AE8">
            <w:t>Entra ID Premium features (for Conditional Access, dynamic groups, etc.)</w:t>
          </w:r>
        </w:p>
        <w:p w14:paraId="2826DC60" w14:textId="77777777" w:rsidR="006E6AE8" w:rsidRPr="006E6AE8" w:rsidRDefault="006E6AE8" w:rsidP="006E6AE8">
          <w:pPr>
            <w:numPr>
              <w:ilvl w:val="0"/>
              <w:numId w:val="48"/>
            </w:numPr>
          </w:pPr>
          <w:r w:rsidRPr="006E6AE8">
            <w:t>Microsoft Defender or equivalent endpoint protection and compliance integrations (if in scope)</w:t>
          </w:r>
        </w:p>
        <w:p w14:paraId="75E1153B" w14:textId="77777777" w:rsidR="006E6AE8" w:rsidRPr="006E6AE8" w:rsidRDefault="006E6AE8" w:rsidP="006E6AE8">
          <w:pPr>
            <w:numPr>
              <w:ilvl w:val="0"/>
              <w:numId w:val="48"/>
            </w:numPr>
          </w:pPr>
          <w:r w:rsidRPr="006E6AE8">
            <w:t>Windows Enterprise OS entitlements (where upgrading from Pro)</w:t>
          </w:r>
        </w:p>
        <w:p w14:paraId="56F867C7" w14:textId="77777777" w:rsidR="006E6AE8" w:rsidRPr="006E6AE8" w:rsidRDefault="006E6AE8" w:rsidP="006E6AE8">
          <w:pPr>
            <w:numPr>
              <w:ilvl w:val="0"/>
              <w:numId w:val="48"/>
            </w:numPr>
          </w:pPr>
          <w:r w:rsidRPr="006E6AE8">
            <w:t>Autopilot and provisioning-related services</w:t>
          </w:r>
        </w:p>
        <w:p w14:paraId="12B21423" w14:textId="77777777" w:rsidR="006E6AE8" w:rsidRPr="006E6AE8" w:rsidRDefault="006E6AE8" w:rsidP="006E6AE8">
          <w:r w:rsidRPr="006E6AE8">
            <w:rPr>
              <w:b/>
              <w:bCs/>
            </w:rPr>
            <w:t>Tip</w:t>
          </w:r>
          <w:r w:rsidRPr="006E6AE8">
            <w:t>: Maintain a matrix of required capabilities versus current licensing tiers. Identify any gaps and budget for uplift or consolidation where necessary.</w:t>
          </w:r>
        </w:p>
        <w:p w14:paraId="54BB4A32" w14:textId="12569E2A" w:rsidR="006E6AE8" w:rsidRPr="006E6AE8" w:rsidRDefault="006E6AE8" w:rsidP="002719C0">
          <w:pPr>
            <w:pStyle w:val="1ANumberedHeading3"/>
          </w:pPr>
          <w:r w:rsidRPr="006E6AE8">
            <w:t>Licence Assignment Strategy</w:t>
          </w:r>
        </w:p>
        <w:p w14:paraId="301A44F2" w14:textId="77777777" w:rsidR="006E6AE8" w:rsidRPr="006E6AE8" w:rsidRDefault="006E6AE8" w:rsidP="006E6AE8">
          <w:pPr>
            <w:numPr>
              <w:ilvl w:val="0"/>
              <w:numId w:val="49"/>
            </w:numPr>
          </w:pPr>
          <w:r w:rsidRPr="006E6AE8">
            <w:t>Ensure consistent licence assignment across pilot and production environments to avoid configuration drift.</w:t>
          </w:r>
        </w:p>
        <w:p w14:paraId="7AD3B726" w14:textId="77777777" w:rsidR="006E6AE8" w:rsidRPr="006E6AE8" w:rsidRDefault="006E6AE8" w:rsidP="006E6AE8">
          <w:pPr>
            <w:numPr>
              <w:ilvl w:val="0"/>
              <w:numId w:val="49"/>
            </w:numPr>
          </w:pPr>
          <w:r w:rsidRPr="006E6AE8">
            <w:t>Consider group-based licence assignment to reduce operational overhead and support scaling.</w:t>
          </w:r>
        </w:p>
        <w:p w14:paraId="318ADB04" w14:textId="101FEF6C" w:rsidR="00C47FD8" w:rsidRDefault="006E6AE8" w:rsidP="00401590">
          <w:pPr>
            <w:numPr>
              <w:ilvl w:val="0"/>
              <w:numId w:val="49"/>
            </w:numPr>
          </w:pPr>
          <w:r w:rsidRPr="006E6AE8">
            <w:t>Include frontline workers, VIPs, and service accounts in the licensing review to avoid unintentional exclusions.</w:t>
          </w:r>
        </w:p>
        <w:p w14:paraId="6B910C91" w14:textId="77777777" w:rsidR="00CF3259" w:rsidRPr="00E21F47" w:rsidRDefault="00C47FD8" w:rsidP="00401590">
          <w:pPr>
            <w:pStyle w:val="1ANumberedHeading2"/>
          </w:pPr>
          <w:r w:rsidRPr="00647E15">
            <w:t xml:space="preserve">Overcoming Network Challenges in the </w:t>
          </w:r>
          <w:r w:rsidRPr="00CF3259">
            <w:t>Legacy</w:t>
          </w:r>
          <w:r w:rsidRPr="00647E15">
            <w:t xml:space="preserve"> On-Prem Environment</w:t>
          </w:r>
        </w:p>
        <w:p w14:paraId="7DE36F3B" w14:textId="77777777" w:rsidR="00CF3259" w:rsidRDefault="00CF3259" w:rsidP="001D2029">
          <w:pPr>
            <w:pStyle w:val="1ABodyTextLevel2"/>
          </w:pPr>
          <w:r w:rsidRPr="00620D36">
            <w:t xml:space="preserve">Before transitioning to a Modern Desktop model, it is essential to understand and mitigate the inherent limitations posed by a legacy, on-premises network architecture. These limitations can significantly </w:t>
          </w:r>
          <w:r w:rsidRPr="00CF3259">
            <w:t>impede</w:t>
          </w:r>
          <w:r w:rsidRPr="00620D36">
            <w:t xml:space="preserve"> deployment velocity, user experience, and the effectiveness of cloud-based management platforms such as Intune. This section outlines common network-related challenges within SCCM-managed environments and provides strategic guidance for overcoming them to ensure a successful migration to a cloud-managed model.</w:t>
          </w:r>
        </w:p>
        <w:p w14:paraId="64F671D0" w14:textId="77777777" w:rsidR="006C12CD" w:rsidRDefault="006C12CD" w:rsidP="002719C0">
          <w:pPr>
            <w:pStyle w:val="1ANumberedHeading3"/>
          </w:pPr>
          <w:r w:rsidRPr="00077A34">
            <w:t>Hurdles in Traditional On-Prem Network Architectures</w:t>
          </w:r>
        </w:p>
        <w:p w14:paraId="5D792CDA" w14:textId="77777777" w:rsidR="006C12CD" w:rsidRDefault="006C12CD" w:rsidP="0073799B">
          <w:pPr>
            <w:pStyle w:val="1ABodyTextLevel3"/>
          </w:pPr>
          <w:r w:rsidRPr="00077A34">
            <w:t xml:space="preserve">Legacy desktop environments typically operate within tightly controlled, perimeter-based networks. While this </w:t>
          </w:r>
          <w:r w:rsidRPr="0073799B">
            <w:t>model</w:t>
          </w:r>
          <w:r w:rsidRPr="00077A34">
            <w:t xml:space="preserve"> provided robustness in an era of static devices and centralised offices, it now presents several barriers to modern, flexible endpoint management:</w:t>
          </w:r>
        </w:p>
        <w:p w14:paraId="0CBA7D71" w14:textId="77777777" w:rsidR="006C12CD" w:rsidRPr="00D10916" w:rsidRDefault="006C12CD" w:rsidP="0073799B">
          <w:pPr>
            <w:pStyle w:val="1ABulletTextLevel4"/>
          </w:pPr>
          <w:r w:rsidRPr="0073799B">
            <w:t>Dependency on Internal Infrastructure</w:t>
          </w:r>
          <w:r w:rsidRPr="00D10916">
            <w:br/>
            <w:t xml:space="preserve">Devices often require direct network line-of-sight to internal distribution points, </w:t>
          </w:r>
          <w:r w:rsidRPr="00D10916">
            <w:lastRenderedPageBreak/>
            <w:t>management points, or domain controllers for patching, policy application, and software deployment.</w:t>
          </w:r>
        </w:p>
        <w:p w14:paraId="696B0E26" w14:textId="77777777" w:rsidR="006C12CD" w:rsidRPr="00D10916" w:rsidRDefault="006C12CD" w:rsidP="0073799B">
          <w:pPr>
            <w:pStyle w:val="1ABulletTextLevel4"/>
          </w:pPr>
          <w:r w:rsidRPr="00D10916">
            <w:t>Latency and Congestion on VPNs</w:t>
          </w:r>
          <w:r w:rsidRPr="00D10916">
            <w:br/>
            <w:t>Remote endpoints connecting via VPN may experience high latency or throttling, resulting in degraded performance for software distribution, updates, and compliance checks.</w:t>
          </w:r>
        </w:p>
        <w:p w14:paraId="4B0AA730" w14:textId="77777777" w:rsidR="006C12CD" w:rsidRPr="00D10916" w:rsidRDefault="006C12CD" w:rsidP="0073799B">
          <w:pPr>
            <w:pStyle w:val="1ABulletTextLevel4"/>
          </w:pPr>
          <w:r w:rsidRPr="00D10916">
            <w:t>Limited Support for Roaming or Hybrid Workstyles</w:t>
          </w:r>
          <w:r w:rsidRPr="00D10916">
            <w:br/>
            <w:t>Rigid networking boundaries can restrict access for mobile or hybrid users, leading to inconsistent policy enforcement and security gaps outside the corporate LAN.</w:t>
          </w:r>
        </w:p>
        <w:p w14:paraId="72BCBF0A" w14:textId="77777777" w:rsidR="006C12CD" w:rsidRPr="00D10916" w:rsidRDefault="006C12CD" w:rsidP="0073799B">
          <w:pPr>
            <w:pStyle w:val="1ABulletTextLevel4"/>
          </w:pPr>
          <w:r w:rsidRPr="00D10916">
            <w:t>Bottlenecks in Content Delivery</w:t>
          </w:r>
          <w:r w:rsidRPr="00D10916">
            <w:br/>
            <w:t>Traditional peer caching and file share delivery models may not scale effectively across multiple branch locations or large geographic regions.</w:t>
          </w:r>
        </w:p>
        <w:p w14:paraId="4DF9E455" w14:textId="77777777" w:rsidR="006C12CD" w:rsidRDefault="006C12CD" w:rsidP="0073799B">
          <w:pPr>
            <w:pStyle w:val="1ABulletTextLevel4"/>
          </w:pPr>
          <w:r w:rsidRPr="00D10916">
            <w:t>Firewall and Proxy Constraints</w:t>
          </w:r>
          <w:r w:rsidRPr="00D10916">
            <w:br/>
            <w:t>Outbound network restrictions or legacy proxy configurations may block cloud service endpoints required by Modern Desktop management platforms.</w:t>
          </w:r>
        </w:p>
        <w:p w14:paraId="3ACB7358" w14:textId="0C8D6013" w:rsidR="00651B56" w:rsidRDefault="00651B56" w:rsidP="002719C0">
          <w:pPr>
            <w:pStyle w:val="1ANumberedHeading3"/>
          </w:pPr>
          <w:r w:rsidRPr="00651B56">
            <w:t>Strategic Considerations for Network Readiness</w:t>
          </w:r>
        </w:p>
        <w:p w14:paraId="3D4B09F5" w14:textId="53A44AE2" w:rsidR="00651B56" w:rsidRDefault="00E276F8" w:rsidP="00651B56">
          <w:pPr>
            <w:pStyle w:val="1ABodyTextLevel3"/>
            <w:rPr>
              <w:lang w:bidi="en-US"/>
            </w:rPr>
          </w:pPr>
          <w:r w:rsidRPr="00E276F8">
            <w:rPr>
              <w:lang w:bidi="en-US"/>
            </w:rPr>
            <w:t>To enable a scalable and performant Modern Desktop model, organisations must proactively re-architect parts of their networking and connectivity posture. The following recommendations outline practical approaches to addressing common network issues:</w:t>
          </w:r>
        </w:p>
        <w:p w14:paraId="71FA4623" w14:textId="77777777" w:rsidR="00A83FD4" w:rsidRDefault="00A83FD4" w:rsidP="00494027">
          <w:pPr>
            <w:pStyle w:val="1ABodyTextLevel3"/>
          </w:pPr>
          <w:r>
            <w:t>Decouple Endpoint Management from the Corporate LAN</w:t>
          </w:r>
        </w:p>
        <w:p w14:paraId="20A4229B" w14:textId="7A8382B9" w:rsidR="00A83FD4" w:rsidRPr="00261B40" w:rsidRDefault="00A83FD4" w:rsidP="00F678A3">
          <w:pPr>
            <w:pStyle w:val="1ABulletTextLevel3"/>
          </w:pPr>
          <w:r w:rsidRPr="00261B40">
            <w:t>Shift from internal management point reliance to cloud-based service endpoints for device registration, compliance, and configuration.</w:t>
          </w:r>
        </w:p>
        <w:p w14:paraId="7C2D2FD9" w14:textId="5DA8F99A" w:rsidR="00A83FD4" w:rsidRPr="00261B40" w:rsidRDefault="00A83FD4" w:rsidP="00F678A3">
          <w:pPr>
            <w:pStyle w:val="1ABulletTextLevel3"/>
          </w:pPr>
          <w:r w:rsidRPr="00261B40">
            <w:t>Encourage the use of internet-facing management paths wherever possible to eliminate VPN dependency.</w:t>
          </w:r>
        </w:p>
        <w:p w14:paraId="17EAB91A" w14:textId="11910701" w:rsidR="00E276F8" w:rsidRPr="00261B40" w:rsidRDefault="00A83FD4" w:rsidP="00F678A3">
          <w:pPr>
            <w:pStyle w:val="1ABulletTextLevel3"/>
          </w:pPr>
          <w:r w:rsidRPr="00261B40">
            <w:t>Validate</w:t>
          </w:r>
          <w:r w:rsidR="00A04B75">
            <w:t xml:space="preserve"> and </w:t>
          </w:r>
          <w:r w:rsidR="00B0044E">
            <w:t>implement</w:t>
          </w:r>
          <w:r w:rsidRPr="00261B40">
            <w:t xml:space="preserve"> </w:t>
          </w:r>
          <w:r w:rsidR="00AD18A5">
            <w:t xml:space="preserve">published </w:t>
          </w:r>
          <w:r w:rsidR="009A3238">
            <w:t>ports</w:t>
          </w:r>
          <w:r w:rsidRPr="00261B40">
            <w:t xml:space="preserve"> and protocols for cloud services (e.g. </w:t>
          </w:r>
          <w:r w:rsidR="00B70BF3">
            <w:t>Intune</w:t>
          </w:r>
          <w:r w:rsidRPr="00261B40">
            <w:t>, update delivery, authentication) are allowed via perimeter firewalls and proxies.</w:t>
          </w:r>
        </w:p>
        <w:p w14:paraId="636BCF3D" w14:textId="3EC2420A" w:rsidR="006F3B83" w:rsidRPr="006F3B83" w:rsidRDefault="006F3B83" w:rsidP="002719C0">
          <w:pPr>
            <w:pStyle w:val="1ANumberedHeading3"/>
          </w:pPr>
          <w:r w:rsidRPr="006F3B83">
            <w:t>Optimise Content Delivery Mechanisms</w:t>
          </w:r>
        </w:p>
        <w:p w14:paraId="39FA5138" w14:textId="77777777" w:rsidR="006F3B83" w:rsidRPr="006F3B83" w:rsidRDefault="006F3B83" w:rsidP="00F678A3">
          <w:pPr>
            <w:pStyle w:val="1ABulletTextLevel3"/>
          </w:pPr>
          <w:r w:rsidRPr="006F3B83">
            <w:t>Leverage cloud-native content delivery approaches such as distributed cache or peer-based delivery optimised for cloud environments.</w:t>
          </w:r>
        </w:p>
        <w:p w14:paraId="530AA710" w14:textId="77777777" w:rsidR="006F3B83" w:rsidRPr="006F3B83" w:rsidRDefault="006F3B83" w:rsidP="00F678A3">
          <w:pPr>
            <w:pStyle w:val="1ABulletTextLevel3"/>
          </w:pPr>
          <w:r w:rsidRPr="006F3B83">
            <w:t>Assess and rationalise existing on-prem content distribution infrastructure; decommission or repurpose where appropriate.</w:t>
          </w:r>
        </w:p>
        <w:p w14:paraId="5AB7E2DC" w14:textId="77777777" w:rsidR="006F3B83" w:rsidRPr="006F3B83" w:rsidRDefault="006F3B83" w:rsidP="00F678A3">
          <w:pPr>
            <w:pStyle w:val="1ABulletTextLevel3"/>
          </w:pPr>
          <w:r w:rsidRPr="006F3B83">
            <w:t>Ensure bandwidth policies are in place to prevent contention during peak delivery windows.</w:t>
          </w:r>
        </w:p>
        <w:p w14:paraId="5B86E7CA" w14:textId="3E3420AD" w:rsidR="006F3B83" w:rsidRPr="006F3B83" w:rsidRDefault="006F3B83" w:rsidP="002719C0">
          <w:pPr>
            <w:pStyle w:val="1ANumberedHeading3"/>
          </w:pPr>
          <w:r w:rsidRPr="006F3B83">
            <w:lastRenderedPageBreak/>
            <w:t>Modernise Remote Access Approaches</w:t>
          </w:r>
        </w:p>
        <w:p w14:paraId="6177105D" w14:textId="77777777" w:rsidR="006F3B83" w:rsidRPr="006F3B83" w:rsidRDefault="006F3B83" w:rsidP="00F678A3">
          <w:pPr>
            <w:pStyle w:val="1ABulletTextLevel3"/>
          </w:pPr>
          <w:r w:rsidRPr="006F3B83">
            <w:t>Replace or augment traditional VPN with more adaptive connectivity methods such as split tunnelling or zero trust network access (ZTNA).</w:t>
          </w:r>
        </w:p>
        <w:p w14:paraId="2FBBB3C7" w14:textId="77777777" w:rsidR="006F3B83" w:rsidRPr="006F3B83" w:rsidRDefault="006F3B83" w:rsidP="00F678A3">
          <w:pPr>
            <w:pStyle w:val="1ABulletTextLevel3"/>
          </w:pPr>
          <w:r w:rsidRPr="006F3B83">
            <w:t>Ensure that policy enforcement, patching, and telemetry collection do not require always-on VPN connectivity.</w:t>
          </w:r>
        </w:p>
        <w:p w14:paraId="4EEC93A9" w14:textId="272F0434" w:rsidR="006F3B83" w:rsidRPr="006F3B83" w:rsidRDefault="006F3B83" w:rsidP="002719C0">
          <w:pPr>
            <w:pStyle w:val="1ANumberedHeading3"/>
          </w:pPr>
          <w:r w:rsidRPr="006F3B83">
            <w:t>Conduct a Cloud Connectivity Readiness Assessment</w:t>
          </w:r>
        </w:p>
        <w:p w14:paraId="64E9A757" w14:textId="77777777" w:rsidR="006F3B83" w:rsidRPr="006F3B83" w:rsidRDefault="006F3B83" w:rsidP="00F678A3">
          <w:pPr>
            <w:pStyle w:val="1ABulletTextLevel3"/>
          </w:pPr>
          <w:r w:rsidRPr="006F3B83">
            <w:t>Inventory all outbound dependencies required by cloud-managed devices (e.g., device management, update services, identity providers).</w:t>
          </w:r>
        </w:p>
        <w:p w14:paraId="72C5927D" w14:textId="77777777" w:rsidR="006F3B83" w:rsidRPr="006F3B83" w:rsidRDefault="006F3B83" w:rsidP="00F678A3">
          <w:pPr>
            <w:pStyle w:val="1ABulletTextLevel3"/>
          </w:pPr>
          <w:r w:rsidRPr="006F3B83">
            <w:t>Audit firewall and proxy rulesets to ensure whitelisting of necessary cloud service endpoints and URLs.</w:t>
          </w:r>
        </w:p>
        <w:p w14:paraId="2091B61B" w14:textId="77777777" w:rsidR="006F3B83" w:rsidRPr="006F3B83" w:rsidRDefault="006F3B83" w:rsidP="00F678A3">
          <w:pPr>
            <w:pStyle w:val="1ABulletTextLevel3"/>
          </w:pPr>
          <w:r w:rsidRPr="006F3B83">
            <w:t>Validate device connectivity scenarios both inside and outside the corporate network using representative pilot devices.</w:t>
          </w:r>
        </w:p>
        <w:p w14:paraId="1103E47B" w14:textId="79374ABD" w:rsidR="006F3B83" w:rsidRPr="006F3B83" w:rsidRDefault="006F3B83" w:rsidP="002719C0">
          <w:pPr>
            <w:pStyle w:val="1ANumberedHeading3"/>
          </w:pPr>
          <w:r w:rsidRPr="006F3B83">
            <w:t>Ensure Resilience Across Distributed Locations</w:t>
          </w:r>
        </w:p>
        <w:p w14:paraId="5D60FEC6" w14:textId="77777777" w:rsidR="006F3B83" w:rsidRPr="006F3B83" w:rsidRDefault="006F3B83" w:rsidP="00F678A3">
          <w:pPr>
            <w:pStyle w:val="1ABulletTextLevel3"/>
          </w:pPr>
          <w:r w:rsidRPr="006F3B83">
            <w:t>Where local internet breakout is in use, confirm that cloud endpoint access is consistent across all sites.</w:t>
          </w:r>
        </w:p>
        <w:p w14:paraId="6D1AE5B1" w14:textId="77777777" w:rsidR="006F3B83" w:rsidRPr="006F3B83" w:rsidRDefault="006F3B83" w:rsidP="00F678A3">
          <w:pPr>
            <w:pStyle w:val="1ABulletTextLevel3"/>
          </w:pPr>
          <w:r w:rsidRPr="006F3B83">
            <w:t>Establish a monitoring strategy to identify degraded performance or service disruptions at remote offices or branch sites.</w:t>
          </w:r>
        </w:p>
        <w:p w14:paraId="7BD20A7D" w14:textId="77777777" w:rsidR="000466AF" w:rsidRPr="000466AF" w:rsidRDefault="000466AF" w:rsidP="002719C0">
          <w:pPr>
            <w:pStyle w:val="1ANumberedHeading3"/>
          </w:pPr>
          <w:r w:rsidRPr="000466AF">
            <w:t>Implementation Tactics and Transitional Guidance</w:t>
          </w:r>
        </w:p>
        <w:p w14:paraId="43E95119" w14:textId="77777777" w:rsidR="000466AF" w:rsidRPr="000466AF" w:rsidRDefault="000466AF" w:rsidP="005875B7">
          <w:pPr>
            <w:pStyle w:val="1ABodyTextLevel3"/>
          </w:pPr>
          <w:r w:rsidRPr="000466AF">
            <w:t>For most enterprises, addressing network challenges is not a one-time exercise but a phased realignment that must run in parallel with desktop modernisation efforts. Key recommendations include:</w:t>
          </w:r>
        </w:p>
        <w:p w14:paraId="68D9174D" w14:textId="77777777" w:rsidR="000466AF" w:rsidRPr="000466AF" w:rsidRDefault="000466AF" w:rsidP="00730791">
          <w:pPr>
            <w:pStyle w:val="1ABulletTextLevel3"/>
          </w:pPr>
          <w:r w:rsidRPr="000466AF">
            <w:t xml:space="preserve">Begin with a </w:t>
          </w:r>
          <w:r w:rsidRPr="001543A6">
            <w:rPr>
              <w:bCs w:val="0"/>
            </w:rPr>
            <w:t>network readiness assessment</w:t>
          </w:r>
          <w:r w:rsidRPr="000466AF">
            <w:t xml:space="preserve"> as part of discovery, feeding into the broader migration plan.</w:t>
          </w:r>
        </w:p>
        <w:p w14:paraId="6B5FE266" w14:textId="77777777" w:rsidR="000466AF" w:rsidRPr="000466AF" w:rsidRDefault="000466AF" w:rsidP="00730791">
          <w:pPr>
            <w:pStyle w:val="1ABulletTextLevel3"/>
          </w:pPr>
          <w:r w:rsidRPr="000466AF">
            <w:t xml:space="preserve">Pilot a </w:t>
          </w:r>
          <w:r w:rsidRPr="001543A6">
            <w:rPr>
              <w:bCs w:val="0"/>
            </w:rPr>
            <w:t>small set of cloud-managed devices</w:t>
          </w:r>
          <w:r w:rsidRPr="000466AF">
            <w:t xml:space="preserve"> in varied network locations to surface real-world connectivity gaps early.</w:t>
          </w:r>
        </w:p>
        <w:p w14:paraId="587D65CE" w14:textId="77777777" w:rsidR="000466AF" w:rsidRPr="000466AF" w:rsidRDefault="000466AF" w:rsidP="00730791">
          <w:pPr>
            <w:pStyle w:val="1ABulletTextLevel3"/>
          </w:pPr>
          <w:r w:rsidRPr="000466AF">
            <w:t xml:space="preserve">Incorporate </w:t>
          </w:r>
          <w:r w:rsidRPr="001543A6">
            <w:rPr>
              <w:bCs w:val="0"/>
            </w:rPr>
            <w:t>network remediation milestones</w:t>
          </w:r>
          <w:r w:rsidRPr="000466AF">
            <w:t xml:space="preserve"> into your project roadmap to ensure changes align with broader deployment waves.</w:t>
          </w:r>
        </w:p>
        <w:p w14:paraId="5DB76853" w14:textId="77777777" w:rsidR="000466AF" w:rsidRDefault="000466AF" w:rsidP="00730791">
          <w:pPr>
            <w:pStyle w:val="1ABulletTextLevel3"/>
          </w:pPr>
          <w:r w:rsidRPr="000466AF">
            <w:t>Engage</w:t>
          </w:r>
          <w:r w:rsidRPr="001543A6">
            <w:rPr>
              <w:bCs w:val="0"/>
            </w:rPr>
            <w:t xml:space="preserve"> security and network teams early</w:t>
          </w:r>
          <w:r w:rsidRPr="000466AF">
            <w:t xml:space="preserve"> to gain alignment on proxy configurations, firewall policies, and trusted cloud endpoints.</w:t>
          </w:r>
        </w:p>
        <w:p w14:paraId="66AE05A5" w14:textId="0D230E12" w:rsidR="00CD7948" w:rsidRDefault="00AE671F" w:rsidP="00153ED5">
          <w:pPr>
            <w:pStyle w:val="1ABulletTextLevel3"/>
          </w:pPr>
          <w:r>
            <w:t xml:space="preserve">Implement vendor published </w:t>
          </w:r>
          <w:r w:rsidR="001543A6">
            <w:t>guidelines</w:t>
          </w:r>
          <w:r>
            <w:t xml:space="preserve"> on </w:t>
          </w:r>
          <w:r w:rsidR="001543A6">
            <w:t>URL and IP Whitelisting</w:t>
          </w:r>
          <w:r w:rsidR="000F03C5">
            <w:t>. Failure to do this will cause issues</w:t>
          </w:r>
          <w:r w:rsidR="00446FBE">
            <w:t xml:space="preserve"> at some point.</w:t>
          </w:r>
        </w:p>
        <w:p w14:paraId="3D1B6801" w14:textId="1F0E932E" w:rsidR="00CD7948" w:rsidRDefault="00CD7948" w:rsidP="00B40D32">
          <w:pPr>
            <w:pStyle w:val="1ANumberedHeading1"/>
          </w:pPr>
          <w:bookmarkStart w:id="10" w:name="_Toc204071184"/>
          <w:r>
            <w:lastRenderedPageBreak/>
            <w:t>Critical Decisions &amp; Planning Considerations</w:t>
          </w:r>
          <w:bookmarkEnd w:id="10"/>
        </w:p>
        <w:p w14:paraId="79545986" w14:textId="5592A18C" w:rsidR="00FD6DD0" w:rsidRPr="00FD6DD0" w:rsidRDefault="00FD6DD0" w:rsidP="00FD6DD0">
          <w:pPr>
            <w:pStyle w:val="1ABodyTextLevel1"/>
          </w:pPr>
          <w:r w:rsidRPr="00FD6DD0">
            <w:t>When establishing your Modern Desktop programme, the core technical pillars must be fully understood, planned and interwoven into your overall roadmap. The sections that follow provide richer context, decision-criteria, and planning guidance for each foundational area.</w:t>
          </w:r>
        </w:p>
        <w:p w14:paraId="5F71B8C4" w14:textId="3009DD19" w:rsidR="00CD7948" w:rsidRDefault="007D2AC3" w:rsidP="0069575E">
          <w:pPr>
            <w:pStyle w:val="1ANumberedHeading2"/>
          </w:pPr>
          <w:r>
            <w:t xml:space="preserve">Entra ID </w:t>
          </w:r>
          <w:r w:rsidR="00CD7948">
            <w:t>Device identity model (</w:t>
          </w:r>
          <w:r w:rsidR="004D6F3D">
            <w:t>Entra ID Join, moving away from OnPrem</w:t>
          </w:r>
          <w:r w:rsidR="00CD7948">
            <w:t>)</w:t>
          </w:r>
        </w:p>
        <w:p w14:paraId="112D6D8F" w14:textId="519C7750" w:rsidR="00930B6A" w:rsidRPr="00930B6A" w:rsidRDefault="00930B6A" w:rsidP="001D2029">
          <w:pPr>
            <w:pStyle w:val="1ABodyTextLevel2"/>
          </w:pPr>
          <w:r w:rsidRPr="00930B6A">
            <w:t>Selecting the appropriate device-join model is a foundational decision for your Modern Desktop programme. Below is a deep dive into the two primary options, with expanded implementation guidance, prerequisites, and decision criteria.</w:t>
          </w:r>
        </w:p>
        <w:p w14:paraId="562DB3B7" w14:textId="03BE78C0" w:rsidR="00466BB1" w:rsidRDefault="0069575E" w:rsidP="002719C0">
          <w:pPr>
            <w:pStyle w:val="1ANumberedHeading3"/>
          </w:pPr>
          <w:r w:rsidRPr="00466BB1">
            <w:t>Cloud-Only Join</w:t>
          </w:r>
        </w:p>
        <w:p w14:paraId="35976E65" w14:textId="68526D69" w:rsidR="00EE56C4" w:rsidRDefault="00EE56C4" w:rsidP="00EE56C4">
          <w:pPr>
            <w:pStyle w:val="1ABodyTextLevel3"/>
            <w:rPr>
              <w:lang w:bidi="en-US"/>
            </w:rPr>
          </w:pPr>
          <w:r w:rsidRPr="00EE56C4">
            <w:rPr>
              <w:lang w:bidi="en-US"/>
            </w:rPr>
            <w:t>Devices are directly joined to Entra ID, removing on-premises domain dependencies and leveraging cloud-native management capabilities.</w:t>
          </w:r>
        </w:p>
        <w:p w14:paraId="7DE310CF" w14:textId="77777777" w:rsidR="00CC1B33" w:rsidRPr="00CC1B33" w:rsidRDefault="00CC1B33" w:rsidP="002719C0">
          <w:pPr>
            <w:pStyle w:val="1ANumberedHeading4"/>
          </w:pPr>
          <w:r w:rsidRPr="00CC1B33">
            <w:t>Overview &amp; Prerequisites</w:t>
          </w:r>
        </w:p>
        <w:p w14:paraId="0B08DE06" w14:textId="77777777" w:rsidR="00CC1B33" w:rsidRPr="009A0A65" w:rsidRDefault="00CC1B33" w:rsidP="009A0A65">
          <w:pPr>
            <w:pStyle w:val="Heading5"/>
          </w:pPr>
          <w:r w:rsidRPr="009A0A65">
            <w:t>Device Requirements</w:t>
          </w:r>
        </w:p>
        <w:p w14:paraId="6E3A335D" w14:textId="77777777" w:rsidR="00CC1B33" w:rsidRPr="00CC1B33" w:rsidRDefault="00CC1B33" w:rsidP="00580DD8">
          <w:pPr>
            <w:pStyle w:val="1ABulletTextLevel3"/>
          </w:pPr>
          <w:r w:rsidRPr="00CC1B33">
            <w:t>UEFI firmware with Secure Boot and TPM 2.0 enabled</w:t>
          </w:r>
        </w:p>
        <w:p w14:paraId="49D176EA" w14:textId="77777777" w:rsidR="00CC1B33" w:rsidRPr="00CC1B33" w:rsidRDefault="00CC1B33" w:rsidP="00580DD8">
          <w:pPr>
            <w:pStyle w:val="1ABulletTextLevel3"/>
          </w:pPr>
          <w:r w:rsidRPr="00CC1B33">
            <w:t>Modern OS image prepared for cloud-based enrolment (e.g. provisioning package or Autopilot profile)</w:t>
          </w:r>
        </w:p>
        <w:p w14:paraId="03CBB9DD" w14:textId="77777777" w:rsidR="00CC1B33" w:rsidRPr="00CC1B33" w:rsidRDefault="00CC1B33" w:rsidP="00580DD8">
          <w:pPr>
            <w:pStyle w:val="1ABulletTextLevel3"/>
          </w:pPr>
          <w:r w:rsidRPr="00CC1B33">
            <w:t>Hardware inventory reports to confirm device compatibility</w:t>
          </w:r>
        </w:p>
        <w:p w14:paraId="39A6185F" w14:textId="77777777" w:rsidR="00CC1B33" w:rsidRPr="00CC1B33" w:rsidRDefault="00CC1B33" w:rsidP="009A0A65">
          <w:pPr>
            <w:pStyle w:val="Heading5"/>
          </w:pPr>
          <w:r w:rsidRPr="00CC1B33">
            <w:t>Network &amp; Identity Pathways</w:t>
          </w:r>
        </w:p>
        <w:p w14:paraId="3401BA1F" w14:textId="77777777" w:rsidR="00CC1B33" w:rsidRPr="00CC1B33" w:rsidRDefault="00CC1B33" w:rsidP="00580DD8">
          <w:pPr>
            <w:pStyle w:val="1ABulletTextLevel3"/>
          </w:pPr>
          <w:r w:rsidRPr="00CC1B33">
            <w:t>Ensure outbound connectivity to Entra ID, Intune and other cloud endpoints (e.g. identity, update, certificate services)</w:t>
          </w:r>
        </w:p>
        <w:p w14:paraId="414E0749" w14:textId="77777777" w:rsidR="00CC1B33" w:rsidRPr="00CC1B33" w:rsidRDefault="00CC1B33" w:rsidP="00580DD8">
          <w:pPr>
            <w:pStyle w:val="1ABulletTextLevel3"/>
          </w:pPr>
          <w:r w:rsidRPr="00CC1B33">
            <w:t>Configure conditional access jump-start policies to allow first-time device registration without blocking on compliance checks</w:t>
          </w:r>
        </w:p>
        <w:p w14:paraId="697A550E" w14:textId="77777777" w:rsidR="00CC1B33" w:rsidRPr="00CC1B33" w:rsidRDefault="00CC1B33" w:rsidP="009A0A65">
          <w:pPr>
            <w:pStyle w:val="Heading5"/>
          </w:pPr>
          <w:r w:rsidRPr="00CC1B33">
            <w:t>Implementation Steps</w:t>
          </w:r>
        </w:p>
        <w:p w14:paraId="151DFC9D" w14:textId="77777777" w:rsidR="00CC1B33" w:rsidRPr="00CC1B33" w:rsidRDefault="00CC1B33" w:rsidP="00580DD8">
          <w:pPr>
            <w:pStyle w:val="1ABulletTextLevel3"/>
          </w:pPr>
          <w:r w:rsidRPr="00CC1B33">
            <w:t>Create and assign a cloud-join provisioning profile.</w:t>
          </w:r>
        </w:p>
        <w:p w14:paraId="3A70D68C" w14:textId="77777777" w:rsidR="00CC1B33" w:rsidRPr="00CC1B33" w:rsidRDefault="00CC1B33" w:rsidP="00580DD8">
          <w:pPr>
            <w:pStyle w:val="1ABulletTextLevel3"/>
          </w:pPr>
          <w:r w:rsidRPr="00CC1B33">
            <w:t xml:space="preserve">Distribute devices via </w:t>
          </w:r>
          <w:proofErr w:type="gramStart"/>
          <w:r w:rsidRPr="00CC1B33">
            <w:t>drop-ship</w:t>
          </w:r>
          <w:proofErr w:type="gramEnd"/>
          <w:r w:rsidRPr="00CC1B33">
            <w:t xml:space="preserve"> or zero-touch model, ensuring they receive internet access before first logon.</w:t>
          </w:r>
        </w:p>
        <w:p w14:paraId="15E38597" w14:textId="77777777" w:rsidR="00CC1B33" w:rsidRPr="00CC1B33" w:rsidRDefault="00CC1B33" w:rsidP="00580DD8">
          <w:pPr>
            <w:pStyle w:val="1ABulletTextLevel3"/>
          </w:pPr>
          <w:r w:rsidRPr="00CC1B33">
            <w:t>Monitor device registration health via automation scripts or telemetry dashboards.</w:t>
          </w:r>
        </w:p>
        <w:p w14:paraId="5488A555" w14:textId="77777777" w:rsidR="00CC1B33" w:rsidRPr="00CC1B33" w:rsidRDefault="00CC1B33" w:rsidP="00580DD8">
          <w:pPr>
            <w:pStyle w:val="1ABulletTextLevel3"/>
          </w:pPr>
          <w:r w:rsidRPr="00CC1B33">
            <w:t>Post-enrolment, apply policy and application assignments dynamically using device attributes.</w:t>
          </w:r>
        </w:p>
        <w:p w14:paraId="193B7F8E" w14:textId="77777777" w:rsidR="00CC1B33" w:rsidRPr="00CC1B33" w:rsidRDefault="00CC1B33" w:rsidP="002719C0">
          <w:pPr>
            <w:pStyle w:val="1ANumberedHeading4"/>
          </w:pPr>
          <w:r w:rsidRPr="00CC1B33">
            <w:lastRenderedPageBreak/>
            <w:t>Pros</w:t>
          </w:r>
        </w:p>
        <w:p w14:paraId="1A991D9D" w14:textId="77777777" w:rsidR="00CC1B33" w:rsidRPr="00CC1B33" w:rsidRDefault="00CC1B33" w:rsidP="00F8466E">
          <w:pPr>
            <w:pStyle w:val="1ABodyTextLevel3"/>
          </w:pPr>
          <w:r w:rsidRPr="00CC1B33">
            <w:t>Infrastructure Simplification</w:t>
          </w:r>
        </w:p>
        <w:p w14:paraId="7F11DE42" w14:textId="77777777" w:rsidR="00CC1B33" w:rsidRPr="00CC1B33" w:rsidRDefault="00CC1B33" w:rsidP="00F8466E">
          <w:pPr>
            <w:pStyle w:val="1ABulletTextLevel3"/>
          </w:pPr>
          <w:r w:rsidRPr="00CC1B33">
            <w:t>Eliminates on-premises domain controllers, management points and synchronisation services for join operations.</w:t>
          </w:r>
        </w:p>
        <w:p w14:paraId="6B887C17" w14:textId="77777777" w:rsidR="00CC1B33" w:rsidRPr="00CC1B33" w:rsidRDefault="00CC1B33" w:rsidP="00F8466E">
          <w:pPr>
            <w:pStyle w:val="1ABodyTextLevel3"/>
          </w:pPr>
          <w:r w:rsidRPr="00CC1B33">
            <w:t>Accelerated Provisioning</w:t>
          </w:r>
        </w:p>
        <w:p w14:paraId="6E0D70C5" w14:textId="792B18A5" w:rsidR="00CC1B33" w:rsidRPr="00CC1B33" w:rsidRDefault="00CC1B33" w:rsidP="00F8466E">
          <w:pPr>
            <w:pStyle w:val="1ABulletTextLevel3"/>
          </w:pPr>
          <w:r w:rsidRPr="00CC1B33">
            <w:t xml:space="preserve">Devices </w:t>
          </w:r>
          <w:r w:rsidR="001962B2" w:rsidRPr="00CC1B33">
            <w:t>enrol</w:t>
          </w:r>
          <w:r w:rsidRPr="00CC1B33">
            <w:t xml:space="preserve"> out of the box, reducing technician touchpoints and build-room dependency.</w:t>
          </w:r>
        </w:p>
        <w:p w14:paraId="14AC1D7F" w14:textId="77777777" w:rsidR="00CC1B33" w:rsidRPr="00CC1B33" w:rsidRDefault="00CC1B33" w:rsidP="00F8466E">
          <w:pPr>
            <w:pStyle w:val="1ABodyTextLevel3"/>
          </w:pPr>
          <w:r w:rsidRPr="00CC1B33">
            <w:t>Unified Policy Enforcement</w:t>
          </w:r>
        </w:p>
        <w:p w14:paraId="29F44237" w14:textId="77777777" w:rsidR="00CC1B33" w:rsidRPr="00CC1B33" w:rsidRDefault="00CC1B33" w:rsidP="00F8466E">
          <w:pPr>
            <w:pStyle w:val="1ABulletTextLevel3"/>
          </w:pPr>
          <w:r w:rsidRPr="00CC1B33">
            <w:t>All devices governed in a single cloud directory, streamlining compliance and reporting.</w:t>
          </w:r>
        </w:p>
        <w:p w14:paraId="1A9D10D9" w14:textId="77777777" w:rsidR="00CC1B33" w:rsidRPr="00CC1B33" w:rsidRDefault="00CC1B33" w:rsidP="002719C0">
          <w:pPr>
            <w:pStyle w:val="1ANumberedHeading4"/>
          </w:pPr>
          <w:r w:rsidRPr="00CC1B33">
            <w:t>Cons &amp; Mitigations</w:t>
          </w:r>
        </w:p>
        <w:p w14:paraId="169C18A5" w14:textId="77777777" w:rsidR="00CC1B33" w:rsidRPr="00CC1B33" w:rsidRDefault="00CC1B33" w:rsidP="00F8466E">
          <w:pPr>
            <w:pStyle w:val="1ABodyTextLevel3"/>
          </w:pPr>
          <w:r w:rsidRPr="00CC1B33">
            <w:t>Legacy App Access</w:t>
          </w:r>
        </w:p>
        <w:p w14:paraId="7D6A342D" w14:textId="77777777" w:rsidR="00CC1B33" w:rsidRPr="00CC1B33" w:rsidRDefault="00CC1B33" w:rsidP="00F8466E">
          <w:pPr>
            <w:pStyle w:val="1ABulletTextLevel3"/>
          </w:pPr>
          <w:r w:rsidRPr="00CC1B33">
            <w:t>On-premises applications must be published via application proxy or accessed over VPN; requires redesign of access topology.</w:t>
          </w:r>
        </w:p>
        <w:p w14:paraId="6E609210" w14:textId="77777777" w:rsidR="00CC1B33" w:rsidRPr="00CC1B33" w:rsidRDefault="00CC1B33" w:rsidP="00F8466E">
          <w:pPr>
            <w:pStyle w:val="1ABodyTextLevel3"/>
          </w:pPr>
          <w:r w:rsidRPr="00CC1B33">
            <w:t>Internet Dependency</w:t>
          </w:r>
        </w:p>
        <w:p w14:paraId="09D0696D" w14:textId="77777777" w:rsidR="00CC1B33" w:rsidRPr="00CC1B33" w:rsidRDefault="00CC1B33" w:rsidP="00F8466E">
          <w:pPr>
            <w:pStyle w:val="1ABulletTextLevel3"/>
          </w:pPr>
          <w:r w:rsidRPr="00CC1B33">
            <w:t>First-boot experience relies on internet connectivity; mitigate via local breakout or temporary network-on-ramp solutions.</w:t>
          </w:r>
        </w:p>
        <w:p w14:paraId="1B692695" w14:textId="77777777" w:rsidR="00CC1B33" w:rsidRPr="00CC1B33" w:rsidRDefault="00CC1B33" w:rsidP="00F8466E">
          <w:pPr>
            <w:pStyle w:val="1ABodyTextLevel3"/>
          </w:pPr>
          <w:r w:rsidRPr="00CC1B33">
            <w:t>User Authentication Flow</w:t>
          </w:r>
        </w:p>
        <w:p w14:paraId="2BF9ED82" w14:textId="77777777" w:rsidR="00CC1B33" w:rsidRDefault="00CC1B33" w:rsidP="00F8466E">
          <w:pPr>
            <w:pStyle w:val="1ABulletTextLevel3"/>
          </w:pPr>
          <w:r w:rsidRPr="00CC1B33">
            <w:t>Users authenticate with cloud credentials only; ensure identity federation or password write-back is configured if required.</w:t>
          </w:r>
        </w:p>
        <w:p w14:paraId="0CA58FFF" w14:textId="77777777" w:rsidR="00F8466E" w:rsidRDefault="00F8466E" w:rsidP="00F8466E">
          <w:pPr>
            <w:pStyle w:val="1ABulletTextLevel3"/>
            <w:numPr>
              <w:ilvl w:val="0"/>
              <w:numId w:val="0"/>
            </w:numPr>
            <w:ind w:left="1134" w:hanging="360"/>
          </w:pPr>
        </w:p>
        <w:p w14:paraId="68492BC3" w14:textId="7427083B" w:rsidR="00F8466E" w:rsidRDefault="006270E0" w:rsidP="002719C0">
          <w:pPr>
            <w:pStyle w:val="1ANumberedHeading3"/>
          </w:pPr>
          <w:r w:rsidRPr="006270E0">
            <w:t>Hybrid Join (Transition Phase)</w:t>
          </w:r>
        </w:p>
        <w:p w14:paraId="48FB6A0F" w14:textId="77777777" w:rsidR="00024B26" w:rsidRPr="00024B26" w:rsidRDefault="00024B26" w:rsidP="00024B26">
          <w:pPr>
            <w:pStyle w:val="1ABodyTextLevel3"/>
            <w:rPr>
              <w:lang w:bidi="en-US"/>
            </w:rPr>
          </w:pPr>
          <w:r w:rsidRPr="00024B26">
            <w:rPr>
              <w:lang w:bidi="en-US"/>
            </w:rPr>
            <w:t>Devices remain joined to the on-premises Active Directory and are synchronised into Entra ID, supporting a phased move toward full cloud identity.</w:t>
          </w:r>
        </w:p>
        <w:p w14:paraId="7020A507" w14:textId="77777777" w:rsidR="00024B26" w:rsidRPr="00024B26" w:rsidRDefault="00024B26" w:rsidP="002719C0">
          <w:pPr>
            <w:pStyle w:val="1ANumberedHeading4"/>
          </w:pPr>
          <w:r w:rsidRPr="00024B26">
            <w:t>Overview &amp; Prerequisites</w:t>
          </w:r>
        </w:p>
        <w:p w14:paraId="2F67E6BE" w14:textId="77777777" w:rsidR="00024B26" w:rsidRPr="00024B26" w:rsidRDefault="00024B26" w:rsidP="00024B26">
          <w:pPr>
            <w:pStyle w:val="Heading5"/>
          </w:pPr>
          <w:r w:rsidRPr="00024B26">
            <w:t>Directory Synchronisation</w:t>
          </w:r>
        </w:p>
        <w:p w14:paraId="400BE1C3" w14:textId="13E5BF20" w:rsidR="00024B26" w:rsidRPr="00024B26" w:rsidRDefault="00024B26" w:rsidP="00024B26">
          <w:pPr>
            <w:pStyle w:val="1ABodyTextLevel3"/>
            <w:numPr>
              <w:ilvl w:val="1"/>
              <w:numId w:val="59"/>
            </w:numPr>
            <w:rPr>
              <w:lang w:bidi="en-US"/>
            </w:rPr>
          </w:pPr>
          <w:r w:rsidRPr="00024B26">
            <w:rPr>
              <w:lang w:bidi="en-US"/>
            </w:rPr>
            <w:t xml:space="preserve">Health-checked sync service configured to include computer objects and required </w:t>
          </w:r>
          <w:r w:rsidR="0065175E" w:rsidRPr="00024B26">
            <w:rPr>
              <w:lang w:bidi="en-US"/>
            </w:rPr>
            <w:t>attributes.</w:t>
          </w:r>
        </w:p>
        <w:p w14:paraId="22E0CE68" w14:textId="77777777" w:rsidR="00024B26" w:rsidRPr="00024B26" w:rsidRDefault="00024B26" w:rsidP="00024B26">
          <w:pPr>
            <w:pStyle w:val="Heading5"/>
          </w:pPr>
          <w:r w:rsidRPr="00024B26">
            <w:t>Certificate Provisioning</w:t>
          </w:r>
        </w:p>
        <w:p w14:paraId="255B3A15" w14:textId="6007EA46" w:rsidR="00024B26" w:rsidRPr="00024B26" w:rsidRDefault="00024B26" w:rsidP="00024B26">
          <w:pPr>
            <w:pStyle w:val="1ABodyTextLevel3"/>
            <w:numPr>
              <w:ilvl w:val="1"/>
              <w:numId w:val="59"/>
            </w:numPr>
            <w:rPr>
              <w:lang w:bidi="en-US"/>
            </w:rPr>
          </w:pPr>
          <w:r w:rsidRPr="00024B26">
            <w:rPr>
              <w:lang w:bidi="en-US"/>
            </w:rPr>
            <w:t>On-premises certificate services (if using certificate-based hybrid trust) or token-based federation enabled</w:t>
          </w:r>
          <w:r w:rsidR="0065175E">
            <w:rPr>
              <w:lang w:bidi="en-US"/>
            </w:rPr>
            <w:t>.</w:t>
          </w:r>
        </w:p>
        <w:p w14:paraId="37D00A5A" w14:textId="77777777" w:rsidR="00024B26" w:rsidRPr="00024B26" w:rsidRDefault="00024B26" w:rsidP="00024B26">
          <w:pPr>
            <w:pStyle w:val="Heading5"/>
          </w:pPr>
          <w:r w:rsidRPr="00024B26">
            <w:lastRenderedPageBreak/>
            <w:t>Co-Management Readiness</w:t>
          </w:r>
        </w:p>
        <w:p w14:paraId="4329E68D" w14:textId="40BE4FCB" w:rsidR="00024B26" w:rsidRPr="00024B26" w:rsidRDefault="00024B26" w:rsidP="00024B26">
          <w:pPr>
            <w:pStyle w:val="1ABodyTextLevel3"/>
            <w:numPr>
              <w:ilvl w:val="1"/>
              <w:numId w:val="59"/>
            </w:numPr>
            <w:rPr>
              <w:lang w:bidi="en-US"/>
            </w:rPr>
          </w:pPr>
          <w:r w:rsidRPr="00024B26">
            <w:rPr>
              <w:lang w:bidi="en-US"/>
            </w:rPr>
            <w:t xml:space="preserve">Intune-bit of co-management enabled via management authority and workload </w:t>
          </w:r>
          <w:r w:rsidR="0065175E" w:rsidRPr="00024B26">
            <w:rPr>
              <w:lang w:bidi="en-US"/>
            </w:rPr>
            <w:t>splits.</w:t>
          </w:r>
        </w:p>
        <w:p w14:paraId="397E907B" w14:textId="77777777" w:rsidR="00024B26" w:rsidRPr="00024B26" w:rsidRDefault="00024B26" w:rsidP="002719C0">
          <w:pPr>
            <w:pStyle w:val="1ANumberedHeading3"/>
          </w:pPr>
          <w:r w:rsidRPr="00024B26">
            <w:t>Implementation Steps</w:t>
          </w:r>
        </w:p>
        <w:p w14:paraId="47798FAE" w14:textId="77777777" w:rsidR="00024B26" w:rsidRPr="00024B26" w:rsidRDefault="00024B26" w:rsidP="00024B26">
          <w:pPr>
            <w:pStyle w:val="1ABulletTextLevel3"/>
          </w:pPr>
          <w:r w:rsidRPr="00024B26">
            <w:t>Enable directory synchronisation for device objects, ensuring filters exclude test or out-of-scope OUs.</w:t>
          </w:r>
        </w:p>
        <w:p w14:paraId="1D89ED9D" w14:textId="77777777" w:rsidR="00024B26" w:rsidRPr="00024B26" w:rsidRDefault="00024B26" w:rsidP="00024B26">
          <w:pPr>
            <w:pStyle w:val="1ABulletTextLevel3"/>
          </w:pPr>
          <w:r w:rsidRPr="00024B26">
            <w:t>Configure hybrid join settings in the tenant: specify service connection points or federation endpoints.</w:t>
          </w:r>
        </w:p>
        <w:p w14:paraId="4F6D6CFC" w14:textId="77777777" w:rsidR="00024B26" w:rsidRPr="00024B26" w:rsidRDefault="00024B26" w:rsidP="00024B26">
          <w:pPr>
            <w:pStyle w:val="1ABulletTextLevel3"/>
          </w:pPr>
          <w:r w:rsidRPr="00024B26">
            <w:t>Pilot hybrid-joined devices alongside cloud-only cohorts to validate GPO application, certificate issuance, and Intune policy delivery.</w:t>
          </w:r>
        </w:p>
        <w:p w14:paraId="33FAEE4B" w14:textId="77777777" w:rsidR="00024B26" w:rsidRPr="00024B26" w:rsidRDefault="00024B26" w:rsidP="00024B26">
          <w:pPr>
            <w:pStyle w:val="1ABulletTextLevel3"/>
          </w:pPr>
          <w:r w:rsidRPr="00024B26">
            <w:t>Collect telemetry on policy conflicts, join-related errors, and user sign-in latency.</w:t>
          </w:r>
        </w:p>
        <w:p w14:paraId="3C94788E" w14:textId="77777777" w:rsidR="00024B26" w:rsidRPr="00024B26" w:rsidRDefault="00024B26" w:rsidP="002719C0">
          <w:pPr>
            <w:pStyle w:val="1ANumberedHeading4"/>
          </w:pPr>
          <w:r w:rsidRPr="00024B26">
            <w:t>Pros</w:t>
          </w:r>
        </w:p>
        <w:p w14:paraId="26E1BA1A" w14:textId="77777777" w:rsidR="00024B26" w:rsidRPr="00024B26" w:rsidRDefault="00024B26" w:rsidP="00153ED5">
          <w:pPr>
            <w:pStyle w:val="1ABodyTextLevel3"/>
          </w:pPr>
          <w:r w:rsidRPr="00024B26">
            <w:t>Preserves Existing Controls</w:t>
          </w:r>
        </w:p>
        <w:p w14:paraId="3CAD3B1B" w14:textId="77777777" w:rsidR="00024B26" w:rsidRPr="00024B26" w:rsidRDefault="00024B26" w:rsidP="00062114">
          <w:pPr>
            <w:pStyle w:val="1ABulletTextLevel3"/>
          </w:pPr>
          <w:r w:rsidRPr="00024B26">
            <w:t>Continues to apply legacy group policies and on-prem authentication flows for applications not yet migrated.</w:t>
          </w:r>
        </w:p>
        <w:p w14:paraId="5CC15578" w14:textId="77777777" w:rsidR="00024B26" w:rsidRPr="00024B26" w:rsidRDefault="00024B26" w:rsidP="00062114">
          <w:pPr>
            <w:pStyle w:val="1ABodyTextLevel3"/>
          </w:pPr>
          <w:r w:rsidRPr="00024B26">
            <w:t>Gradual Transition Path</w:t>
          </w:r>
        </w:p>
        <w:p w14:paraId="7FF8D48D" w14:textId="77777777" w:rsidR="00024B26" w:rsidRPr="00024B26" w:rsidRDefault="00024B26" w:rsidP="00062114">
          <w:pPr>
            <w:pStyle w:val="1ABulletTextLevel3"/>
          </w:pPr>
          <w:r w:rsidRPr="00024B26">
            <w:t>Enables IT teams to migrate workloads incrementally, reducing risk for critical systems.</w:t>
          </w:r>
        </w:p>
        <w:p w14:paraId="07FF1E03" w14:textId="77777777" w:rsidR="00024B26" w:rsidRPr="00024B26" w:rsidRDefault="00024B26" w:rsidP="002719C0">
          <w:pPr>
            <w:pStyle w:val="1ANumberedHeading4"/>
          </w:pPr>
          <w:r w:rsidRPr="00024B26">
            <w:t>Cons &amp; Mitigations</w:t>
          </w:r>
        </w:p>
        <w:p w14:paraId="612F0512" w14:textId="77777777" w:rsidR="00024B26" w:rsidRPr="00024B26" w:rsidRDefault="00024B26" w:rsidP="00062114">
          <w:pPr>
            <w:pStyle w:val="1ABodyTextLevel3"/>
          </w:pPr>
          <w:r w:rsidRPr="00024B26">
            <w:t>Increased Complexity</w:t>
          </w:r>
        </w:p>
        <w:p w14:paraId="63E27547" w14:textId="77777777" w:rsidR="00024B26" w:rsidRPr="00024B26" w:rsidRDefault="00024B26" w:rsidP="00062114">
          <w:pPr>
            <w:pStyle w:val="1ABulletTextLevel3"/>
          </w:pPr>
          <w:r w:rsidRPr="00024B26">
            <w:t>Devices exist in two identity realms; requires reconciliation of policy order and conflict resolution.</w:t>
          </w:r>
        </w:p>
        <w:p w14:paraId="01BA1AA9" w14:textId="77777777" w:rsidR="00024B26" w:rsidRPr="00024B26" w:rsidRDefault="00024B26" w:rsidP="00062114">
          <w:pPr>
            <w:pStyle w:val="1ABulletTextLevel3"/>
          </w:pPr>
          <w:r w:rsidRPr="00024B26">
            <w:t>Mitigate by documenting policy precedence and using automation scripts to detect drift.</w:t>
          </w:r>
        </w:p>
        <w:p w14:paraId="5B9D6E27" w14:textId="77777777" w:rsidR="00024B26" w:rsidRPr="00024B26" w:rsidRDefault="00024B26" w:rsidP="00062114">
          <w:pPr>
            <w:pStyle w:val="1ABodyTextLevel3"/>
          </w:pPr>
          <w:r w:rsidRPr="00024B26">
            <w:t>Dependency on Legacy Infrastructure</w:t>
          </w:r>
        </w:p>
        <w:p w14:paraId="4197C72E" w14:textId="77777777" w:rsidR="00024B26" w:rsidRPr="00024B26" w:rsidRDefault="00024B26" w:rsidP="00062114">
          <w:pPr>
            <w:pStyle w:val="1ABulletTextLevel3"/>
          </w:pPr>
          <w:r w:rsidRPr="00024B26">
            <w:t>Continued reliance on on-prem domain controllers and certificate services; schedule sunset milestones to avoid indefinite dual-state.</w:t>
          </w:r>
        </w:p>
        <w:p w14:paraId="76C10799" w14:textId="77777777" w:rsidR="00024B26" w:rsidRPr="00024B26" w:rsidRDefault="00024B26" w:rsidP="00062114">
          <w:pPr>
            <w:pStyle w:val="1ABodyTextLevel3"/>
          </w:pPr>
          <w:r w:rsidRPr="00024B26">
            <w:t>User Experience Variability</w:t>
          </w:r>
        </w:p>
        <w:p w14:paraId="664D7B41" w14:textId="6DA6E5E0" w:rsidR="00024B26" w:rsidRDefault="00024B26" w:rsidP="00062114">
          <w:pPr>
            <w:pStyle w:val="1ABulletTextLevel3"/>
          </w:pPr>
          <w:r w:rsidRPr="00024B26">
            <w:t xml:space="preserve">Some users may see different login or policy </w:t>
          </w:r>
          <w:r w:rsidR="00062114" w:rsidRPr="00024B26">
            <w:t>behaviours</w:t>
          </w:r>
          <w:r w:rsidR="004D5D54">
            <w:t>.</w:t>
          </w:r>
          <w:r w:rsidRPr="00024B26">
            <w:t xml:space="preserve"> </w:t>
          </w:r>
          <w:r w:rsidR="004D5D54">
            <w:t>M</w:t>
          </w:r>
          <w:r w:rsidRPr="00024B26">
            <w:t>anage via clear communication and support playbooks.</w:t>
          </w:r>
        </w:p>
        <w:p w14:paraId="4A77DD8A" w14:textId="77777777" w:rsidR="002719C0" w:rsidRPr="002719C0" w:rsidRDefault="002719C0" w:rsidP="002719C0">
          <w:pPr>
            <w:pStyle w:val="1ANumberedHeading2"/>
          </w:pPr>
          <w:r w:rsidRPr="002719C0">
            <w:lastRenderedPageBreak/>
            <w:t>Scope and Timeline</w:t>
          </w:r>
        </w:p>
        <w:p w14:paraId="49410725" w14:textId="40C389DF" w:rsidR="002719C0" w:rsidRPr="002719C0" w:rsidRDefault="002719C0" w:rsidP="002719C0">
          <w:pPr>
            <w:pStyle w:val="1ABodyTextLevel1"/>
          </w:pPr>
          <w:r w:rsidRPr="002719C0">
            <w:t xml:space="preserve">A well-defined scope and an achievable timeline are essential to maintain momentum, manage risk, and communicate progress throughout the Modern Desktop transformation. This planning sub-phase establishes who and what moves </w:t>
          </w:r>
          <w:proofErr w:type="gramStart"/>
          <w:r w:rsidRPr="002719C0">
            <w:t>when, and</w:t>
          </w:r>
          <w:proofErr w:type="gramEnd"/>
          <w:r w:rsidRPr="002719C0">
            <w:t xml:space="preserve"> ensures that all stakeholders share a common understanding of the rollout cadence.</w:t>
          </w:r>
        </w:p>
        <w:p w14:paraId="5B84B4D0" w14:textId="77777777" w:rsidR="002719C0" w:rsidRPr="002719C0" w:rsidRDefault="002719C0" w:rsidP="002719C0">
          <w:pPr>
            <w:pStyle w:val="1ANumberedHeading3"/>
          </w:pPr>
          <w:r w:rsidRPr="002719C0">
            <w:t>Define User Groups and Device Categories</w:t>
          </w:r>
        </w:p>
        <w:p w14:paraId="5EBBF8AC" w14:textId="0D19807C" w:rsidR="002719C0" w:rsidRPr="002719C0" w:rsidRDefault="002719C0" w:rsidP="002719C0">
          <w:pPr>
            <w:pStyle w:val="1ABodyTextLevel3"/>
          </w:pPr>
          <w:r w:rsidRPr="002719C0">
            <w:t>Begin by segmenting your estate into discrete cohorts, based on business function, device type, and criticality:</w:t>
          </w:r>
        </w:p>
        <w:p w14:paraId="6C3FBD57" w14:textId="77777777" w:rsidR="002719C0" w:rsidRPr="002719C0" w:rsidRDefault="002719C0" w:rsidP="002719C0">
          <w:pPr>
            <w:pStyle w:val="1ANumberedHeading4"/>
          </w:pPr>
          <w:r w:rsidRPr="002719C0">
            <w:t>User Personas</w:t>
          </w:r>
        </w:p>
        <w:p w14:paraId="644FB128" w14:textId="77777777" w:rsidR="002719C0" w:rsidRPr="002719C0" w:rsidRDefault="002719C0" w:rsidP="002719C0">
          <w:pPr>
            <w:pStyle w:val="1ABulletTextLevel3"/>
            <w:numPr>
              <w:ilvl w:val="1"/>
              <w:numId w:val="63"/>
            </w:numPr>
          </w:pPr>
          <w:r w:rsidRPr="002719C0">
            <w:rPr>
              <w:i/>
              <w:iCs/>
            </w:rPr>
            <w:t>Remote/Hybrid Workers</w:t>
          </w:r>
          <w:r w:rsidRPr="002719C0">
            <w:t>: Often highest value for cloud join; ensure network readiness.</w:t>
          </w:r>
        </w:p>
        <w:p w14:paraId="604C43CA" w14:textId="77777777" w:rsidR="002719C0" w:rsidRPr="002719C0" w:rsidRDefault="002719C0" w:rsidP="002719C0">
          <w:pPr>
            <w:pStyle w:val="1ABulletTextLevel3"/>
            <w:numPr>
              <w:ilvl w:val="1"/>
              <w:numId w:val="63"/>
            </w:numPr>
          </w:pPr>
          <w:r w:rsidRPr="002719C0">
            <w:rPr>
              <w:i/>
              <w:iCs/>
            </w:rPr>
            <w:t>Office-Based Knowledge Workers</w:t>
          </w:r>
          <w:r w:rsidRPr="002719C0">
            <w:t>: May rely on on-prem resources initially; suitable for later waves.</w:t>
          </w:r>
        </w:p>
        <w:p w14:paraId="68D18AAD" w14:textId="77777777" w:rsidR="002719C0" w:rsidRPr="002719C0" w:rsidRDefault="002719C0" w:rsidP="002719C0">
          <w:pPr>
            <w:pStyle w:val="1ABulletTextLevel3"/>
            <w:numPr>
              <w:ilvl w:val="1"/>
              <w:numId w:val="63"/>
            </w:numPr>
          </w:pPr>
          <w:r w:rsidRPr="002719C0">
            <w:rPr>
              <w:i/>
              <w:iCs/>
            </w:rPr>
            <w:t>Specialist Users</w:t>
          </w:r>
          <w:r w:rsidRPr="002719C0">
            <w:t>: Engineering, design, or lab teams with unique hardware or application needs; treat as custom migration tracks.</w:t>
          </w:r>
        </w:p>
        <w:p w14:paraId="49C1F713" w14:textId="77777777" w:rsidR="002719C0" w:rsidRPr="002719C0" w:rsidRDefault="002719C0" w:rsidP="002719C0">
          <w:pPr>
            <w:pStyle w:val="1ABulletTextLevel3"/>
            <w:numPr>
              <w:ilvl w:val="1"/>
              <w:numId w:val="63"/>
            </w:numPr>
          </w:pPr>
          <w:r w:rsidRPr="002719C0">
            <w:rPr>
              <w:i/>
              <w:iCs/>
            </w:rPr>
            <w:t>Front-line Devices</w:t>
          </w:r>
          <w:r w:rsidRPr="002719C0">
            <w:t>: Shared kiosks or point-of-sale terminals; may require device-based policies rather than user affiliation.</w:t>
          </w:r>
        </w:p>
        <w:p w14:paraId="313060C8" w14:textId="77777777" w:rsidR="002719C0" w:rsidRPr="002719C0" w:rsidRDefault="002719C0" w:rsidP="002719C0">
          <w:pPr>
            <w:pStyle w:val="1ANumberedHeading4"/>
          </w:pPr>
          <w:r w:rsidRPr="002719C0">
            <w:t>Device Categories</w:t>
          </w:r>
        </w:p>
        <w:p w14:paraId="27FD9A12" w14:textId="77777777" w:rsidR="002719C0" w:rsidRPr="002719C0" w:rsidRDefault="002719C0" w:rsidP="002719C0">
          <w:pPr>
            <w:pStyle w:val="1ABulletTextLevel3"/>
            <w:numPr>
              <w:ilvl w:val="1"/>
              <w:numId w:val="63"/>
            </w:numPr>
          </w:pPr>
          <w:r w:rsidRPr="002719C0">
            <w:rPr>
              <w:i/>
              <w:iCs/>
            </w:rPr>
            <w:t>New Hardware</w:t>
          </w:r>
          <w:r w:rsidRPr="002719C0">
            <w:t>: Factory-fresh devices provisioned via zero-touch; ideal for early adoption.</w:t>
          </w:r>
        </w:p>
        <w:p w14:paraId="470C6DF8" w14:textId="77777777" w:rsidR="002719C0" w:rsidRPr="002719C0" w:rsidRDefault="002719C0" w:rsidP="002719C0">
          <w:pPr>
            <w:pStyle w:val="1ABulletTextLevel3"/>
            <w:numPr>
              <w:ilvl w:val="1"/>
              <w:numId w:val="63"/>
            </w:numPr>
          </w:pPr>
          <w:r w:rsidRPr="002719C0">
            <w:rPr>
              <w:i/>
              <w:iCs/>
            </w:rPr>
            <w:t>Recently Refreshed Hardware</w:t>
          </w:r>
          <w:r w:rsidRPr="002719C0">
            <w:t>: Still under warranty, with modern firmware; prime candidates for wave 1.</w:t>
          </w:r>
        </w:p>
        <w:p w14:paraId="42E39D3C" w14:textId="77777777" w:rsidR="002719C0" w:rsidRPr="002719C0" w:rsidRDefault="002719C0" w:rsidP="002719C0">
          <w:pPr>
            <w:pStyle w:val="1ABulletTextLevel3"/>
            <w:numPr>
              <w:ilvl w:val="1"/>
              <w:numId w:val="63"/>
            </w:numPr>
          </w:pPr>
          <w:r w:rsidRPr="002719C0">
            <w:rPr>
              <w:i/>
              <w:iCs/>
            </w:rPr>
            <w:t>Aged Devices</w:t>
          </w:r>
          <w:r w:rsidRPr="002719C0">
            <w:t>: Approaching end of life; evaluate on a case</w:t>
          </w:r>
          <w:r w:rsidRPr="002719C0">
            <w:rPr>
              <w:rFonts w:ascii="Cambria Math" w:hAnsi="Cambria Math" w:cs="Cambria Math"/>
            </w:rPr>
            <w:t>‐</w:t>
          </w:r>
          <w:r w:rsidRPr="002719C0">
            <w:t>by</w:t>
          </w:r>
          <w:r w:rsidRPr="002719C0">
            <w:rPr>
              <w:rFonts w:ascii="Cambria Math" w:hAnsi="Cambria Math" w:cs="Cambria Math"/>
            </w:rPr>
            <w:t>‐</w:t>
          </w:r>
          <w:r w:rsidRPr="002719C0">
            <w:t>case basis—consider repurposing or replacement.</w:t>
          </w:r>
        </w:p>
        <w:p w14:paraId="3113CDFB" w14:textId="77777777" w:rsidR="002719C0" w:rsidRPr="002719C0" w:rsidRDefault="002719C0" w:rsidP="002719C0">
          <w:pPr>
            <w:pStyle w:val="1ABulletTextLevel3"/>
            <w:numPr>
              <w:ilvl w:val="1"/>
              <w:numId w:val="63"/>
            </w:numPr>
          </w:pPr>
          <w:r w:rsidRPr="002719C0">
            <w:rPr>
              <w:i/>
              <w:iCs/>
            </w:rPr>
            <w:t>Specialty Devices</w:t>
          </w:r>
          <w:r w:rsidRPr="002719C0">
            <w:t>: Lab, medical, or ATEX-rated devices requiring bespoke handling.</w:t>
          </w:r>
        </w:p>
        <w:p w14:paraId="5FD1DF16" w14:textId="77777777" w:rsidR="002719C0" w:rsidRPr="002719C0" w:rsidRDefault="002719C0" w:rsidP="002719C0">
          <w:pPr>
            <w:pStyle w:val="1ABulletTextLevel3"/>
          </w:pPr>
          <w:r w:rsidRPr="002719C0">
            <w:t>For each cohort, capture:</w:t>
          </w:r>
        </w:p>
        <w:p w14:paraId="11684515" w14:textId="77777777" w:rsidR="002719C0" w:rsidRPr="002719C0" w:rsidRDefault="002719C0" w:rsidP="002719C0">
          <w:pPr>
            <w:pStyle w:val="1ABulletTextLevel3"/>
            <w:numPr>
              <w:ilvl w:val="0"/>
              <w:numId w:val="64"/>
            </w:numPr>
          </w:pPr>
          <w:r w:rsidRPr="002719C0">
            <w:t>Number of users/devices</w:t>
          </w:r>
        </w:p>
        <w:p w14:paraId="682EF44B" w14:textId="77777777" w:rsidR="002719C0" w:rsidRPr="002719C0" w:rsidRDefault="002719C0" w:rsidP="002719C0">
          <w:pPr>
            <w:pStyle w:val="1ABulletTextLevel3"/>
            <w:numPr>
              <w:ilvl w:val="0"/>
              <w:numId w:val="64"/>
            </w:numPr>
          </w:pPr>
          <w:r w:rsidRPr="002719C0">
            <w:t>Operating system baseline (Windows 10 vs. Windows 11)</w:t>
          </w:r>
        </w:p>
        <w:p w14:paraId="6C5ECDE4" w14:textId="77777777" w:rsidR="002719C0" w:rsidRPr="002719C0" w:rsidRDefault="002719C0" w:rsidP="002719C0">
          <w:pPr>
            <w:pStyle w:val="1ABulletTextLevel3"/>
            <w:numPr>
              <w:ilvl w:val="0"/>
              <w:numId w:val="64"/>
            </w:numPr>
          </w:pPr>
          <w:r w:rsidRPr="002719C0">
            <w:t>Application compatibility considerations</w:t>
          </w:r>
        </w:p>
        <w:p w14:paraId="7EC881C6" w14:textId="39948DBB" w:rsidR="002719C0" w:rsidRPr="002719C0" w:rsidRDefault="002719C0" w:rsidP="002053ED">
          <w:pPr>
            <w:pStyle w:val="1ABulletTextLevel3"/>
            <w:numPr>
              <w:ilvl w:val="0"/>
              <w:numId w:val="64"/>
            </w:numPr>
          </w:pPr>
          <w:r w:rsidRPr="002719C0">
            <w:t>Connectivity profile (on-prem only, VPN-dependent, direct internet access)</w:t>
          </w:r>
        </w:p>
        <w:p w14:paraId="0AF433B1" w14:textId="556FB6F6" w:rsidR="002719C0" w:rsidRDefault="002719C0" w:rsidP="002719C0">
          <w:pPr>
            <w:pStyle w:val="1ANumberedHeading3"/>
          </w:pPr>
          <w:r w:rsidRPr="002719C0">
            <w:lastRenderedPageBreak/>
            <w:t>Establish Roll-Out Waves and Milestones</w:t>
          </w:r>
        </w:p>
        <w:p w14:paraId="6D2795CB" w14:textId="1DF38F0A" w:rsidR="002719C0" w:rsidRPr="002719C0" w:rsidRDefault="002719C0" w:rsidP="002719C0">
          <w:pPr>
            <w:pStyle w:val="1ABodyTextLevel3"/>
          </w:pPr>
          <w:r w:rsidRPr="002719C0">
            <w:t>Structure your timeline into progressive “waves” to contain risk, absorb lessons learned, and adapt processes:</w:t>
          </w:r>
        </w:p>
        <w:p w14:paraId="22AA792B" w14:textId="77777777" w:rsidR="002719C0" w:rsidRPr="002719C0" w:rsidRDefault="002719C0" w:rsidP="002719C0">
          <w:pPr>
            <w:pStyle w:val="1ANumberedHeading4"/>
          </w:pPr>
          <w:r w:rsidRPr="002719C0">
            <w:t>Pilot Wave</w:t>
          </w:r>
        </w:p>
        <w:p w14:paraId="00F73A2C" w14:textId="77777777" w:rsidR="002719C0" w:rsidRPr="002719C0" w:rsidRDefault="002719C0" w:rsidP="002719C0">
          <w:pPr>
            <w:pStyle w:val="1ABulletTextLevel4"/>
          </w:pPr>
          <w:r w:rsidRPr="002719C0">
            <w:rPr>
              <w:i/>
              <w:iCs/>
            </w:rPr>
            <w:t>Size</w:t>
          </w:r>
          <w:r w:rsidRPr="002719C0">
            <w:t>: 25–50 devices representative of multiple personas (e.g. remote workers + office workers).</w:t>
          </w:r>
        </w:p>
        <w:p w14:paraId="277F4B67" w14:textId="77777777" w:rsidR="002719C0" w:rsidRPr="002719C0" w:rsidRDefault="002719C0" w:rsidP="002719C0">
          <w:pPr>
            <w:pStyle w:val="1ABulletTextLevel4"/>
          </w:pPr>
          <w:r w:rsidRPr="002719C0">
            <w:rPr>
              <w:i/>
              <w:iCs/>
            </w:rPr>
            <w:t>Goals</w:t>
          </w:r>
          <w:r w:rsidRPr="002719C0">
            <w:t>: Validate join workflows, policy application, application deployment, and user support processes.</w:t>
          </w:r>
        </w:p>
        <w:p w14:paraId="597C88B5" w14:textId="77777777" w:rsidR="002719C0" w:rsidRPr="002719C0" w:rsidRDefault="002719C0" w:rsidP="002719C0">
          <w:pPr>
            <w:pStyle w:val="1ABulletTextLevel4"/>
          </w:pPr>
          <w:r w:rsidRPr="002719C0">
            <w:rPr>
              <w:i/>
              <w:iCs/>
            </w:rPr>
            <w:t>Duration</w:t>
          </w:r>
          <w:r w:rsidRPr="002719C0">
            <w:t>: 2–4 weeks, with daily status reviews.</w:t>
          </w:r>
        </w:p>
        <w:p w14:paraId="19956860" w14:textId="77777777" w:rsidR="002719C0" w:rsidRPr="002719C0" w:rsidRDefault="002719C0" w:rsidP="002719C0">
          <w:pPr>
            <w:pStyle w:val="1ANumberedHeading4"/>
          </w:pPr>
          <w:r w:rsidRPr="002719C0">
            <w:t>Wave 1: Early Adopters</w:t>
          </w:r>
        </w:p>
        <w:p w14:paraId="13D1FA27" w14:textId="77777777" w:rsidR="002719C0" w:rsidRPr="002719C0" w:rsidRDefault="002719C0" w:rsidP="002719C0">
          <w:pPr>
            <w:pStyle w:val="1ABulletTextLevel4"/>
          </w:pPr>
          <w:r w:rsidRPr="002719C0">
            <w:t>Cohorts: New hardware devices and remote-first users.</w:t>
          </w:r>
        </w:p>
        <w:p w14:paraId="79766462" w14:textId="77777777" w:rsidR="002719C0" w:rsidRPr="002719C0" w:rsidRDefault="002719C0" w:rsidP="002719C0">
          <w:pPr>
            <w:pStyle w:val="1ABulletTextLevel4"/>
          </w:pPr>
          <w:r w:rsidRPr="002719C0">
            <w:t>Goals: Scale provisioning, measure performance, refine automation scripts.</w:t>
          </w:r>
        </w:p>
        <w:p w14:paraId="4DF608F9" w14:textId="77777777" w:rsidR="002719C0" w:rsidRPr="002719C0" w:rsidRDefault="002719C0" w:rsidP="002719C0">
          <w:pPr>
            <w:pStyle w:val="1ABulletTextLevel4"/>
          </w:pPr>
          <w:r w:rsidRPr="002719C0">
            <w:t>Duration: 4–6 weeks.</w:t>
          </w:r>
        </w:p>
        <w:p w14:paraId="72C31E95" w14:textId="77777777" w:rsidR="002719C0" w:rsidRPr="002719C0" w:rsidRDefault="002719C0" w:rsidP="002719C0">
          <w:pPr>
            <w:pStyle w:val="1ANumberedHeading4"/>
          </w:pPr>
          <w:r w:rsidRPr="002719C0">
            <w:t>Wave 2: Core Business Units</w:t>
          </w:r>
        </w:p>
        <w:p w14:paraId="42792A12" w14:textId="77777777" w:rsidR="002719C0" w:rsidRPr="002719C0" w:rsidRDefault="002719C0" w:rsidP="002719C0">
          <w:pPr>
            <w:pStyle w:val="1ABulletTextLevel4"/>
          </w:pPr>
          <w:r w:rsidRPr="002719C0">
            <w:t>Cohorts: Standard office knowledge workers and recent hardware refreshes.</w:t>
          </w:r>
        </w:p>
        <w:p w14:paraId="3D4FDCC4" w14:textId="77777777" w:rsidR="002719C0" w:rsidRPr="002719C0" w:rsidRDefault="002719C0" w:rsidP="002719C0">
          <w:pPr>
            <w:pStyle w:val="1ABulletTextLevel4"/>
          </w:pPr>
          <w:r w:rsidRPr="002719C0">
            <w:t>Goals: Integrate more complex applications, begin decommissioning group policies.</w:t>
          </w:r>
        </w:p>
        <w:p w14:paraId="3BD51815" w14:textId="77777777" w:rsidR="002719C0" w:rsidRPr="002719C0" w:rsidRDefault="002719C0" w:rsidP="002719C0">
          <w:pPr>
            <w:pStyle w:val="1ABulletTextLevel4"/>
          </w:pPr>
          <w:r w:rsidRPr="002719C0">
            <w:t>Duration: 6–8 weeks.</w:t>
          </w:r>
        </w:p>
        <w:p w14:paraId="79099F0A" w14:textId="77777777" w:rsidR="002719C0" w:rsidRPr="002719C0" w:rsidRDefault="002719C0" w:rsidP="002719C0">
          <w:pPr>
            <w:pStyle w:val="1ANumberedHeading4"/>
          </w:pPr>
          <w:r w:rsidRPr="002719C0">
            <w:t>Wave 3: Specialty &amp; Aged Devices</w:t>
          </w:r>
        </w:p>
        <w:p w14:paraId="0127326E" w14:textId="77777777" w:rsidR="002719C0" w:rsidRPr="002719C0" w:rsidRDefault="002719C0" w:rsidP="002719C0">
          <w:pPr>
            <w:pStyle w:val="1ABulletTextLevel4"/>
          </w:pPr>
          <w:r w:rsidRPr="002719C0">
            <w:t>Cohorts: Specialist and legacy hardware requiring targeted remediation or replacement.</w:t>
          </w:r>
        </w:p>
        <w:p w14:paraId="57C659BC" w14:textId="77777777" w:rsidR="002719C0" w:rsidRPr="002719C0" w:rsidRDefault="002719C0" w:rsidP="002719C0">
          <w:pPr>
            <w:pStyle w:val="1ABulletTextLevel4"/>
          </w:pPr>
          <w:r w:rsidRPr="002719C0">
            <w:t>Goals: Complete device rationalisation, re-image or replace as needed, retire SCCM workloads.</w:t>
          </w:r>
        </w:p>
        <w:p w14:paraId="6F6D6ED7" w14:textId="77777777" w:rsidR="002719C0" w:rsidRPr="002719C0" w:rsidRDefault="002719C0" w:rsidP="002719C0">
          <w:pPr>
            <w:pStyle w:val="1ABulletTextLevel4"/>
          </w:pPr>
          <w:r w:rsidRPr="002719C0">
            <w:t>Duration: 8–12 weeks.</w:t>
          </w:r>
        </w:p>
        <w:p w14:paraId="544228D6" w14:textId="77777777" w:rsidR="002719C0" w:rsidRPr="002719C0" w:rsidRDefault="002719C0" w:rsidP="002719C0">
          <w:pPr>
            <w:pStyle w:val="1ANumberedHeading4"/>
          </w:pPr>
          <w:r w:rsidRPr="002719C0">
            <w:t>Final Cut-Over</w:t>
          </w:r>
        </w:p>
        <w:p w14:paraId="092587F7" w14:textId="77777777" w:rsidR="002719C0" w:rsidRPr="002719C0" w:rsidRDefault="002719C0" w:rsidP="002719C0">
          <w:pPr>
            <w:pStyle w:val="1ABulletTextLevel4"/>
          </w:pPr>
          <w:r w:rsidRPr="002719C0">
            <w:t>Scope: All remaining domain-joined devices.</w:t>
          </w:r>
        </w:p>
        <w:p w14:paraId="7FDDC99F" w14:textId="77777777" w:rsidR="002719C0" w:rsidRPr="002719C0" w:rsidRDefault="002719C0" w:rsidP="002719C0">
          <w:pPr>
            <w:pStyle w:val="1ABulletTextLevel4"/>
          </w:pPr>
          <w:r w:rsidRPr="002719C0">
            <w:t>Goals: Decommission on-prem join services (domain controllers, sync engines), formal sign-off.</w:t>
          </w:r>
        </w:p>
        <w:p w14:paraId="7A8CD01F" w14:textId="77777777" w:rsidR="002719C0" w:rsidRPr="002719C0" w:rsidRDefault="002719C0" w:rsidP="002719C0">
          <w:pPr>
            <w:pStyle w:val="1ABulletTextLevel4"/>
          </w:pPr>
          <w:r w:rsidRPr="002719C0">
            <w:t>Duration: Defined by SLA with business sponsors (e.g. within 6 months of project start).</w:t>
          </w:r>
        </w:p>
        <w:p w14:paraId="2FB58DB0" w14:textId="77777777" w:rsidR="00AD7208" w:rsidRDefault="002719C0" w:rsidP="00AD7208">
          <w:pPr>
            <w:pStyle w:val="1ANumberedHeading3"/>
          </w:pPr>
          <w:r w:rsidRPr="002719C0">
            <w:lastRenderedPageBreak/>
            <w:t>Map Dependencies and Decision Gates</w:t>
          </w:r>
        </w:p>
        <w:p w14:paraId="697052A7" w14:textId="3DA3D845" w:rsidR="002719C0" w:rsidRPr="00AD7208" w:rsidRDefault="002719C0" w:rsidP="00AD7208">
          <w:pPr>
            <w:pStyle w:val="1ABodyTextLevel3"/>
            <w:rPr>
              <w:rFonts w:cs="Arial"/>
              <w:color w:val="F37720"/>
              <w:szCs w:val="24"/>
            </w:rPr>
          </w:pPr>
          <w:r w:rsidRPr="00AD7208">
            <w:t>At each milestone, include clear go/no-go gates aligned to critical prerequisites:</w:t>
          </w:r>
        </w:p>
        <w:p w14:paraId="151FC243" w14:textId="77777777" w:rsidR="002719C0" w:rsidRPr="00AD7208" w:rsidRDefault="002719C0" w:rsidP="00AD7208">
          <w:pPr>
            <w:pStyle w:val="1ABulletTextLevel3"/>
          </w:pPr>
          <w:r w:rsidRPr="00AD7208">
            <w:t>Network &amp; Connectivity: Proof of internet breakout and proxy configuration for each site.</w:t>
          </w:r>
        </w:p>
        <w:p w14:paraId="7E6C45E6" w14:textId="77777777" w:rsidR="002719C0" w:rsidRPr="00AD7208" w:rsidRDefault="002719C0" w:rsidP="00AD7208">
          <w:pPr>
            <w:pStyle w:val="1ABulletTextLevel3"/>
          </w:pPr>
          <w:r w:rsidRPr="00AD7208">
            <w:t>Application Readiness: Confirmation that top 20 business-critical apps deploy successfully.</w:t>
          </w:r>
        </w:p>
        <w:p w14:paraId="1AC28649" w14:textId="77777777" w:rsidR="002719C0" w:rsidRPr="00AD7208" w:rsidRDefault="002719C0" w:rsidP="00AD7208">
          <w:pPr>
            <w:pStyle w:val="1ABulletTextLevel3"/>
          </w:pPr>
          <w:r w:rsidRPr="00AD7208">
            <w:t>Support Model: Service desk scripts and escalation paths validated.</w:t>
          </w:r>
        </w:p>
        <w:p w14:paraId="33A67091" w14:textId="77777777" w:rsidR="002719C0" w:rsidRPr="002719C0" w:rsidRDefault="002719C0" w:rsidP="00AD7208">
          <w:pPr>
            <w:pStyle w:val="1ABulletTextLevel3"/>
          </w:pPr>
          <w:r w:rsidRPr="00AD7208">
            <w:t>Security Baselines: Conditional Access and compliance policies applied and tested</w:t>
          </w:r>
          <w:r w:rsidRPr="002719C0">
            <w:t>.</w:t>
          </w:r>
        </w:p>
        <w:p w14:paraId="166DF47B" w14:textId="6BFAFA87" w:rsidR="002719C0" w:rsidRPr="002719C0" w:rsidRDefault="002719C0" w:rsidP="00CB3905">
          <w:pPr>
            <w:pStyle w:val="1ABulletTextLevel3"/>
          </w:pPr>
          <w:r w:rsidRPr="002719C0">
            <w:t>Document these decision gates as part of your project plan, ensuring executive sponsorship at each stage.</w:t>
          </w:r>
        </w:p>
        <w:p w14:paraId="47F8B6B4" w14:textId="77777777" w:rsidR="00AD7208" w:rsidRDefault="002719C0" w:rsidP="00AD7208">
          <w:pPr>
            <w:pStyle w:val="1ANumberedHeading3"/>
          </w:pPr>
          <w:r w:rsidRPr="002719C0">
            <w:t>Communication &amp; Stakeholder Alignment</w:t>
          </w:r>
        </w:p>
        <w:p w14:paraId="1348E050" w14:textId="1669FB91" w:rsidR="002719C0" w:rsidRPr="002719C0" w:rsidRDefault="002719C0" w:rsidP="00AD7208">
          <w:pPr>
            <w:pStyle w:val="1ABodyTextLevel3"/>
            <w:rPr>
              <w:lang w:bidi="en-US"/>
            </w:rPr>
          </w:pPr>
          <w:r w:rsidRPr="002719C0">
            <w:rPr>
              <w:lang w:bidi="en-US"/>
            </w:rPr>
            <w:t>Embed regular cadence calls and status reports in your timeline:</w:t>
          </w:r>
        </w:p>
        <w:p w14:paraId="6DD2176E" w14:textId="77777777" w:rsidR="002719C0" w:rsidRPr="00AD7208" w:rsidRDefault="002719C0" w:rsidP="00AD7208">
          <w:pPr>
            <w:pStyle w:val="1ABulletTextLevel3"/>
          </w:pPr>
          <w:r w:rsidRPr="00AD7208">
            <w:t>Weekly Steering Committee: Review metrics—enrolment success rate, application install rates, helpdesk tickets.</w:t>
          </w:r>
        </w:p>
        <w:p w14:paraId="2FD9C3E8" w14:textId="77777777" w:rsidR="002719C0" w:rsidRPr="00AD7208" w:rsidRDefault="002719C0" w:rsidP="00AD7208">
          <w:pPr>
            <w:pStyle w:val="1ABulletTextLevel3"/>
          </w:pPr>
          <w:r w:rsidRPr="00AD7208">
            <w:t>Bi-Weekly Change Advisory Board (CAB): Approve any scope adjustments, wave sequencing, or exception requests.</w:t>
          </w:r>
        </w:p>
        <w:p w14:paraId="6163F0B1" w14:textId="1DCC4B59" w:rsidR="002719C0" w:rsidRPr="002719C0" w:rsidRDefault="002719C0" w:rsidP="00AD7208">
          <w:pPr>
            <w:pStyle w:val="1ABulletTextLevel3"/>
          </w:pPr>
          <w:r w:rsidRPr="00AD7208">
            <w:t>User Communications: Send wave-specific notifications at least two weeks in advance, with links to self-help resources and support channels.</w:t>
          </w:r>
        </w:p>
        <w:p w14:paraId="3B6ED7BE" w14:textId="6C9ACFA1" w:rsidR="00AD7208" w:rsidRPr="00AD7208" w:rsidRDefault="002719C0" w:rsidP="00AD7208">
          <w:pPr>
            <w:pStyle w:val="1ANumberedHeading3"/>
          </w:pPr>
          <w:r w:rsidRPr="002719C0">
            <w:t>Continuous Improvement Loops</w:t>
          </w:r>
        </w:p>
        <w:p w14:paraId="52158F17" w14:textId="084EA220" w:rsidR="002719C0" w:rsidRPr="002719C0" w:rsidRDefault="002719C0" w:rsidP="00AD7208">
          <w:pPr>
            <w:rPr>
              <w:rFonts w:cs="Open Sans"/>
              <w:bCs/>
              <w:color w:val="auto"/>
              <w:szCs w:val="20"/>
              <w:lang w:bidi="en-US"/>
            </w:rPr>
          </w:pPr>
          <w:r w:rsidRPr="002719C0">
            <w:rPr>
              <w:rFonts w:cs="Open Sans"/>
              <w:bCs/>
              <w:color w:val="auto"/>
              <w:szCs w:val="20"/>
              <w:lang w:bidi="en-US"/>
            </w:rPr>
            <w:t>After each wave, conduct a “lessons learned” session and refine:</w:t>
          </w:r>
        </w:p>
        <w:p w14:paraId="201F4890" w14:textId="77777777" w:rsidR="002719C0" w:rsidRPr="002719C0" w:rsidRDefault="002719C0" w:rsidP="002719C0">
          <w:pPr>
            <w:pStyle w:val="1ABulletTextLevel3"/>
            <w:numPr>
              <w:ilvl w:val="0"/>
              <w:numId w:val="68"/>
            </w:numPr>
          </w:pPr>
          <w:r w:rsidRPr="002719C0">
            <w:t>Update automation scripts to address common failures.</w:t>
          </w:r>
        </w:p>
        <w:p w14:paraId="6B2F82AB" w14:textId="77777777" w:rsidR="002719C0" w:rsidRPr="002719C0" w:rsidRDefault="002719C0" w:rsidP="002719C0">
          <w:pPr>
            <w:pStyle w:val="1ABulletTextLevel3"/>
            <w:numPr>
              <w:ilvl w:val="0"/>
              <w:numId w:val="68"/>
            </w:numPr>
          </w:pPr>
          <w:r w:rsidRPr="002719C0">
            <w:t>Adjust wave sizing or length based on throughput and support capacity.</w:t>
          </w:r>
        </w:p>
        <w:p w14:paraId="18B4C978" w14:textId="77777777" w:rsidR="002719C0" w:rsidRPr="002719C0" w:rsidRDefault="002719C0" w:rsidP="002719C0">
          <w:pPr>
            <w:pStyle w:val="1ABulletTextLevel3"/>
            <w:numPr>
              <w:ilvl w:val="0"/>
              <w:numId w:val="68"/>
            </w:numPr>
          </w:pPr>
          <w:r w:rsidRPr="002719C0">
            <w:t>Revisit device cohorts or application groupings if unexpected dependencies surface.</w:t>
          </w:r>
        </w:p>
        <w:p w14:paraId="7588F35D" w14:textId="77777777" w:rsidR="002719C0" w:rsidRPr="00024B26" w:rsidRDefault="002719C0" w:rsidP="002719C0">
          <w:pPr>
            <w:pStyle w:val="1ABulletTextLevel3"/>
            <w:numPr>
              <w:ilvl w:val="0"/>
              <w:numId w:val="0"/>
            </w:numPr>
          </w:pPr>
        </w:p>
        <w:p w14:paraId="5D3BB7C8" w14:textId="77777777" w:rsidR="00024B26" w:rsidRPr="00024B26" w:rsidRDefault="00024B26" w:rsidP="00024B26">
          <w:pPr>
            <w:pStyle w:val="1ABodyTextLevel3"/>
            <w:rPr>
              <w:lang w:bidi="en-US"/>
            </w:rPr>
          </w:pPr>
        </w:p>
        <w:p w14:paraId="39D30810" w14:textId="77777777" w:rsidR="006270E0" w:rsidRPr="006270E0" w:rsidRDefault="006270E0" w:rsidP="006270E0">
          <w:pPr>
            <w:pStyle w:val="1ABodyTextLevel3"/>
            <w:rPr>
              <w:lang w:bidi="en-US"/>
            </w:rPr>
          </w:pPr>
        </w:p>
        <w:p w14:paraId="141F7A19" w14:textId="77777777" w:rsidR="00CC1B33" w:rsidRDefault="00CC1B33" w:rsidP="00EE56C4">
          <w:pPr>
            <w:pStyle w:val="1ABodyTextLevel3"/>
            <w:rPr>
              <w:lang w:bidi="en-US"/>
            </w:rPr>
          </w:pPr>
        </w:p>
        <w:p w14:paraId="1C94AD31" w14:textId="0EC50240" w:rsidR="00CC1B33" w:rsidRDefault="00CC1B33">
          <w:pPr>
            <w:spacing w:before="0" w:after="0" w:line="240" w:lineRule="auto"/>
            <w:rPr>
              <w:rFonts w:cs="Open Sans"/>
              <w:color w:val="auto"/>
              <w:szCs w:val="20"/>
              <w:lang w:bidi="en-US"/>
            </w:rPr>
          </w:pPr>
          <w:r>
            <w:rPr>
              <w:lang w:bidi="en-US"/>
            </w:rPr>
            <w:br w:type="page"/>
          </w:r>
        </w:p>
        <w:p w14:paraId="36F415BC" w14:textId="77777777" w:rsidR="00CC1B33" w:rsidRPr="00EE56C4" w:rsidRDefault="00CC1B33" w:rsidP="00EE56C4">
          <w:pPr>
            <w:pStyle w:val="1ABodyTextLevel3"/>
            <w:rPr>
              <w:lang w:bidi="en-US"/>
            </w:rPr>
          </w:pPr>
        </w:p>
        <w:p w14:paraId="4B14D5C2" w14:textId="77777777" w:rsidR="0069575E" w:rsidRPr="0069575E" w:rsidRDefault="0069575E" w:rsidP="001D2029">
          <w:pPr>
            <w:pStyle w:val="1ABodyTextLevel2"/>
            <w:numPr>
              <w:ilvl w:val="0"/>
              <w:numId w:val="53"/>
            </w:numPr>
          </w:pPr>
          <w:r w:rsidRPr="0069575E">
            <w:t>Naming, Tagging &amp; Grouping</w:t>
          </w:r>
        </w:p>
        <w:p w14:paraId="7959607E" w14:textId="77777777" w:rsidR="0069575E" w:rsidRPr="0069575E" w:rsidRDefault="0069575E" w:rsidP="001D2029">
          <w:pPr>
            <w:pStyle w:val="1ABodyTextLevel2"/>
            <w:numPr>
              <w:ilvl w:val="1"/>
              <w:numId w:val="53"/>
            </w:numPr>
          </w:pPr>
          <w:r w:rsidRPr="0069575E">
            <w:t>Device naming template: &lt;</w:t>
          </w:r>
          <w:proofErr w:type="spellStart"/>
          <w:r w:rsidRPr="0069575E">
            <w:t>SiteCode</w:t>
          </w:r>
          <w:proofErr w:type="spellEnd"/>
          <w:r w:rsidRPr="0069575E">
            <w:t>&gt;-&lt;</w:t>
          </w:r>
          <w:proofErr w:type="spellStart"/>
          <w:r w:rsidRPr="0069575E">
            <w:t>DeptCode</w:t>
          </w:r>
          <w:proofErr w:type="spellEnd"/>
          <w:r w:rsidRPr="0069575E">
            <w:t>&gt;-&lt;Serial&gt;</w:t>
          </w:r>
        </w:p>
        <w:p w14:paraId="74D7CCFD" w14:textId="77777777" w:rsidR="0069575E" w:rsidRPr="0069575E" w:rsidRDefault="0069575E" w:rsidP="001D2029">
          <w:pPr>
            <w:pStyle w:val="1ABodyTextLevel2"/>
            <w:numPr>
              <w:ilvl w:val="1"/>
              <w:numId w:val="53"/>
            </w:numPr>
          </w:pPr>
          <w:r w:rsidRPr="0069575E">
            <w:t>Dynamic group rules based on device attributes (ownership, join type, OS version) to drive policy and application assignment.</w:t>
          </w:r>
        </w:p>
        <w:p w14:paraId="15DFF2A2" w14:textId="77777777" w:rsidR="0069575E" w:rsidRPr="0069575E" w:rsidRDefault="0069575E" w:rsidP="001D2029">
          <w:pPr>
            <w:pStyle w:val="1ABodyTextLevel2"/>
          </w:pPr>
          <w:r w:rsidRPr="0069575E">
            <w:t>Planning Considerations</w:t>
          </w:r>
        </w:p>
        <w:p w14:paraId="4B6BF9E8" w14:textId="77777777" w:rsidR="0069575E" w:rsidRPr="0069575E" w:rsidRDefault="0069575E" w:rsidP="001D2029">
          <w:pPr>
            <w:pStyle w:val="1ABodyTextLevel2"/>
            <w:numPr>
              <w:ilvl w:val="0"/>
              <w:numId w:val="54"/>
            </w:numPr>
          </w:pPr>
          <w:r w:rsidRPr="0069575E">
            <w:t>Directory Synchronisation &amp; Filtering</w:t>
          </w:r>
        </w:p>
        <w:p w14:paraId="085F16F2" w14:textId="77777777" w:rsidR="0069575E" w:rsidRPr="0069575E" w:rsidRDefault="0069575E" w:rsidP="001D2029">
          <w:pPr>
            <w:pStyle w:val="1ABodyTextLevel2"/>
            <w:numPr>
              <w:ilvl w:val="1"/>
              <w:numId w:val="54"/>
            </w:numPr>
          </w:pPr>
          <w:r w:rsidRPr="0069575E">
            <w:t xml:space="preserve">Confirm only required OUs and </w:t>
          </w:r>
          <w:proofErr w:type="spellStart"/>
          <w:r w:rsidRPr="0069575E">
            <w:t>AUttributes</w:t>
          </w:r>
          <w:proofErr w:type="spellEnd"/>
          <w:r w:rsidRPr="0069575E">
            <w:t xml:space="preserve"> sync to Entra ID to reduce clutter.</w:t>
          </w:r>
        </w:p>
        <w:p w14:paraId="42FFF757" w14:textId="77777777" w:rsidR="0069575E" w:rsidRPr="0069575E" w:rsidRDefault="0069575E" w:rsidP="001D2029">
          <w:pPr>
            <w:pStyle w:val="1ABodyTextLevel2"/>
            <w:numPr>
              <w:ilvl w:val="1"/>
              <w:numId w:val="54"/>
            </w:numPr>
          </w:pPr>
          <w:r w:rsidRPr="0069575E">
            <w:t>Map custom attributes (e.g. device location) to support dynamic group membership.</w:t>
          </w:r>
        </w:p>
        <w:p w14:paraId="70C08BA3" w14:textId="77777777" w:rsidR="0069575E" w:rsidRPr="0069575E" w:rsidRDefault="0069575E" w:rsidP="001D2029">
          <w:pPr>
            <w:pStyle w:val="1ABodyTextLevel2"/>
            <w:numPr>
              <w:ilvl w:val="0"/>
              <w:numId w:val="54"/>
            </w:numPr>
          </w:pPr>
          <w:r w:rsidRPr="0069575E">
            <w:t>Pilot Execution</w:t>
          </w:r>
        </w:p>
        <w:p w14:paraId="25B9CD8C" w14:textId="77777777" w:rsidR="0069575E" w:rsidRPr="0069575E" w:rsidRDefault="0069575E" w:rsidP="001D2029">
          <w:pPr>
            <w:pStyle w:val="1ABodyTextLevel2"/>
            <w:numPr>
              <w:ilvl w:val="1"/>
              <w:numId w:val="54"/>
            </w:numPr>
          </w:pPr>
          <w:r w:rsidRPr="0069575E">
            <w:t>Run parallel pilots: one cloud-only cohort and one hybrid cohort.</w:t>
          </w:r>
        </w:p>
        <w:p w14:paraId="640F4BE6" w14:textId="77777777" w:rsidR="0069575E" w:rsidRPr="0069575E" w:rsidRDefault="0069575E" w:rsidP="001D2029">
          <w:pPr>
            <w:pStyle w:val="1ABodyTextLevel2"/>
            <w:numPr>
              <w:ilvl w:val="1"/>
              <w:numId w:val="54"/>
            </w:numPr>
          </w:pPr>
          <w:r w:rsidRPr="0069575E">
            <w:t>Track join success rate, enrolment times, and user-reported issues.</w:t>
          </w:r>
        </w:p>
        <w:p w14:paraId="39DFA0CE" w14:textId="77777777" w:rsidR="0069575E" w:rsidRPr="0069575E" w:rsidRDefault="0069575E" w:rsidP="001D2029">
          <w:pPr>
            <w:pStyle w:val="1ABodyTextLevel2"/>
            <w:numPr>
              <w:ilvl w:val="0"/>
              <w:numId w:val="54"/>
            </w:numPr>
          </w:pPr>
          <w:r w:rsidRPr="0069575E">
            <w:t>Fallback Mechanisms</w:t>
          </w:r>
        </w:p>
        <w:p w14:paraId="5328C80A" w14:textId="77777777" w:rsidR="0069575E" w:rsidRPr="0069575E" w:rsidRDefault="0069575E" w:rsidP="001D2029">
          <w:pPr>
            <w:pStyle w:val="1ABodyTextLevel2"/>
            <w:numPr>
              <w:ilvl w:val="1"/>
              <w:numId w:val="54"/>
            </w:numPr>
          </w:pPr>
          <w:r w:rsidRPr="0069575E">
            <w:t>Pre-define rollback procedures:</w:t>
          </w:r>
        </w:p>
        <w:p w14:paraId="5E8F133A" w14:textId="77777777" w:rsidR="0069575E" w:rsidRPr="0069575E" w:rsidRDefault="0069575E" w:rsidP="001D2029">
          <w:pPr>
            <w:pStyle w:val="1ABodyTextLevel2"/>
            <w:numPr>
              <w:ilvl w:val="2"/>
              <w:numId w:val="54"/>
            </w:numPr>
          </w:pPr>
          <w:r w:rsidRPr="0069575E">
            <w:t>Trigger a maintenance window to re-enable on-prem domain join.</w:t>
          </w:r>
        </w:p>
        <w:p w14:paraId="31E191FB" w14:textId="77777777" w:rsidR="0069575E" w:rsidRPr="0069575E" w:rsidRDefault="0069575E" w:rsidP="001D2029">
          <w:pPr>
            <w:pStyle w:val="1ABodyTextLevel2"/>
            <w:numPr>
              <w:ilvl w:val="2"/>
              <w:numId w:val="54"/>
            </w:numPr>
          </w:pPr>
          <w:r w:rsidRPr="0069575E">
            <w:t>Use automation scripts to remove stale Entra ID registrations.</w:t>
          </w:r>
        </w:p>
        <w:p w14:paraId="35AA11F7" w14:textId="77777777" w:rsidR="0069575E" w:rsidRPr="0069575E" w:rsidRDefault="0069575E" w:rsidP="001D2029">
          <w:pPr>
            <w:pStyle w:val="1ABodyTextLevel2"/>
            <w:numPr>
              <w:ilvl w:val="0"/>
              <w:numId w:val="54"/>
            </w:numPr>
          </w:pPr>
          <w:r w:rsidRPr="0069575E">
            <w:t>Operational Readiness</w:t>
          </w:r>
        </w:p>
        <w:p w14:paraId="58800B05" w14:textId="77777777" w:rsidR="0069575E" w:rsidRPr="0069575E" w:rsidRDefault="0069575E" w:rsidP="001D2029">
          <w:pPr>
            <w:pStyle w:val="1ABodyTextLevel2"/>
            <w:numPr>
              <w:ilvl w:val="1"/>
              <w:numId w:val="54"/>
            </w:numPr>
          </w:pPr>
          <w:r w:rsidRPr="0069575E">
            <w:t>Train service desk on new join workflows, including common failure modes (e.g. missing device certificates).</w:t>
          </w:r>
        </w:p>
        <w:p w14:paraId="433393EF" w14:textId="77777777" w:rsidR="0069575E" w:rsidRPr="0069575E" w:rsidRDefault="0069575E" w:rsidP="001D2029">
          <w:pPr>
            <w:pStyle w:val="1ABodyTextLevel2"/>
            <w:numPr>
              <w:ilvl w:val="1"/>
              <w:numId w:val="54"/>
            </w:numPr>
          </w:pPr>
          <w:r w:rsidRPr="0069575E">
            <w:t>Update incident management playbooks with Entra ID-specific troubleshooting steps.</w:t>
          </w:r>
        </w:p>
        <w:p w14:paraId="1F68345E" w14:textId="77777777" w:rsidR="0069575E" w:rsidRPr="0069575E" w:rsidRDefault="0069575E" w:rsidP="001D2029">
          <w:pPr>
            <w:pStyle w:val="1ABodyTextLevel2"/>
          </w:pPr>
        </w:p>
        <w:p w14:paraId="28CA1F35" w14:textId="7BAA5471" w:rsidR="00CD7948" w:rsidRDefault="00CD7948" w:rsidP="00BF58D3">
          <w:pPr>
            <w:pStyle w:val="1ABulletTextLevel1"/>
          </w:pPr>
          <w:r>
            <w:tab/>
            <w:t>Application packaging &amp; deployment approach</w:t>
          </w:r>
        </w:p>
        <w:p w14:paraId="483EFCF6" w14:textId="27CBBCD4" w:rsidR="004D6F3D" w:rsidRDefault="004D6F3D" w:rsidP="00BF58D3">
          <w:pPr>
            <w:pStyle w:val="1ABulletTextLevel1"/>
          </w:pPr>
          <w:r>
            <w:t>Patching strategy and approach</w:t>
          </w:r>
        </w:p>
        <w:p w14:paraId="6D1BEC39" w14:textId="6C52A939" w:rsidR="00CD7948" w:rsidRDefault="00CD7948" w:rsidP="00BF58D3">
          <w:pPr>
            <w:pStyle w:val="1ABulletTextLevel1"/>
          </w:pPr>
          <w:r>
            <w:tab/>
            <w:t>Compliance &amp; Conditional Access strategy</w:t>
          </w:r>
        </w:p>
        <w:p w14:paraId="70B7FC6E" w14:textId="77777777" w:rsidR="00007FB0" w:rsidRDefault="00CD7948" w:rsidP="00BF58D3">
          <w:pPr>
            <w:pStyle w:val="1ABulletTextLevel1"/>
          </w:pPr>
          <w:r>
            <w:tab/>
            <w:t>Windows Hello for Business</w:t>
          </w:r>
        </w:p>
        <w:p w14:paraId="68CE2BB5" w14:textId="77777777" w:rsidR="00007FB0" w:rsidRDefault="00CD7948" w:rsidP="00BF58D3">
          <w:pPr>
            <w:pStyle w:val="1ABulletTextLevel1"/>
          </w:pPr>
          <w:r>
            <w:t>BitLocker</w:t>
          </w:r>
          <w:r w:rsidR="00007FB0">
            <w:t xml:space="preserve"> / Encryption</w:t>
          </w:r>
        </w:p>
        <w:p w14:paraId="4DCC6629" w14:textId="5BCE6031" w:rsidR="00CD7948" w:rsidRDefault="00CD7948" w:rsidP="00BF58D3">
          <w:pPr>
            <w:pStyle w:val="1ABulletTextLevel1"/>
          </w:pPr>
          <w:r>
            <w:t>Defender</w:t>
          </w:r>
          <w:r w:rsidR="00007FB0">
            <w:t xml:space="preserve"> for Endpoint integration</w:t>
          </w:r>
        </w:p>
        <w:p w14:paraId="35780970" w14:textId="7AD33F35" w:rsidR="00CD7948" w:rsidRDefault="00CD7948" w:rsidP="00B40D32">
          <w:pPr>
            <w:pStyle w:val="1ANumberedHeading1"/>
          </w:pPr>
          <w:bookmarkStart w:id="11" w:name="_Toc204071185"/>
          <w:r>
            <w:t>Modern Management Foundations to Implement</w:t>
          </w:r>
          <w:r w:rsidR="006F466E">
            <w:t xml:space="preserve"> (PC)</w:t>
          </w:r>
          <w:bookmarkEnd w:id="11"/>
        </w:p>
        <w:p w14:paraId="47FEDD15" w14:textId="77777777" w:rsidR="002053ED" w:rsidRDefault="002053ED" w:rsidP="002053ED">
          <w:pPr>
            <w:pStyle w:val="1ABodyTextLevel1"/>
          </w:pPr>
          <w:r>
            <w:t>Transitioning to a cloud-managed Modern Desktop model requires the implementation of core management foundations within Microsoft Intune and Entra ID. These foundations must align with recognised security and operational standards such as CIS Benchmarks, NCSC End User Device (EUD) Guidance, and Microsoft Security Baselines to ensure a secure, compliant, and supportable environment.</w:t>
          </w:r>
        </w:p>
        <w:p w14:paraId="17745283" w14:textId="77777777" w:rsidR="002053ED" w:rsidRDefault="002053ED" w:rsidP="002053ED">
          <w:pPr>
            <w:pStyle w:val="1ABodyTextLevel1"/>
          </w:pPr>
        </w:p>
        <w:p w14:paraId="61CAE9BB" w14:textId="648E23EF" w:rsidR="002053ED" w:rsidRDefault="002053ED" w:rsidP="002053ED">
          <w:pPr>
            <w:pStyle w:val="1ABodyTextLevel1"/>
          </w:pPr>
          <w:r>
            <w:lastRenderedPageBreak/>
            <w:t>This section outlines the key baseline components that must be in place before devices are migrated, with a focus on security hardening, policy enforcement, automation, and operational governance.</w:t>
          </w:r>
        </w:p>
        <w:p w14:paraId="38EA611E" w14:textId="77777777" w:rsidR="002053ED" w:rsidRDefault="002053ED" w:rsidP="002053ED">
          <w:pPr>
            <w:pStyle w:val="1ABodyTextLevel1"/>
          </w:pPr>
        </w:p>
        <w:p w14:paraId="18523190" w14:textId="443595BC" w:rsidR="002053ED" w:rsidRDefault="002053ED" w:rsidP="002053ED">
          <w:pPr>
            <w:pStyle w:val="1ANumberedHeading2"/>
          </w:pPr>
          <w:r>
            <w:t>Intune Tenant Baseline Configuration</w:t>
          </w:r>
        </w:p>
        <w:p w14:paraId="368E0DDC" w14:textId="20E96692" w:rsidR="00021D42" w:rsidRDefault="00021D42" w:rsidP="001D2029">
          <w:pPr>
            <w:pStyle w:val="1ABodyTextLevel2"/>
          </w:pPr>
          <w:r>
            <w:t>A clean and well-structured Intune tenant is essential for policy application, device lifecycle management, and delegated administration.</w:t>
          </w:r>
          <w:r>
            <w:br/>
          </w:r>
        </w:p>
        <w:p w14:paraId="02B69076" w14:textId="7E9878DA" w:rsidR="00021D42" w:rsidRDefault="00021D42" w:rsidP="001D2029">
          <w:pPr>
            <w:pStyle w:val="1ABodyTextLevel2"/>
            <w:numPr>
              <w:ilvl w:val="0"/>
              <w:numId w:val="72"/>
            </w:numPr>
          </w:pPr>
          <w:r w:rsidRPr="00021D42">
            <w:rPr>
              <w:b/>
              <w:bCs/>
            </w:rPr>
            <w:t>Enrolment Restrictions:</w:t>
          </w:r>
          <w:r>
            <w:t xml:space="preserve"> Define supported platforms (Windows, macOS, iOS, Android) and apply corporate vs. personal ownership rules.</w:t>
          </w:r>
        </w:p>
        <w:p w14:paraId="30D0A2AF" w14:textId="2E9531A4" w:rsidR="00021D42" w:rsidRDefault="00021D42" w:rsidP="001D2029">
          <w:pPr>
            <w:pStyle w:val="1ABodyTextLevel2"/>
            <w:numPr>
              <w:ilvl w:val="0"/>
              <w:numId w:val="72"/>
            </w:numPr>
          </w:pPr>
          <w:r w:rsidRPr="00021D42">
            <w:rPr>
              <w:b/>
              <w:bCs/>
            </w:rPr>
            <w:t>Naming</w:t>
          </w:r>
          <w:r w:rsidRPr="00021D42">
            <w:rPr>
              <w:b/>
              <w:bCs/>
            </w:rPr>
            <w:t xml:space="preserve"> Conventions:</w:t>
          </w:r>
          <w:r>
            <w:t xml:space="preserve"> Implement structured device naming schemes (e.g. &lt;SITE&gt;-&lt;DEPT&gt;-&lt;SERIAL&gt;) for traceability and policy targeting.</w:t>
          </w:r>
        </w:p>
        <w:p w14:paraId="4EFDE6AC" w14:textId="3523BD04" w:rsidR="00021D42" w:rsidRDefault="00021D42" w:rsidP="001D2029">
          <w:pPr>
            <w:pStyle w:val="1ABodyTextLevel2"/>
            <w:numPr>
              <w:ilvl w:val="0"/>
              <w:numId w:val="72"/>
            </w:numPr>
          </w:pPr>
          <w:r w:rsidRPr="00021D42">
            <w:rPr>
              <w:b/>
              <w:bCs/>
            </w:rPr>
            <w:t>Scope Tags and RBAC:</w:t>
          </w:r>
          <w:r>
            <w:t xml:space="preserve"> Enforce least-privilege administrative access using Role-Based Access Control and Scope Tags to separate environments (e.g. Production vs Pilot).</w:t>
          </w:r>
        </w:p>
        <w:p w14:paraId="7D872FD2" w14:textId="46025C40" w:rsidR="00021D42" w:rsidRDefault="00021D42" w:rsidP="001D2029">
          <w:pPr>
            <w:pStyle w:val="1ABodyTextLevel2"/>
            <w:numPr>
              <w:ilvl w:val="0"/>
              <w:numId w:val="72"/>
            </w:numPr>
          </w:pPr>
          <w:r w:rsidRPr="00021D42">
            <w:rPr>
              <w:b/>
              <w:bCs/>
            </w:rPr>
            <w:t>Tenant Branding:</w:t>
          </w:r>
          <w:r>
            <w:t xml:space="preserve"> Apply corporate branding and terms of use to enrolment portals for end-user assurance.</w:t>
          </w:r>
        </w:p>
        <w:p w14:paraId="5A62DF31" w14:textId="3EBD1E4F" w:rsidR="002053ED" w:rsidRDefault="00021D42" w:rsidP="001D2029">
          <w:pPr>
            <w:pStyle w:val="1ABodyTextLevel2"/>
            <w:numPr>
              <w:ilvl w:val="0"/>
              <w:numId w:val="72"/>
            </w:numPr>
          </w:pPr>
          <w:r w:rsidRPr="00021D42">
            <w:rPr>
              <w:b/>
              <w:bCs/>
            </w:rPr>
            <w:t>Audit and Logging:</w:t>
          </w:r>
          <w:r>
            <w:t xml:space="preserve"> Enable unified audit logging to meet NCSC guidance around administrative transparency and change tracking.</w:t>
          </w:r>
        </w:p>
        <w:p w14:paraId="3AD08443" w14:textId="0273D475" w:rsidR="00021D42" w:rsidRDefault="00021D42" w:rsidP="00021D42">
          <w:pPr>
            <w:pStyle w:val="1ANumberedHeading2"/>
          </w:pPr>
          <w:r>
            <w:t>Entra ID Security Controls</w:t>
          </w:r>
        </w:p>
        <w:p w14:paraId="11572C70" w14:textId="566D4C44" w:rsidR="00021D42" w:rsidRDefault="00021D42" w:rsidP="001D2029">
          <w:pPr>
            <w:pStyle w:val="1ABodyTextLevel2"/>
          </w:pPr>
          <w:r>
            <w:t>Modern Desktop architecture is inherently identity-driven. A secure Entra ID</w:t>
          </w:r>
          <w:r>
            <w:t xml:space="preserve"> </w:t>
          </w:r>
          <w:r>
            <w:t>configuration underpins policy enforcement and access management.</w:t>
          </w:r>
        </w:p>
        <w:p w14:paraId="1E6D59BB" w14:textId="77777777" w:rsidR="00021D42" w:rsidRDefault="00021D42" w:rsidP="001D2029">
          <w:pPr>
            <w:pStyle w:val="1ABodyTextLevel2"/>
          </w:pPr>
        </w:p>
        <w:p w14:paraId="585076BD" w14:textId="275AB56A" w:rsidR="00021D42" w:rsidRDefault="00021D42" w:rsidP="001D2029">
          <w:pPr>
            <w:pStyle w:val="1ABodyTextLevel2"/>
            <w:numPr>
              <w:ilvl w:val="0"/>
              <w:numId w:val="76"/>
            </w:numPr>
          </w:pPr>
          <w:r w:rsidRPr="00021D42">
            <w:rPr>
              <w:b/>
              <w:bCs/>
            </w:rPr>
            <w:t>Multi-Factor Authentication (MFA):</w:t>
          </w:r>
          <w:r>
            <w:t xml:space="preserve"> Enforce MFA on all </w:t>
          </w:r>
          <w:r>
            <w:t xml:space="preserve">users. </w:t>
          </w:r>
          <w:r>
            <w:t>This aligns with both CIS and NCSC MFA guidance for remote access.</w:t>
          </w:r>
        </w:p>
        <w:p w14:paraId="3F89324D" w14:textId="77777777" w:rsidR="00021D42" w:rsidRPr="00021D42" w:rsidRDefault="00021D42" w:rsidP="001D2029">
          <w:pPr>
            <w:pStyle w:val="1ABodyTextLevel2"/>
            <w:numPr>
              <w:ilvl w:val="0"/>
              <w:numId w:val="76"/>
            </w:numPr>
          </w:pPr>
          <w:r w:rsidRPr="00021D42">
            <w:t>Conditional</w:t>
          </w:r>
          <w:r w:rsidRPr="00021D42">
            <w:t xml:space="preserve"> Access Policies:</w:t>
          </w:r>
        </w:p>
        <w:p w14:paraId="42876B71" w14:textId="77777777" w:rsidR="00021D42" w:rsidRDefault="00021D42" w:rsidP="001D2029">
          <w:pPr>
            <w:pStyle w:val="1ABodyTextLevel2"/>
            <w:numPr>
              <w:ilvl w:val="1"/>
              <w:numId w:val="76"/>
            </w:numPr>
            <w:rPr>
              <w:b/>
              <w:bCs/>
            </w:rPr>
          </w:pPr>
          <w:r>
            <w:t>Block legacy authentication</w:t>
          </w:r>
        </w:p>
        <w:p w14:paraId="12C97842" w14:textId="77777777" w:rsidR="00021D42" w:rsidRDefault="00021D42" w:rsidP="001D2029">
          <w:pPr>
            <w:pStyle w:val="1ABodyTextLevel2"/>
            <w:numPr>
              <w:ilvl w:val="1"/>
              <w:numId w:val="76"/>
            </w:numPr>
            <w:rPr>
              <w:b/>
              <w:bCs/>
            </w:rPr>
          </w:pPr>
          <w:r>
            <w:t>Require compliant device and MFA for access to Microsoft 365 and sensitive services</w:t>
          </w:r>
        </w:p>
        <w:p w14:paraId="26AF52FA" w14:textId="4A0A9380" w:rsidR="00021D42" w:rsidRPr="00021D42" w:rsidRDefault="00021D42" w:rsidP="001D2029">
          <w:pPr>
            <w:pStyle w:val="1ABodyTextLevel2"/>
            <w:numPr>
              <w:ilvl w:val="1"/>
              <w:numId w:val="76"/>
            </w:numPr>
            <w:rPr>
              <w:b/>
              <w:bCs/>
            </w:rPr>
          </w:pPr>
          <w:r>
            <w:t>Enforce sign-in risk policies (via Defender for Identity or Identity Protection)</w:t>
          </w:r>
        </w:p>
        <w:p w14:paraId="2F0F14AB" w14:textId="7446A86D" w:rsidR="00021D42" w:rsidRDefault="00021D42" w:rsidP="001D2029">
          <w:pPr>
            <w:pStyle w:val="1ABodyTextLevel2"/>
            <w:numPr>
              <w:ilvl w:val="0"/>
              <w:numId w:val="76"/>
            </w:numPr>
          </w:pPr>
          <w:r w:rsidRPr="00021D42">
            <w:rPr>
              <w:b/>
              <w:bCs/>
            </w:rPr>
            <w:t>Dynamic Device/User Groups:</w:t>
          </w:r>
          <w:r>
            <w:t xml:space="preserve"> Automate policy targeting using attributes such as join type, compliance state, or device location.</w:t>
          </w:r>
        </w:p>
        <w:p w14:paraId="34FFFFCF" w14:textId="40C9EC88" w:rsidR="00CD7948" w:rsidRDefault="00021D42" w:rsidP="001D2029">
          <w:pPr>
            <w:pStyle w:val="1ABodyTextLevel2"/>
            <w:numPr>
              <w:ilvl w:val="0"/>
              <w:numId w:val="76"/>
            </w:numPr>
          </w:pPr>
          <w:proofErr w:type="spellStart"/>
          <w:r w:rsidRPr="00021D42">
            <w:rPr>
              <w:b/>
              <w:bCs/>
            </w:rPr>
            <w:t>Passwordless</w:t>
          </w:r>
          <w:proofErr w:type="spellEnd"/>
          <w:r w:rsidRPr="00021D42">
            <w:rPr>
              <w:b/>
              <w:bCs/>
            </w:rPr>
            <w:t xml:space="preserve"> Authentication:</w:t>
          </w:r>
          <w:r>
            <w:t xml:space="preserve"> Encourage </w:t>
          </w:r>
          <w:proofErr w:type="spellStart"/>
          <w:r>
            <w:t>passwordless</w:t>
          </w:r>
          <w:proofErr w:type="spellEnd"/>
          <w:r>
            <w:t xml:space="preserve"> sign-in with Windows Hello for Business or FIDO2 keys, in line with NCSC’s direction on reducing password reliance.</w:t>
          </w:r>
        </w:p>
        <w:p w14:paraId="66D357A6" w14:textId="539575E6" w:rsidR="00021D42" w:rsidRDefault="00021D42" w:rsidP="00021D42">
          <w:pPr>
            <w:pStyle w:val="1ANumberedHeading2"/>
          </w:pPr>
          <w:r>
            <w:lastRenderedPageBreak/>
            <w:t>Device Configuration Profiles</w:t>
          </w:r>
        </w:p>
        <w:p w14:paraId="2A143EDA" w14:textId="77777777" w:rsidR="00021D42" w:rsidRDefault="00021D42" w:rsidP="001D2029">
          <w:pPr>
            <w:pStyle w:val="1ABodyTextLevel2"/>
          </w:pPr>
          <w:r>
            <w:t>Intune replaces Group Policy with device configuration profiles and CSP-backed controls. These should be mapped against CIS/NCSC policy recommendations to ensure consistent security posture.</w:t>
          </w:r>
        </w:p>
        <w:p w14:paraId="11A69AE5" w14:textId="77777777" w:rsidR="00021D42" w:rsidRDefault="00021D42" w:rsidP="001D2029">
          <w:pPr>
            <w:pStyle w:val="1ABodyTextLevel2"/>
          </w:pPr>
        </w:p>
        <w:p w14:paraId="65BBFC0C" w14:textId="3F91086D" w:rsidR="00021D42" w:rsidRDefault="00021D42" w:rsidP="001D2029">
          <w:pPr>
            <w:pStyle w:val="1ABodyTextLevel2"/>
            <w:numPr>
              <w:ilvl w:val="0"/>
              <w:numId w:val="77"/>
            </w:numPr>
          </w:pPr>
          <w:r w:rsidRPr="00021D42">
            <w:rPr>
              <w:b/>
              <w:bCs/>
            </w:rPr>
            <w:t>Microsoft Security Baselines:</w:t>
          </w:r>
          <w:r>
            <w:t xml:space="preserve"> Use built-in security baselines for Windows, Microsoft Edge, and Defender as a starting point.</w:t>
          </w:r>
        </w:p>
        <w:p w14:paraId="77C143CE" w14:textId="39FD1125" w:rsidR="00021D42" w:rsidRDefault="00021D42" w:rsidP="001D2029">
          <w:pPr>
            <w:pStyle w:val="1ABodyTextLevel2"/>
            <w:numPr>
              <w:ilvl w:val="0"/>
              <w:numId w:val="77"/>
            </w:numPr>
          </w:pPr>
          <w:r w:rsidRPr="00021D42">
            <w:rPr>
              <w:b/>
              <w:bCs/>
            </w:rPr>
            <w:t xml:space="preserve">CIS/NCSC Custom Profiles: </w:t>
          </w:r>
          <w:r>
            <w:t xml:space="preserve">Where required, use Settings </w:t>
          </w:r>
          <w:proofErr w:type="spellStart"/>
          <w:r>
            <w:t>Catalog</w:t>
          </w:r>
          <w:proofErr w:type="spellEnd"/>
          <w:r>
            <w:t xml:space="preserve"> and custom configuration profiles to implement hardening settings recommended by:</w:t>
          </w:r>
        </w:p>
        <w:p w14:paraId="4C5321CF" w14:textId="3C878039" w:rsidR="00021D42" w:rsidRDefault="00021D42" w:rsidP="001D2029">
          <w:pPr>
            <w:pStyle w:val="1ABodyTextLevel2"/>
            <w:numPr>
              <w:ilvl w:val="1"/>
              <w:numId w:val="77"/>
            </w:numPr>
          </w:pPr>
          <w:r>
            <w:t>CIS Windows 10/11 Benchmarks (Level 1) for enterprise environments</w:t>
          </w:r>
        </w:p>
        <w:p w14:paraId="2C44D24D" w14:textId="354EE4FF" w:rsidR="00021D42" w:rsidRDefault="00021D42" w:rsidP="001D2029">
          <w:pPr>
            <w:pStyle w:val="1ABodyTextLevel2"/>
            <w:numPr>
              <w:ilvl w:val="1"/>
              <w:numId w:val="77"/>
            </w:numPr>
          </w:pPr>
          <w:r>
            <w:t>NCSC Intune Security Configuration and NCSC EUD Platform Guides for Windows 10/11</w:t>
          </w:r>
        </w:p>
        <w:p w14:paraId="67448E1D" w14:textId="2EB3DFC2" w:rsidR="00021D42" w:rsidRDefault="00021D42" w:rsidP="001D2029">
          <w:pPr>
            <w:pStyle w:val="1ABodyTextLevel2"/>
            <w:numPr>
              <w:ilvl w:val="0"/>
              <w:numId w:val="77"/>
            </w:numPr>
          </w:pPr>
          <w:r w:rsidRPr="00021D42">
            <w:rPr>
              <w:b/>
              <w:bCs/>
            </w:rPr>
            <w:t>Wi-Fi, VPN &amp; Certificates:</w:t>
          </w:r>
          <w:r>
            <w:t xml:space="preserve"> Deploy secure access profiles using SCEP/PKCS certificate distribution methods to remove reliance on manual config or legacy GPOs.</w:t>
          </w:r>
        </w:p>
        <w:p w14:paraId="0F35860E" w14:textId="5FB3710A" w:rsidR="002351ED" w:rsidRDefault="00021D42" w:rsidP="00021D42">
          <w:pPr>
            <w:pStyle w:val="1ANumberedHeading2"/>
          </w:pPr>
          <w:r>
            <w:t>Compliance Policies and Conditional Enforcement</w:t>
          </w:r>
        </w:p>
        <w:p w14:paraId="34E3BE91" w14:textId="77777777" w:rsidR="00021D42" w:rsidRPr="00021D42" w:rsidRDefault="00021D42" w:rsidP="00021D42">
          <w:pPr>
            <w:pStyle w:val="p1"/>
            <w:ind w:left="567"/>
            <w:rPr>
              <w:rFonts w:ascii="Open Sans" w:hAnsi="Open Sans" w:cs="Open Sans"/>
              <w:sz w:val="20"/>
              <w:szCs w:val="20"/>
            </w:rPr>
          </w:pPr>
          <w:r w:rsidRPr="00021D42">
            <w:rPr>
              <w:rFonts w:ascii="Open Sans" w:hAnsi="Open Sans" w:cs="Open Sans"/>
              <w:sz w:val="20"/>
              <w:szCs w:val="20"/>
            </w:rPr>
            <w:t>Compliance policies must codify your baseline expectations for endpoint health and integrate with Conditional Access to enforce Zero Trust principles.</w:t>
          </w:r>
        </w:p>
        <w:p w14:paraId="20127DBF" w14:textId="77777777" w:rsidR="00021D42" w:rsidRPr="00021D42" w:rsidRDefault="00021D42" w:rsidP="00021D42">
          <w:pPr>
            <w:pStyle w:val="p1"/>
            <w:numPr>
              <w:ilvl w:val="0"/>
              <w:numId w:val="78"/>
            </w:numPr>
            <w:tabs>
              <w:tab w:val="clear" w:pos="720"/>
              <w:tab w:val="num" w:pos="1287"/>
            </w:tabs>
            <w:ind w:left="1287"/>
            <w:rPr>
              <w:rFonts w:ascii="Open Sans" w:hAnsi="Open Sans" w:cs="Open Sans"/>
              <w:sz w:val="20"/>
              <w:szCs w:val="20"/>
            </w:rPr>
          </w:pPr>
          <w:r w:rsidRPr="00021D42">
            <w:rPr>
              <w:rFonts w:ascii="Open Sans" w:hAnsi="Open Sans" w:cs="Open Sans"/>
              <w:b/>
              <w:bCs/>
              <w:sz w:val="20"/>
              <w:szCs w:val="20"/>
            </w:rPr>
            <w:t>Common Policies</w:t>
          </w:r>
          <w:r w:rsidRPr="00021D42">
            <w:rPr>
              <w:rStyle w:val="s1"/>
              <w:rFonts w:ascii="Open Sans" w:eastAsiaTheme="majorEastAsia" w:hAnsi="Open Sans" w:cs="Open Sans"/>
              <w:sz w:val="20"/>
              <w:szCs w:val="20"/>
            </w:rPr>
            <w:t>:</w:t>
          </w:r>
        </w:p>
        <w:p w14:paraId="006EBD4A" w14:textId="77777777" w:rsidR="00021D42" w:rsidRPr="00021D42" w:rsidRDefault="00021D42" w:rsidP="00021D42">
          <w:pPr>
            <w:pStyle w:val="p1"/>
            <w:numPr>
              <w:ilvl w:val="1"/>
              <w:numId w:val="78"/>
            </w:numPr>
            <w:tabs>
              <w:tab w:val="clear" w:pos="1440"/>
              <w:tab w:val="num" w:pos="2007"/>
            </w:tabs>
            <w:ind w:left="2007"/>
            <w:rPr>
              <w:rFonts w:ascii="Open Sans" w:hAnsi="Open Sans" w:cs="Open Sans"/>
              <w:sz w:val="20"/>
              <w:szCs w:val="20"/>
            </w:rPr>
          </w:pPr>
          <w:r w:rsidRPr="00021D42">
            <w:rPr>
              <w:rFonts w:ascii="Open Sans" w:hAnsi="Open Sans" w:cs="Open Sans"/>
              <w:sz w:val="20"/>
              <w:szCs w:val="20"/>
            </w:rPr>
            <w:t>Require BitLocker encryption (aligned to CIS and NCSC disk encryption mandates)</w:t>
          </w:r>
        </w:p>
        <w:p w14:paraId="33607C80" w14:textId="77777777" w:rsidR="00021D42" w:rsidRPr="00021D42" w:rsidRDefault="00021D42" w:rsidP="00021D42">
          <w:pPr>
            <w:pStyle w:val="p1"/>
            <w:numPr>
              <w:ilvl w:val="1"/>
              <w:numId w:val="78"/>
            </w:numPr>
            <w:tabs>
              <w:tab w:val="clear" w:pos="1440"/>
              <w:tab w:val="num" w:pos="2007"/>
            </w:tabs>
            <w:ind w:left="2007"/>
            <w:rPr>
              <w:rFonts w:ascii="Open Sans" w:hAnsi="Open Sans" w:cs="Open Sans"/>
              <w:sz w:val="20"/>
              <w:szCs w:val="20"/>
            </w:rPr>
          </w:pPr>
          <w:r w:rsidRPr="00021D42">
            <w:rPr>
              <w:rFonts w:ascii="Open Sans" w:hAnsi="Open Sans" w:cs="Open Sans"/>
              <w:sz w:val="20"/>
              <w:szCs w:val="20"/>
            </w:rPr>
            <w:t>Require secure boot, TPM, and up-to-date OS builds</w:t>
          </w:r>
        </w:p>
        <w:p w14:paraId="17951252" w14:textId="6B6D0744" w:rsidR="00021D42" w:rsidRPr="00021D42" w:rsidRDefault="00021D42" w:rsidP="00021D42">
          <w:pPr>
            <w:pStyle w:val="p1"/>
            <w:numPr>
              <w:ilvl w:val="1"/>
              <w:numId w:val="78"/>
            </w:numPr>
            <w:tabs>
              <w:tab w:val="clear" w:pos="1440"/>
              <w:tab w:val="num" w:pos="2007"/>
            </w:tabs>
            <w:ind w:left="2007"/>
            <w:rPr>
              <w:rFonts w:ascii="Open Sans" w:hAnsi="Open Sans" w:cs="Open Sans"/>
              <w:sz w:val="20"/>
              <w:szCs w:val="20"/>
            </w:rPr>
          </w:pPr>
          <w:r w:rsidRPr="00021D42">
            <w:rPr>
              <w:rFonts w:ascii="Open Sans" w:hAnsi="Open Sans" w:cs="Open Sans"/>
              <w:sz w:val="20"/>
              <w:szCs w:val="20"/>
            </w:rPr>
            <w:t>Prohibit jailbroken or rooted mobile devices</w:t>
          </w:r>
          <w:r>
            <w:rPr>
              <w:rFonts w:ascii="Open Sans" w:hAnsi="Open Sans" w:cs="Open Sans"/>
              <w:sz w:val="20"/>
              <w:szCs w:val="20"/>
            </w:rPr>
            <w:br/>
          </w:r>
        </w:p>
        <w:p w14:paraId="4CEC8E45" w14:textId="77777777" w:rsidR="00021D42" w:rsidRPr="00021D42" w:rsidRDefault="00021D42" w:rsidP="00021D42">
          <w:pPr>
            <w:pStyle w:val="p1"/>
            <w:numPr>
              <w:ilvl w:val="0"/>
              <w:numId w:val="78"/>
            </w:numPr>
            <w:tabs>
              <w:tab w:val="clear" w:pos="720"/>
              <w:tab w:val="num" w:pos="1287"/>
            </w:tabs>
            <w:ind w:left="1287"/>
            <w:rPr>
              <w:rFonts w:ascii="Open Sans" w:hAnsi="Open Sans" w:cs="Open Sans"/>
              <w:sz w:val="20"/>
              <w:szCs w:val="20"/>
            </w:rPr>
          </w:pPr>
          <w:r w:rsidRPr="00021D42">
            <w:rPr>
              <w:rFonts w:ascii="Open Sans" w:hAnsi="Open Sans" w:cs="Open Sans"/>
              <w:b/>
              <w:bCs/>
              <w:sz w:val="20"/>
              <w:szCs w:val="20"/>
            </w:rPr>
            <w:t>Non-Compliance Actions</w:t>
          </w:r>
          <w:r w:rsidRPr="00021D42">
            <w:rPr>
              <w:rStyle w:val="s1"/>
              <w:rFonts w:ascii="Open Sans" w:eastAsiaTheme="majorEastAsia" w:hAnsi="Open Sans" w:cs="Open Sans"/>
              <w:sz w:val="20"/>
              <w:szCs w:val="20"/>
            </w:rPr>
            <w:t>:</w:t>
          </w:r>
        </w:p>
        <w:p w14:paraId="2A1AD149" w14:textId="77777777" w:rsidR="00021D42" w:rsidRPr="00021D42" w:rsidRDefault="00021D42" w:rsidP="00021D42">
          <w:pPr>
            <w:pStyle w:val="p1"/>
            <w:numPr>
              <w:ilvl w:val="1"/>
              <w:numId w:val="78"/>
            </w:numPr>
            <w:tabs>
              <w:tab w:val="clear" w:pos="1440"/>
              <w:tab w:val="num" w:pos="2007"/>
            </w:tabs>
            <w:ind w:left="2007"/>
            <w:rPr>
              <w:rFonts w:ascii="Open Sans" w:hAnsi="Open Sans" w:cs="Open Sans"/>
              <w:sz w:val="20"/>
              <w:szCs w:val="20"/>
            </w:rPr>
          </w:pPr>
          <w:r w:rsidRPr="00021D42">
            <w:rPr>
              <w:rFonts w:ascii="Open Sans" w:hAnsi="Open Sans" w:cs="Open Sans"/>
              <w:sz w:val="20"/>
              <w:szCs w:val="20"/>
            </w:rPr>
            <w:t>Mark devices as non-compliant after 1–2 missed check-ins</w:t>
          </w:r>
        </w:p>
        <w:p w14:paraId="61DBA214" w14:textId="77777777" w:rsidR="00021D42" w:rsidRPr="00021D42" w:rsidRDefault="00021D42" w:rsidP="00021D42">
          <w:pPr>
            <w:pStyle w:val="p1"/>
            <w:numPr>
              <w:ilvl w:val="1"/>
              <w:numId w:val="78"/>
            </w:numPr>
            <w:tabs>
              <w:tab w:val="clear" w:pos="1440"/>
              <w:tab w:val="num" w:pos="2007"/>
            </w:tabs>
            <w:ind w:left="2007"/>
            <w:rPr>
              <w:rFonts w:ascii="Open Sans" w:hAnsi="Open Sans" w:cs="Open Sans"/>
              <w:sz w:val="20"/>
              <w:szCs w:val="20"/>
            </w:rPr>
          </w:pPr>
          <w:r w:rsidRPr="00021D42">
            <w:rPr>
              <w:rFonts w:ascii="Open Sans" w:hAnsi="Open Sans" w:cs="Open Sans"/>
              <w:sz w:val="20"/>
              <w:szCs w:val="20"/>
            </w:rPr>
            <w:t>Notify user and IT via automated email</w:t>
          </w:r>
        </w:p>
        <w:p w14:paraId="41E5BAD3" w14:textId="50BCBBAE" w:rsidR="00021D42" w:rsidRPr="00021D42" w:rsidRDefault="00021D42" w:rsidP="00021D42">
          <w:pPr>
            <w:pStyle w:val="p1"/>
            <w:numPr>
              <w:ilvl w:val="1"/>
              <w:numId w:val="78"/>
            </w:numPr>
            <w:tabs>
              <w:tab w:val="clear" w:pos="1440"/>
              <w:tab w:val="num" w:pos="2007"/>
            </w:tabs>
            <w:ind w:left="2007"/>
            <w:rPr>
              <w:rFonts w:ascii="Open Sans" w:hAnsi="Open Sans" w:cs="Open Sans"/>
              <w:sz w:val="20"/>
              <w:szCs w:val="20"/>
            </w:rPr>
          </w:pPr>
          <w:r w:rsidRPr="00021D42">
            <w:rPr>
              <w:rFonts w:ascii="Open Sans" w:hAnsi="Open Sans" w:cs="Open Sans"/>
              <w:sz w:val="20"/>
              <w:szCs w:val="20"/>
            </w:rPr>
            <w:t>Lock or remove access to sensitive applications via Conditional Access</w:t>
          </w:r>
          <w:r>
            <w:rPr>
              <w:rFonts w:ascii="Open Sans" w:hAnsi="Open Sans" w:cs="Open Sans"/>
              <w:sz w:val="20"/>
              <w:szCs w:val="20"/>
            </w:rPr>
            <w:br/>
          </w:r>
        </w:p>
        <w:p w14:paraId="253CF729" w14:textId="77777777" w:rsidR="00021D42" w:rsidRPr="00021D42" w:rsidRDefault="00021D42" w:rsidP="00021D42">
          <w:pPr>
            <w:pStyle w:val="p1"/>
            <w:numPr>
              <w:ilvl w:val="0"/>
              <w:numId w:val="78"/>
            </w:numPr>
            <w:tabs>
              <w:tab w:val="clear" w:pos="720"/>
              <w:tab w:val="num" w:pos="1287"/>
            </w:tabs>
            <w:ind w:left="1287"/>
            <w:rPr>
              <w:rFonts w:ascii="Open Sans" w:hAnsi="Open Sans" w:cs="Open Sans"/>
              <w:sz w:val="20"/>
              <w:szCs w:val="20"/>
            </w:rPr>
          </w:pPr>
          <w:r w:rsidRPr="00021D42">
            <w:rPr>
              <w:rFonts w:ascii="Open Sans" w:hAnsi="Open Sans" w:cs="Open Sans"/>
              <w:b/>
              <w:bCs/>
              <w:sz w:val="20"/>
              <w:szCs w:val="20"/>
            </w:rPr>
            <w:t>Compliance Reporting</w:t>
          </w:r>
          <w:r w:rsidRPr="00021D42">
            <w:rPr>
              <w:rStyle w:val="s1"/>
              <w:rFonts w:ascii="Open Sans" w:eastAsiaTheme="majorEastAsia" w:hAnsi="Open Sans" w:cs="Open Sans"/>
              <w:sz w:val="20"/>
              <w:szCs w:val="20"/>
            </w:rPr>
            <w:t>:</w:t>
          </w:r>
        </w:p>
        <w:p w14:paraId="2EE2B6D0" w14:textId="77777777" w:rsidR="00021D42" w:rsidRPr="00021D42" w:rsidRDefault="00021D42" w:rsidP="00021D42">
          <w:pPr>
            <w:pStyle w:val="p1"/>
            <w:numPr>
              <w:ilvl w:val="1"/>
              <w:numId w:val="78"/>
            </w:numPr>
            <w:tabs>
              <w:tab w:val="clear" w:pos="1440"/>
              <w:tab w:val="num" w:pos="2007"/>
            </w:tabs>
            <w:ind w:left="2007"/>
            <w:rPr>
              <w:rFonts w:ascii="Open Sans" w:hAnsi="Open Sans" w:cs="Open Sans"/>
              <w:sz w:val="20"/>
              <w:szCs w:val="20"/>
            </w:rPr>
          </w:pPr>
          <w:r w:rsidRPr="00021D42">
            <w:rPr>
              <w:rFonts w:ascii="Open Sans" w:hAnsi="Open Sans" w:cs="Open Sans"/>
              <w:sz w:val="20"/>
              <w:szCs w:val="20"/>
            </w:rPr>
            <w:t>Leverage built-in dashboards for compliance posture</w:t>
          </w:r>
        </w:p>
        <w:p w14:paraId="4A8C1803" w14:textId="77777777" w:rsidR="00021D42" w:rsidRPr="00021D42" w:rsidRDefault="00021D42" w:rsidP="00021D42">
          <w:pPr>
            <w:pStyle w:val="p1"/>
            <w:numPr>
              <w:ilvl w:val="1"/>
              <w:numId w:val="78"/>
            </w:numPr>
            <w:tabs>
              <w:tab w:val="clear" w:pos="1440"/>
              <w:tab w:val="num" w:pos="2007"/>
            </w:tabs>
            <w:ind w:left="2007"/>
            <w:rPr>
              <w:rFonts w:ascii="Open Sans" w:hAnsi="Open Sans" w:cs="Open Sans"/>
              <w:sz w:val="20"/>
              <w:szCs w:val="20"/>
            </w:rPr>
          </w:pPr>
          <w:r w:rsidRPr="00021D42">
            <w:rPr>
              <w:rFonts w:ascii="Open Sans" w:hAnsi="Open Sans" w:cs="Open Sans"/>
              <w:sz w:val="20"/>
              <w:szCs w:val="20"/>
            </w:rPr>
            <w:t xml:space="preserve">Integrate with </w:t>
          </w:r>
          <w:r w:rsidRPr="00021D42">
            <w:rPr>
              <w:rStyle w:val="s1"/>
              <w:rFonts w:ascii="Open Sans" w:eastAsiaTheme="majorEastAsia" w:hAnsi="Open Sans" w:cs="Open Sans"/>
              <w:b/>
              <w:bCs/>
              <w:sz w:val="20"/>
              <w:szCs w:val="20"/>
            </w:rPr>
            <w:t>Microsoft Defender for Endpoint</w:t>
          </w:r>
          <w:r w:rsidRPr="00021D42">
            <w:rPr>
              <w:rFonts w:ascii="Open Sans" w:hAnsi="Open Sans" w:cs="Open Sans"/>
              <w:sz w:val="20"/>
              <w:szCs w:val="20"/>
            </w:rPr>
            <w:t xml:space="preserve"> to adjust device risk scores dynamically</w:t>
          </w:r>
        </w:p>
        <w:p w14:paraId="7B820BBE" w14:textId="77777777" w:rsidR="00021D42" w:rsidRPr="00021D42" w:rsidRDefault="00021D42" w:rsidP="00021D42">
          <w:pPr>
            <w:pStyle w:val="p1"/>
            <w:numPr>
              <w:ilvl w:val="1"/>
              <w:numId w:val="78"/>
            </w:numPr>
            <w:tabs>
              <w:tab w:val="clear" w:pos="1440"/>
              <w:tab w:val="num" w:pos="2007"/>
            </w:tabs>
            <w:ind w:left="2007"/>
            <w:rPr>
              <w:rFonts w:ascii="Open Sans" w:hAnsi="Open Sans" w:cs="Open Sans"/>
              <w:sz w:val="20"/>
              <w:szCs w:val="20"/>
            </w:rPr>
          </w:pPr>
          <w:r w:rsidRPr="00021D42">
            <w:rPr>
              <w:rFonts w:ascii="Open Sans" w:hAnsi="Open Sans" w:cs="Open Sans"/>
              <w:sz w:val="20"/>
              <w:szCs w:val="20"/>
            </w:rPr>
            <w:t xml:space="preserve">Use </w:t>
          </w:r>
          <w:r w:rsidRPr="00021D42">
            <w:rPr>
              <w:rStyle w:val="s1"/>
              <w:rFonts w:ascii="Open Sans" w:eastAsiaTheme="majorEastAsia" w:hAnsi="Open Sans" w:cs="Open Sans"/>
              <w:b/>
              <w:bCs/>
              <w:sz w:val="20"/>
              <w:szCs w:val="20"/>
            </w:rPr>
            <w:t>Endpoint Analytics</w:t>
          </w:r>
          <w:r w:rsidRPr="00021D42">
            <w:rPr>
              <w:rFonts w:ascii="Open Sans" w:hAnsi="Open Sans" w:cs="Open Sans"/>
              <w:sz w:val="20"/>
              <w:szCs w:val="20"/>
            </w:rPr>
            <w:t xml:space="preserve"> for visibility into configuration drift or remediation success</w:t>
          </w:r>
        </w:p>
        <w:p w14:paraId="7F742F43" w14:textId="3DE81298" w:rsidR="00021D42" w:rsidRDefault="001D2029" w:rsidP="001D2029">
          <w:pPr>
            <w:pStyle w:val="1ANumberedHeading2"/>
          </w:pPr>
          <w:r>
            <w:t>Autopilot Profile Creation and Enrolment Process</w:t>
          </w:r>
        </w:p>
        <w:p w14:paraId="1483C4BF" w14:textId="77777777" w:rsidR="001D2029" w:rsidRPr="001D2029" w:rsidRDefault="001D2029" w:rsidP="001D2029">
          <w:pPr>
            <w:spacing w:before="100" w:beforeAutospacing="1" w:after="100" w:afterAutospacing="1" w:line="240" w:lineRule="auto"/>
            <w:ind w:left="567"/>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Windows Autopilot enables standardised, zero-touch provisioning, fully aligned with NCSC’s recommended device build principles.</w:t>
          </w:r>
        </w:p>
        <w:p w14:paraId="1E1F8C1C" w14:textId="77777777" w:rsidR="001D2029" w:rsidRPr="001D2029" w:rsidRDefault="001D2029" w:rsidP="001D2029">
          <w:pPr>
            <w:numPr>
              <w:ilvl w:val="0"/>
              <w:numId w:val="79"/>
            </w:numPr>
            <w:tabs>
              <w:tab w:val="clear" w:pos="720"/>
              <w:tab w:val="num" w:pos="1287"/>
            </w:tabs>
            <w:spacing w:before="100" w:beforeAutospacing="1" w:after="100" w:afterAutospacing="1" w:line="240" w:lineRule="auto"/>
            <w:ind w:left="1287"/>
            <w:rPr>
              <w:rFonts w:eastAsia="Times New Roman" w:cs="Open Sans"/>
              <w:color w:val="auto"/>
              <w:kern w:val="0"/>
              <w:szCs w:val="20"/>
              <w:lang w:eastAsia="en-GB"/>
              <w14:ligatures w14:val="none"/>
            </w:rPr>
          </w:pPr>
          <w:r w:rsidRPr="001D2029">
            <w:rPr>
              <w:rFonts w:eastAsia="Times New Roman" w:cs="Open Sans"/>
              <w:b/>
              <w:bCs/>
              <w:color w:val="auto"/>
              <w:kern w:val="0"/>
              <w:szCs w:val="20"/>
              <w:lang w:eastAsia="en-GB"/>
              <w14:ligatures w14:val="none"/>
            </w:rPr>
            <w:lastRenderedPageBreak/>
            <w:t>Profile Types</w:t>
          </w:r>
          <w:r w:rsidRPr="001D2029">
            <w:rPr>
              <w:rFonts w:eastAsia="Times New Roman" w:cs="Open Sans"/>
              <w:color w:val="auto"/>
              <w:kern w:val="0"/>
              <w:szCs w:val="20"/>
              <w:lang w:eastAsia="en-GB"/>
              <w14:ligatures w14:val="none"/>
            </w:rPr>
            <w:t>:</w:t>
          </w:r>
        </w:p>
        <w:p w14:paraId="3B4ED4E8" w14:textId="77777777" w:rsidR="001D2029" w:rsidRPr="001D2029" w:rsidRDefault="001D2029" w:rsidP="001D2029">
          <w:pPr>
            <w:numPr>
              <w:ilvl w:val="1"/>
              <w:numId w:val="79"/>
            </w:numPr>
            <w:tabs>
              <w:tab w:val="clear" w:pos="1440"/>
              <w:tab w:val="num" w:pos="2007"/>
            </w:tabs>
            <w:spacing w:before="100" w:beforeAutospacing="1" w:after="100" w:afterAutospacing="1" w:line="240" w:lineRule="auto"/>
            <w:ind w:left="2007"/>
            <w:rPr>
              <w:rFonts w:eastAsia="Times New Roman" w:cs="Open Sans"/>
              <w:color w:val="auto"/>
              <w:kern w:val="0"/>
              <w:szCs w:val="20"/>
              <w:lang w:eastAsia="en-GB"/>
              <w14:ligatures w14:val="none"/>
            </w:rPr>
          </w:pPr>
          <w:r w:rsidRPr="001D2029">
            <w:rPr>
              <w:rFonts w:eastAsia="Times New Roman" w:cs="Open Sans"/>
              <w:b/>
              <w:bCs/>
              <w:color w:val="auto"/>
              <w:kern w:val="0"/>
              <w:szCs w:val="20"/>
              <w:lang w:eastAsia="en-GB"/>
              <w14:ligatures w14:val="none"/>
            </w:rPr>
            <w:t>User-Driven</w:t>
          </w:r>
          <w:r w:rsidRPr="001D2029">
            <w:rPr>
              <w:rFonts w:eastAsia="Times New Roman" w:cs="Open Sans"/>
              <w:color w:val="auto"/>
              <w:kern w:val="0"/>
              <w:szCs w:val="20"/>
              <w:lang w:eastAsia="en-GB"/>
              <w14:ligatures w14:val="none"/>
            </w:rPr>
            <w:t xml:space="preserve"> for corporate laptops and hybrid users</w:t>
          </w:r>
        </w:p>
        <w:p w14:paraId="5A4A8DBD" w14:textId="77777777" w:rsidR="001D2029" w:rsidRPr="001D2029" w:rsidRDefault="001D2029" w:rsidP="001D2029">
          <w:pPr>
            <w:numPr>
              <w:ilvl w:val="1"/>
              <w:numId w:val="79"/>
            </w:numPr>
            <w:tabs>
              <w:tab w:val="clear" w:pos="1440"/>
              <w:tab w:val="num" w:pos="2007"/>
            </w:tabs>
            <w:spacing w:before="100" w:beforeAutospacing="1" w:after="100" w:afterAutospacing="1" w:line="240" w:lineRule="auto"/>
            <w:ind w:left="2007"/>
            <w:rPr>
              <w:rFonts w:eastAsia="Times New Roman" w:cs="Open Sans"/>
              <w:color w:val="auto"/>
              <w:kern w:val="0"/>
              <w:szCs w:val="20"/>
              <w:lang w:eastAsia="en-GB"/>
              <w14:ligatures w14:val="none"/>
            </w:rPr>
          </w:pPr>
          <w:r w:rsidRPr="001D2029">
            <w:rPr>
              <w:rFonts w:eastAsia="Times New Roman" w:cs="Open Sans"/>
              <w:b/>
              <w:bCs/>
              <w:color w:val="auto"/>
              <w:kern w:val="0"/>
              <w:szCs w:val="20"/>
              <w:lang w:eastAsia="en-GB"/>
              <w14:ligatures w14:val="none"/>
            </w:rPr>
            <w:t>Self-Deploying</w:t>
          </w:r>
          <w:r w:rsidRPr="001D2029">
            <w:rPr>
              <w:rFonts w:eastAsia="Times New Roman" w:cs="Open Sans"/>
              <w:color w:val="auto"/>
              <w:kern w:val="0"/>
              <w:szCs w:val="20"/>
              <w:lang w:eastAsia="en-GB"/>
              <w14:ligatures w14:val="none"/>
            </w:rPr>
            <w:t xml:space="preserve"> for shared devices or kiosks</w:t>
          </w:r>
        </w:p>
        <w:p w14:paraId="792C741B" w14:textId="483C8834" w:rsidR="001D2029" w:rsidRPr="001D2029" w:rsidRDefault="001D2029" w:rsidP="001D2029">
          <w:pPr>
            <w:numPr>
              <w:ilvl w:val="1"/>
              <w:numId w:val="79"/>
            </w:numPr>
            <w:tabs>
              <w:tab w:val="clear" w:pos="1440"/>
              <w:tab w:val="num" w:pos="2007"/>
            </w:tabs>
            <w:spacing w:before="100" w:beforeAutospacing="1" w:after="100" w:afterAutospacing="1" w:line="240" w:lineRule="auto"/>
            <w:ind w:left="2007"/>
            <w:rPr>
              <w:rFonts w:eastAsia="Times New Roman" w:cs="Open Sans"/>
              <w:color w:val="auto"/>
              <w:kern w:val="0"/>
              <w:szCs w:val="20"/>
              <w:lang w:eastAsia="en-GB"/>
              <w14:ligatures w14:val="none"/>
            </w:rPr>
          </w:pPr>
          <w:r w:rsidRPr="001D2029">
            <w:rPr>
              <w:rFonts w:eastAsia="Times New Roman" w:cs="Open Sans"/>
              <w:b/>
              <w:bCs/>
              <w:color w:val="auto"/>
              <w:kern w:val="0"/>
              <w:szCs w:val="20"/>
              <w:lang w:eastAsia="en-GB"/>
              <w14:ligatures w14:val="none"/>
            </w:rPr>
            <w:t>Pre-Provisioned (White Glove)</w:t>
          </w:r>
          <w:r w:rsidRPr="001D2029">
            <w:rPr>
              <w:rFonts w:eastAsia="Times New Roman" w:cs="Open Sans"/>
              <w:color w:val="auto"/>
              <w:kern w:val="0"/>
              <w:szCs w:val="20"/>
              <w:lang w:eastAsia="en-GB"/>
              <w14:ligatures w14:val="none"/>
            </w:rPr>
            <w:t xml:space="preserve"> for devices built before user delivery</w:t>
          </w:r>
          <w:r>
            <w:rPr>
              <w:rFonts w:eastAsia="Times New Roman" w:cs="Open Sans"/>
              <w:color w:val="auto"/>
              <w:kern w:val="0"/>
              <w:szCs w:val="20"/>
              <w:lang w:eastAsia="en-GB"/>
              <w14:ligatures w14:val="none"/>
            </w:rPr>
            <w:br/>
          </w:r>
        </w:p>
        <w:p w14:paraId="396F37F4" w14:textId="77777777" w:rsidR="001D2029" w:rsidRPr="001D2029" w:rsidRDefault="001D2029" w:rsidP="001D2029">
          <w:pPr>
            <w:numPr>
              <w:ilvl w:val="0"/>
              <w:numId w:val="79"/>
            </w:numPr>
            <w:tabs>
              <w:tab w:val="clear" w:pos="720"/>
              <w:tab w:val="num" w:pos="1287"/>
            </w:tabs>
            <w:spacing w:before="100" w:beforeAutospacing="1" w:after="100" w:afterAutospacing="1" w:line="240" w:lineRule="auto"/>
            <w:ind w:left="1287"/>
            <w:rPr>
              <w:rFonts w:eastAsia="Times New Roman" w:cs="Open Sans"/>
              <w:color w:val="auto"/>
              <w:kern w:val="0"/>
              <w:szCs w:val="20"/>
              <w:lang w:eastAsia="en-GB"/>
              <w14:ligatures w14:val="none"/>
            </w:rPr>
          </w:pPr>
          <w:r w:rsidRPr="001D2029">
            <w:rPr>
              <w:rFonts w:eastAsia="Times New Roman" w:cs="Open Sans"/>
              <w:b/>
              <w:bCs/>
              <w:color w:val="auto"/>
              <w:kern w:val="0"/>
              <w:szCs w:val="20"/>
              <w:lang w:eastAsia="en-GB"/>
              <w14:ligatures w14:val="none"/>
            </w:rPr>
            <w:t>Security Alignment</w:t>
          </w:r>
          <w:r w:rsidRPr="001D2029">
            <w:rPr>
              <w:rFonts w:eastAsia="Times New Roman" w:cs="Open Sans"/>
              <w:color w:val="auto"/>
              <w:kern w:val="0"/>
              <w:szCs w:val="20"/>
              <w:lang w:eastAsia="en-GB"/>
              <w14:ligatures w14:val="none"/>
            </w:rPr>
            <w:t>:</w:t>
          </w:r>
        </w:p>
        <w:p w14:paraId="7AC26720" w14:textId="77777777" w:rsidR="001D2029" w:rsidRPr="001D2029" w:rsidRDefault="001D2029" w:rsidP="001D2029">
          <w:pPr>
            <w:numPr>
              <w:ilvl w:val="1"/>
              <w:numId w:val="79"/>
            </w:numPr>
            <w:tabs>
              <w:tab w:val="clear" w:pos="1440"/>
              <w:tab w:val="num" w:pos="2007"/>
            </w:tabs>
            <w:spacing w:before="100" w:beforeAutospacing="1" w:after="100" w:afterAutospacing="1" w:line="240" w:lineRule="auto"/>
            <w:ind w:left="2007"/>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Enforce BitLocker encryption at OOBE</w:t>
          </w:r>
        </w:p>
        <w:p w14:paraId="0EFB2E83" w14:textId="77777777" w:rsidR="001D2029" w:rsidRPr="001D2029" w:rsidRDefault="001D2029" w:rsidP="001D2029">
          <w:pPr>
            <w:numPr>
              <w:ilvl w:val="1"/>
              <w:numId w:val="79"/>
            </w:numPr>
            <w:tabs>
              <w:tab w:val="clear" w:pos="1440"/>
              <w:tab w:val="num" w:pos="2007"/>
            </w:tabs>
            <w:spacing w:before="100" w:beforeAutospacing="1" w:after="100" w:afterAutospacing="1" w:line="240" w:lineRule="auto"/>
            <w:ind w:left="2007"/>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Integrate with Defender AV, EDR and MDE onboarding as part of provisioning flow</w:t>
          </w:r>
        </w:p>
        <w:p w14:paraId="5534230B" w14:textId="55421C77" w:rsidR="001D2029" w:rsidRPr="001D2029" w:rsidRDefault="001D2029" w:rsidP="001D2029">
          <w:pPr>
            <w:numPr>
              <w:ilvl w:val="1"/>
              <w:numId w:val="79"/>
            </w:numPr>
            <w:tabs>
              <w:tab w:val="clear" w:pos="1440"/>
              <w:tab w:val="num" w:pos="2007"/>
            </w:tabs>
            <w:spacing w:before="100" w:beforeAutospacing="1" w:after="100" w:afterAutospacing="1" w:line="240" w:lineRule="auto"/>
            <w:ind w:left="2007"/>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Auto-assign devices to compliance policies on first login</w:t>
          </w:r>
          <w:r>
            <w:rPr>
              <w:rFonts w:eastAsia="Times New Roman" w:cs="Open Sans"/>
              <w:color w:val="auto"/>
              <w:kern w:val="0"/>
              <w:szCs w:val="20"/>
              <w:lang w:eastAsia="en-GB"/>
              <w14:ligatures w14:val="none"/>
            </w:rPr>
            <w:br/>
          </w:r>
        </w:p>
        <w:p w14:paraId="4C313377" w14:textId="644AD872" w:rsidR="001D2029" w:rsidRPr="001D2029" w:rsidRDefault="001D2029" w:rsidP="001D2029">
          <w:pPr>
            <w:numPr>
              <w:ilvl w:val="0"/>
              <w:numId w:val="79"/>
            </w:numPr>
            <w:tabs>
              <w:tab w:val="clear" w:pos="720"/>
              <w:tab w:val="num" w:pos="1287"/>
            </w:tabs>
            <w:spacing w:before="100" w:beforeAutospacing="1" w:after="100" w:afterAutospacing="1" w:line="240" w:lineRule="auto"/>
            <w:ind w:left="1287"/>
            <w:rPr>
              <w:rFonts w:eastAsia="Times New Roman" w:cs="Open Sans"/>
              <w:color w:val="auto"/>
              <w:kern w:val="0"/>
              <w:szCs w:val="20"/>
              <w:lang w:eastAsia="en-GB"/>
              <w14:ligatures w14:val="none"/>
            </w:rPr>
          </w:pPr>
          <w:r w:rsidRPr="001D2029">
            <w:rPr>
              <w:rFonts w:eastAsia="Times New Roman" w:cs="Open Sans"/>
              <w:b/>
              <w:bCs/>
              <w:color w:val="auto"/>
              <w:kern w:val="0"/>
              <w:szCs w:val="20"/>
              <w:lang w:eastAsia="en-GB"/>
              <w14:ligatures w14:val="none"/>
            </w:rPr>
            <w:t>Hardware Hash Import</w:t>
          </w:r>
          <w:r w:rsidRPr="001D2029">
            <w:rPr>
              <w:rFonts w:eastAsia="Times New Roman" w:cs="Open Sans"/>
              <w:color w:val="auto"/>
              <w:kern w:val="0"/>
              <w:szCs w:val="20"/>
              <w:lang w:eastAsia="en-GB"/>
              <w14:ligatures w14:val="none"/>
            </w:rPr>
            <w:t>: Maintain a controlled and validated list of devices in Autopilot using hash uploads or OEM registration.</w:t>
          </w:r>
          <w:r>
            <w:rPr>
              <w:rFonts w:eastAsia="Times New Roman" w:cs="Open Sans"/>
              <w:color w:val="auto"/>
              <w:kern w:val="0"/>
              <w:szCs w:val="20"/>
              <w:lang w:eastAsia="en-GB"/>
              <w14:ligatures w14:val="none"/>
            </w:rPr>
            <w:br/>
          </w:r>
        </w:p>
        <w:p w14:paraId="1690273D" w14:textId="77777777" w:rsidR="001D2029" w:rsidRPr="001D2029" w:rsidRDefault="001D2029" w:rsidP="001D2029">
          <w:pPr>
            <w:numPr>
              <w:ilvl w:val="0"/>
              <w:numId w:val="79"/>
            </w:numPr>
            <w:tabs>
              <w:tab w:val="clear" w:pos="720"/>
              <w:tab w:val="num" w:pos="1287"/>
            </w:tabs>
            <w:spacing w:before="100" w:beforeAutospacing="1" w:after="100" w:afterAutospacing="1" w:line="240" w:lineRule="auto"/>
            <w:ind w:left="1287"/>
            <w:rPr>
              <w:rFonts w:eastAsia="Times New Roman" w:cs="Open Sans"/>
              <w:color w:val="auto"/>
              <w:kern w:val="0"/>
              <w:szCs w:val="20"/>
              <w:lang w:eastAsia="en-GB"/>
              <w14:ligatures w14:val="none"/>
            </w:rPr>
          </w:pPr>
          <w:r w:rsidRPr="001D2029">
            <w:rPr>
              <w:rFonts w:eastAsia="Times New Roman" w:cs="Open Sans"/>
              <w:b/>
              <w:bCs/>
              <w:color w:val="auto"/>
              <w:kern w:val="0"/>
              <w:szCs w:val="20"/>
              <w:lang w:eastAsia="en-GB"/>
              <w14:ligatures w14:val="none"/>
            </w:rPr>
            <w:t>Naming &amp; Group Tagging</w:t>
          </w:r>
          <w:r w:rsidRPr="001D2029">
            <w:rPr>
              <w:rFonts w:eastAsia="Times New Roman" w:cs="Open Sans"/>
              <w:color w:val="auto"/>
              <w:kern w:val="0"/>
              <w:szCs w:val="20"/>
              <w:lang w:eastAsia="en-GB"/>
              <w14:ligatures w14:val="none"/>
            </w:rPr>
            <w:t>: Use Autopilot Group Tags to ensure correct dynamic group assignment and policy scoping.</w:t>
          </w:r>
        </w:p>
        <w:p w14:paraId="6BF264A7" w14:textId="11245DD6" w:rsidR="001D2029" w:rsidRDefault="001D2029" w:rsidP="001D2029">
          <w:pPr>
            <w:spacing w:before="0" w:after="0" w:line="240" w:lineRule="auto"/>
            <w:ind w:left="720"/>
            <w:rPr>
              <w:rFonts w:eastAsia="Times New Roman" w:cs="Open Sans"/>
              <w:color w:val="0E0E0E"/>
              <w:kern w:val="0"/>
              <w:szCs w:val="20"/>
              <w:lang w:eastAsia="en-GB"/>
              <w14:ligatures w14:val="none"/>
            </w:rPr>
          </w:pPr>
          <w:r w:rsidRPr="001D2029">
            <w:rPr>
              <w:rFonts w:eastAsia="Times New Roman" w:cs="Open Sans"/>
              <w:color w:val="0E0E0E"/>
              <w:kern w:val="0"/>
              <w:szCs w:val="20"/>
              <w:lang w:eastAsia="en-GB"/>
              <w14:ligatures w14:val="none"/>
            </w:rPr>
            <w:t xml:space="preserve">Devices provisioned via Autopilot should meet </w:t>
          </w:r>
          <w:r w:rsidRPr="001D2029">
            <w:rPr>
              <w:rFonts w:eastAsia="Times New Roman" w:cs="Open Sans"/>
              <w:b/>
              <w:bCs/>
              <w:color w:val="0E0E0E"/>
              <w:kern w:val="0"/>
              <w:szCs w:val="20"/>
              <w:lang w:eastAsia="en-GB"/>
              <w14:ligatures w14:val="none"/>
            </w:rPr>
            <w:t>CIS Level 1</w:t>
          </w:r>
          <w:r w:rsidRPr="001D2029">
            <w:rPr>
              <w:rFonts w:eastAsia="Times New Roman" w:cs="Open Sans"/>
              <w:color w:val="0E0E0E"/>
              <w:kern w:val="0"/>
              <w:szCs w:val="20"/>
              <w:lang w:eastAsia="en-GB"/>
              <w14:ligatures w14:val="none"/>
            </w:rPr>
            <w:t xml:space="preserve"> benchmarks and be validated using MDM audit logs or security configuration scanning tools.</w:t>
          </w:r>
        </w:p>
        <w:p w14:paraId="50489988" w14:textId="77777777" w:rsidR="001D2029" w:rsidRDefault="001D2029" w:rsidP="001D2029">
          <w:pPr>
            <w:spacing w:before="0" w:after="0" w:line="240" w:lineRule="auto"/>
            <w:ind w:left="720"/>
            <w:rPr>
              <w:rFonts w:eastAsia="Times New Roman" w:cs="Open Sans"/>
              <w:color w:val="0E0E0E"/>
              <w:kern w:val="0"/>
              <w:szCs w:val="20"/>
              <w:lang w:eastAsia="en-GB"/>
              <w14:ligatures w14:val="none"/>
            </w:rPr>
          </w:pPr>
        </w:p>
        <w:p w14:paraId="45856351" w14:textId="3BCDDB17" w:rsidR="001D2029" w:rsidRDefault="001D2029" w:rsidP="001D2029">
          <w:pPr>
            <w:pStyle w:val="1ANumberedHeading2"/>
            <w:rPr>
              <w:lang w:eastAsia="en-GB"/>
            </w:rPr>
          </w:pPr>
          <w:r>
            <w:rPr>
              <w:lang w:eastAsia="en-GB"/>
            </w:rPr>
            <w:t>Summary</w:t>
          </w:r>
        </w:p>
        <w:p w14:paraId="1F137CFA" w14:textId="77777777" w:rsidR="001D2029" w:rsidRPr="001D2029" w:rsidRDefault="001D2029" w:rsidP="001D2029">
          <w:pPr>
            <w:pStyle w:val="p1"/>
            <w:ind w:left="720"/>
            <w:rPr>
              <w:rFonts w:ascii="Open Sans" w:hAnsi="Open Sans" w:cs="Open Sans"/>
              <w:sz w:val="20"/>
              <w:szCs w:val="20"/>
            </w:rPr>
          </w:pPr>
          <w:bookmarkStart w:id="12" w:name="_Toc204071186"/>
          <w:r w:rsidRPr="001D2029">
            <w:rPr>
              <w:rFonts w:ascii="Open Sans" w:hAnsi="Open Sans" w:cs="Open Sans"/>
              <w:sz w:val="20"/>
              <w:szCs w:val="20"/>
            </w:rPr>
            <w:t xml:space="preserve">To enable a secure and scalable Modern Desktop model, organisations must establish foundational configurations across </w:t>
          </w:r>
          <w:r w:rsidRPr="001D2029">
            <w:rPr>
              <w:rStyle w:val="s1"/>
              <w:rFonts w:ascii="Open Sans" w:eastAsiaTheme="majorEastAsia" w:hAnsi="Open Sans" w:cs="Open Sans"/>
              <w:b/>
              <w:bCs/>
              <w:sz w:val="20"/>
              <w:szCs w:val="20"/>
            </w:rPr>
            <w:t>Intune</w:t>
          </w:r>
          <w:r w:rsidRPr="001D2029">
            <w:rPr>
              <w:rFonts w:ascii="Open Sans" w:hAnsi="Open Sans" w:cs="Open Sans"/>
              <w:sz w:val="20"/>
              <w:szCs w:val="20"/>
            </w:rPr>
            <w:t xml:space="preserve">, </w:t>
          </w:r>
          <w:r w:rsidRPr="001D2029">
            <w:rPr>
              <w:rStyle w:val="s1"/>
              <w:rFonts w:ascii="Open Sans" w:eastAsiaTheme="majorEastAsia" w:hAnsi="Open Sans" w:cs="Open Sans"/>
              <w:b/>
              <w:bCs/>
              <w:sz w:val="20"/>
              <w:szCs w:val="20"/>
            </w:rPr>
            <w:t>Entra ID</w:t>
          </w:r>
          <w:r w:rsidRPr="001D2029">
            <w:rPr>
              <w:rFonts w:ascii="Open Sans" w:hAnsi="Open Sans" w:cs="Open Sans"/>
              <w:sz w:val="20"/>
              <w:szCs w:val="20"/>
            </w:rPr>
            <w:t xml:space="preserve">, and related Microsoft cloud services. These include structured enrolment rules, RBAC controls, policy baselines, and secure identity configurations aligned with </w:t>
          </w:r>
          <w:r w:rsidRPr="001D2029">
            <w:rPr>
              <w:rStyle w:val="s1"/>
              <w:rFonts w:ascii="Open Sans" w:eastAsiaTheme="majorEastAsia" w:hAnsi="Open Sans" w:cs="Open Sans"/>
              <w:b/>
              <w:bCs/>
              <w:sz w:val="20"/>
              <w:szCs w:val="20"/>
            </w:rPr>
            <w:t>CIS Benchmarks</w:t>
          </w:r>
          <w:r w:rsidRPr="001D2029">
            <w:rPr>
              <w:rFonts w:ascii="Open Sans" w:hAnsi="Open Sans" w:cs="Open Sans"/>
              <w:sz w:val="20"/>
              <w:szCs w:val="20"/>
            </w:rPr>
            <w:t xml:space="preserve">, </w:t>
          </w:r>
          <w:r w:rsidRPr="001D2029">
            <w:rPr>
              <w:rStyle w:val="s1"/>
              <w:rFonts w:ascii="Open Sans" w:eastAsiaTheme="majorEastAsia" w:hAnsi="Open Sans" w:cs="Open Sans"/>
              <w:b/>
              <w:bCs/>
              <w:sz w:val="20"/>
              <w:szCs w:val="20"/>
            </w:rPr>
            <w:t>NCSC EUD guidance</w:t>
          </w:r>
          <w:r w:rsidRPr="001D2029">
            <w:rPr>
              <w:rFonts w:ascii="Open Sans" w:hAnsi="Open Sans" w:cs="Open Sans"/>
              <w:sz w:val="20"/>
              <w:szCs w:val="20"/>
            </w:rPr>
            <w:t xml:space="preserve">, and </w:t>
          </w:r>
          <w:r w:rsidRPr="001D2029">
            <w:rPr>
              <w:rStyle w:val="s1"/>
              <w:rFonts w:ascii="Open Sans" w:eastAsiaTheme="majorEastAsia" w:hAnsi="Open Sans" w:cs="Open Sans"/>
              <w:b/>
              <w:bCs/>
              <w:sz w:val="20"/>
              <w:szCs w:val="20"/>
            </w:rPr>
            <w:t>Microsoft Security Baselines</w:t>
          </w:r>
          <w:r w:rsidRPr="001D2029">
            <w:rPr>
              <w:rFonts w:ascii="Open Sans" w:hAnsi="Open Sans" w:cs="Open Sans"/>
              <w:sz w:val="20"/>
              <w:szCs w:val="20"/>
            </w:rPr>
            <w:t>.</w:t>
          </w:r>
        </w:p>
        <w:p w14:paraId="3B9C70D3" w14:textId="77777777" w:rsidR="001D2029" w:rsidRPr="001D2029" w:rsidRDefault="001D2029" w:rsidP="001D2029">
          <w:pPr>
            <w:pStyle w:val="p1"/>
            <w:ind w:firstLine="720"/>
            <w:rPr>
              <w:rFonts w:ascii="Open Sans" w:hAnsi="Open Sans" w:cs="Open Sans"/>
              <w:sz w:val="20"/>
              <w:szCs w:val="20"/>
            </w:rPr>
          </w:pPr>
          <w:r w:rsidRPr="001D2029">
            <w:rPr>
              <w:rFonts w:ascii="Open Sans" w:hAnsi="Open Sans" w:cs="Open Sans"/>
              <w:sz w:val="20"/>
              <w:szCs w:val="20"/>
            </w:rPr>
            <w:t>The goal is to create a consistent, compliant, and automation-ready environment where:</w:t>
          </w:r>
        </w:p>
        <w:p w14:paraId="7BA12677" w14:textId="77777777" w:rsidR="001D2029" w:rsidRPr="001D2029" w:rsidRDefault="001D2029" w:rsidP="001D2029">
          <w:pPr>
            <w:pStyle w:val="p1"/>
            <w:numPr>
              <w:ilvl w:val="0"/>
              <w:numId w:val="81"/>
            </w:numPr>
            <w:tabs>
              <w:tab w:val="clear" w:pos="720"/>
              <w:tab w:val="num" w:pos="1440"/>
            </w:tabs>
            <w:ind w:left="1440"/>
            <w:rPr>
              <w:rFonts w:ascii="Open Sans" w:hAnsi="Open Sans" w:cs="Open Sans"/>
              <w:sz w:val="20"/>
              <w:szCs w:val="20"/>
            </w:rPr>
          </w:pPr>
          <w:r w:rsidRPr="001D2029">
            <w:rPr>
              <w:rFonts w:ascii="Open Sans" w:hAnsi="Open Sans" w:cs="Open Sans"/>
              <w:sz w:val="20"/>
              <w:szCs w:val="20"/>
            </w:rPr>
            <w:t>Devices can be securely onboarded and managed from anywhere</w:t>
          </w:r>
        </w:p>
        <w:p w14:paraId="704D9EEF" w14:textId="77777777" w:rsidR="001D2029" w:rsidRPr="001D2029" w:rsidRDefault="001D2029" w:rsidP="001D2029">
          <w:pPr>
            <w:pStyle w:val="p1"/>
            <w:numPr>
              <w:ilvl w:val="0"/>
              <w:numId w:val="81"/>
            </w:numPr>
            <w:tabs>
              <w:tab w:val="clear" w:pos="720"/>
              <w:tab w:val="num" w:pos="1440"/>
            </w:tabs>
            <w:ind w:left="1440"/>
            <w:rPr>
              <w:rFonts w:ascii="Open Sans" w:hAnsi="Open Sans" w:cs="Open Sans"/>
              <w:sz w:val="20"/>
              <w:szCs w:val="20"/>
            </w:rPr>
          </w:pPr>
          <w:r w:rsidRPr="001D2029">
            <w:rPr>
              <w:rFonts w:ascii="Open Sans" w:hAnsi="Open Sans" w:cs="Open Sans"/>
              <w:sz w:val="20"/>
              <w:szCs w:val="20"/>
            </w:rPr>
            <w:t>Policies and compliance are enforced through dynamic groups and Conditional Access</w:t>
          </w:r>
        </w:p>
        <w:p w14:paraId="6CD732D4" w14:textId="77777777" w:rsidR="001D2029" w:rsidRPr="001D2029" w:rsidRDefault="001D2029" w:rsidP="001D2029">
          <w:pPr>
            <w:pStyle w:val="p1"/>
            <w:numPr>
              <w:ilvl w:val="0"/>
              <w:numId w:val="81"/>
            </w:numPr>
            <w:tabs>
              <w:tab w:val="clear" w:pos="720"/>
              <w:tab w:val="num" w:pos="1440"/>
            </w:tabs>
            <w:ind w:left="1440"/>
            <w:rPr>
              <w:rFonts w:ascii="Open Sans" w:hAnsi="Open Sans" w:cs="Open Sans"/>
              <w:sz w:val="20"/>
              <w:szCs w:val="20"/>
            </w:rPr>
          </w:pPr>
          <w:r w:rsidRPr="001D2029">
            <w:rPr>
              <w:rFonts w:ascii="Open Sans" w:hAnsi="Open Sans" w:cs="Open Sans"/>
              <w:sz w:val="20"/>
              <w:szCs w:val="20"/>
            </w:rPr>
            <w:t>Core configurations (BitLocker, Defender, VPN, Wi-Fi) are centrally deployed and maintained</w:t>
          </w:r>
        </w:p>
        <w:p w14:paraId="4043A270" w14:textId="4E5AC04E" w:rsidR="001D2029" w:rsidRPr="001D2029" w:rsidRDefault="001D2029" w:rsidP="001D2029">
          <w:pPr>
            <w:pStyle w:val="p1"/>
            <w:numPr>
              <w:ilvl w:val="0"/>
              <w:numId w:val="81"/>
            </w:numPr>
            <w:tabs>
              <w:tab w:val="clear" w:pos="720"/>
              <w:tab w:val="num" w:pos="1440"/>
            </w:tabs>
            <w:ind w:left="1440"/>
            <w:rPr>
              <w:rFonts w:ascii="Open Sans" w:hAnsi="Open Sans" w:cs="Open Sans"/>
              <w:sz w:val="20"/>
              <w:szCs w:val="20"/>
            </w:rPr>
          </w:pPr>
          <w:r w:rsidRPr="001D2029">
            <w:rPr>
              <w:rFonts w:ascii="Open Sans" w:hAnsi="Open Sans" w:cs="Open Sans"/>
              <w:sz w:val="20"/>
              <w:szCs w:val="20"/>
            </w:rPr>
            <w:t>Administrative roles and processes follow best-practice security governance</w:t>
          </w:r>
        </w:p>
        <w:p w14:paraId="7DBB8524" w14:textId="77777777" w:rsidR="001D2029" w:rsidRPr="001D2029" w:rsidRDefault="001D2029" w:rsidP="001D2029">
          <w:pPr>
            <w:pStyle w:val="p1"/>
            <w:ind w:left="720"/>
            <w:rPr>
              <w:rFonts w:ascii="Open Sans" w:hAnsi="Open Sans" w:cs="Open Sans"/>
              <w:sz w:val="20"/>
              <w:szCs w:val="20"/>
            </w:rPr>
          </w:pPr>
          <w:r w:rsidRPr="001D2029">
            <w:rPr>
              <w:rFonts w:ascii="Open Sans" w:hAnsi="Open Sans" w:cs="Open Sans"/>
              <w:sz w:val="20"/>
              <w:szCs w:val="20"/>
            </w:rPr>
            <w:t>These foundations provide the backbone for all future deployment waves, ensuring repeatability, security, and operational confidence throughout the modernisation journey.</w:t>
          </w:r>
        </w:p>
        <w:p w14:paraId="5C058449" w14:textId="24CE6255" w:rsidR="00CD7948" w:rsidRDefault="00CD7948" w:rsidP="00B40D32">
          <w:pPr>
            <w:pStyle w:val="1ANumberedHeading1"/>
          </w:pPr>
          <w:r>
            <w:t>Application Moderni</w:t>
          </w:r>
          <w:r w:rsidR="00C405B2">
            <w:t>s</w:t>
          </w:r>
          <w:r>
            <w:t>ation</w:t>
          </w:r>
          <w:bookmarkEnd w:id="12"/>
        </w:p>
        <w:p w14:paraId="1F0A9C25" w14:textId="77777777" w:rsidR="001D2029" w:rsidRDefault="001D2029" w:rsidP="001D2029">
          <w:pPr>
            <w:pStyle w:val="1ABodyTextLevel1"/>
          </w:pPr>
          <w:r>
            <w:t xml:space="preserve">Modernising the application estate is a critical step in transitioning to a cloud-managed Modern Desktop environment. Legacy packaging formats, infrastructure dependencies, and </w:t>
          </w:r>
          <w:r>
            <w:lastRenderedPageBreak/>
            <w:t>inconsistent deployment practices must be addressed to enable seamless, policy-driven delivery via Microsoft Intune.</w:t>
          </w:r>
        </w:p>
        <w:p w14:paraId="7514EBD0" w14:textId="77777777" w:rsidR="001D2029" w:rsidRDefault="001D2029" w:rsidP="001D2029">
          <w:pPr>
            <w:pStyle w:val="1ABodyTextLevel1"/>
          </w:pPr>
        </w:p>
        <w:p w14:paraId="118E7A23" w14:textId="3EA7897E" w:rsidR="001D2029" w:rsidRDefault="001D2029" w:rsidP="001D2029">
          <w:pPr>
            <w:pStyle w:val="1ABodyTextLevel1"/>
          </w:pPr>
          <w:r>
            <w:t>This section outlines the process of auditing, repackaging, and deploying applications in a manner that aligns with cloud-native principles, improves reliability, and supports user productivity across diverse locations and devices.</w:t>
          </w:r>
        </w:p>
        <w:p w14:paraId="42622CA0" w14:textId="77777777" w:rsidR="001D2029" w:rsidRDefault="001D2029" w:rsidP="001D2029">
          <w:pPr>
            <w:pStyle w:val="1ABodyTextLevel1"/>
          </w:pPr>
        </w:p>
        <w:p w14:paraId="59C32770" w14:textId="6B455496" w:rsidR="001D2029" w:rsidRDefault="001D2029" w:rsidP="001D2029">
          <w:pPr>
            <w:pStyle w:val="1ANumberedHeading2"/>
          </w:pPr>
          <w:r>
            <w:t>Objectives of Application Modernisation</w:t>
          </w:r>
        </w:p>
        <w:p w14:paraId="2B0196BD" w14:textId="77777777" w:rsidR="001D2029" w:rsidRDefault="001D2029" w:rsidP="001D2029">
          <w:pPr>
            <w:pStyle w:val="1ABodyTextLevel2"/>
          </w:pPr>
          <w:r>
            <w:t>The goal of application modernisation is to:</w:t>
          </w:r>
        </w:p>
        <w:p w14:paraId="77009C56" w14:textId="1586F921" w:rsidR="001D2029" w:rsidRDefault="001D2029" w:rsidP="001D2029">
          <w:pPr>
            <w:pStyle w:val="1ABodyTextLevel2"/>
            <w:numPr>
              <w:ilvl w:val="0"/>
              <w:numId w:val="82"/>
            </w:numPr>
          </w:pPr>
          <w:r>
            <w:t>Remove dependencies on on-premises infrastructure (e.g. file shares, SCCM distribution points)</w:t>
          </w:r>
        </w:p>
        <w:p w14:paraId="6D7A7A9D" w14:textId="761019B6" w:rsidR="001D2029" w:rsidRDefault="001D2029" w:rsidP="001D2029">
          <w:pPr>
            <w:pStyle w:val="1ABodyTextLevel2"/>
            <w:numPr>
              <w:ilvl w:val="0"/>
              <w:numId w:val="82"/>
            </w:numPr>
          </w:pPr>
          <w:r>
            <w:t>Transition legacy formats (e.g. EXE, MSI, App-V) into Intune-supported deployment models</w:t>
          </w:r>
        </w:p>
        <w:p w14:paraId="0EBEBE1E" w14:textId="62B75A32" w:rsidR="001D2029" w:rsidRDefault="001D2029" w:rsidP="001D2029">
          <w:pPr>
            <w:pStyle w:val="1ABodyTextLevel2"/>
            <w:numPr>
              <w:ilvl w:val="0"/>
              <w:numId w:val="82"/>
            </w:numPr>
          </w:pPr>
          <w:r>
            <w:t>Ensure applications are compatible with Entra ID-joined and cloud-managed devices</w:t>
          </w:r>
        </w:p>
        <w:p w14:paraId="469039B9" w14:textId="7C4495E5" w:rsidR="001D2029" w:rsidRDefault="001D2029" w:rsidP="001D2029">
          <w:pPr>
            <w:pStyle w:val="1ABodyTextLevel2"/>
            <w:numPr>
              <w:ilvl w:val="0"/>
              <w:numId w:val="82"/>
            </w:numPr>
          </w:pPr>
          <w:r>
            <w:t>Enable self-service and policy-based installation using Company Portal</w:t>
          </w:r>
        </w:p>
        <w:p w14:paraId="26034A39" w14:textId="5D973C2F" w:rsidR="001D2029" w:rsidRDefault="001D2029" w:rsidP="001D2029">
          <w:pPr>
            <w:pStyle w:val="1ABodyTextLevel2"/>
            <w:numPr>
              <w:ilvl w:val="0"/>
              <w:numId w:val="82"/>
            </w:numPr>
          </w:pPr>
          <w:r>
            <w:t>Improve patching velocity and reduce update-related disruption</w:t>
          </w:r>
        </w:p>
        <w:p w14:paraId="4E2F94B5" w14:textId="0DECAC45" w:rsidR="001D2029" w:rsidRDefault="001D2029" w:rsidP="001D2029">
          <w:pPr>
            <w:pStyle w:val="1ABodyTextLevel2"/>
            <w:numPr>
              <w:ilvl w:val="0"/>
              <w:numId w:val="82"/>
            </w:numPr>
          </w:pPr>
          <w:r>
            <w:t>Rationalise and reduce redundant or unused software</w:t>
          </w:r>
        </w:p>
        <w:p w14:paraId="202251BB" w14:textId="0041D9EC" w:rsidR="001D2029" w:rsidRDefault="001D2029" w:rsidP="001D2029">
          <w:pPr>
            <w:pStyle w:val="1ANumberedHeading2"/>
          </w:pPr>
          <w:r>
            <w:t>Audit of Existing Applications</w:t>
          </w:r>
        </w:p>
        <w:p w14:paraId="1AE28E26" w14:textId="77777777" w:rsidR="001D2029" w:rsidRPr="001D2029" w:rsidRDefault="001D2029" w:rsidP="001D2029">
          <w:pPr>
            <w:spacing w:before="100" w:beforeAutospacing="1" w:after="100" w:afterAutospacing="1" w:line="240" w:lineRule="auto"/>
            <w:ind w:left="72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Begin by conducting a full application audit to capture:</w:t>
          </w:r>
        </w:p>
        <w:p w14:paraId="00740FE4" w14:textId="77777777" w:rsidR="001D2029" w:rsidRPr="001D2029" w:rsidRDefault="001D2029" w:rsidP="001D2029">
          <w:pPr>
            <w:numPr>
              <w:ilvl w:val="0"/>
              <w:numId w:val="83"/>
            </w:numPr>
            <w:tabs>
              <w:tab w:val="clear" w:pos="720"/>
              <w:tab w:val="num" w:pos="1440"/>
            </w:tabs>
            <w:spacing w:before="100" w:beforeAutospacing="1" w:after="100" w:afterAutospacing="1" w:line="240" w:lineRule="auto"/>
            <w:ind w:left="1440"/>
            <w:rPr>
              <w:rFonts w:eastAsia="Times New Roman" w:cs="Open Sans"/>
              <w:color w:val="auto"/>
              <w:kern w:val="0"/>
              <w:szCs w:val="20"/>
              <w:lang w:eastAsia="en-GB"/>
              <w14:ligatures w14:val="none"/>
            </w:rPr>
          </w:pPr>
          <w:r w:rsidRPr="001D2029">
            <w:rPr>
              <w:rFonts w:eastAsia="Times New Roman" w:cs="Open Sans"/>
              <w:b/>
              <w:bCs/>
              <w:color w:val="auto"/>
              <w:kern w:val="0"/>
              <w:szCs w:val="20"/>
              <w:lang w:eastAsia="en-GB"/>
              <w14:ligatures w14:val="none"/>
            </w:rPr>
            <w:t>Inventory of Applications</w:t>
          </w:r>
          <w:r w:rsidRPr="001D2029">
            <w:rPr>
              <w:rFonts w:eastAsia="Times New Roman" w:cs="Open Sans"/>
              <w:color w:val="auto"/>
              <w:kern w:val="0"/>
              <w:szCs w:val="20"/>
              <w:lang w:eastAsia="en-GB"/>
              <w14:ligatures w14:val="none"/>
            </w:rPr>
            <w:t>: Extract lists from SCCM, asset management tools, or discovery scripts. Include:</w:t>
          </w:r>
        </w:p>
        <w:p w14:paraId="7F924743" w14:textId="77777777"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Business-critical and LOB applications</w:t>
          </w:r>
        </w:p>
        <w:p w14:paraId="29C4C057" w14:textId="77777777"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Productivity tools (e.g. Microsoft 365, browsers, PDF readers)</w:t>
          </w:r>
        </w:p>
        <w:p w14:paraId="7C13974E" w14:textId="77777777"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Custom, in-house developed software</w:t>
          </w:r>
        </w:p>
        <w:p w14:paraId="16A0730A" w14:textId="19FC0A35"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Utility tools, scripts, and plug-ins</w:t>
          </w:r>
          <w:r>
            <w:rPr>
              <w:rFonts w:eastAsia="Times New Roman" w:cs="Open Sans"/>
              <w:color w:val="auto"/>
              <w:kern w:val="0"/>
              <w:szCs w:val="20"/>
              <w:lang w:eastAsia="en-GB"/>
              <w14:ligatures w14:val="none"/>
            </w:rPr>
            <w:br/>
          </w:r>
        </w:p>
        <w:p w14:paraId="246A0919" w14:textId="77777777" w:rsidR="001D2029" w:rsidRPr="001D2029" w:rsidRDefault="001D2029" w:rsidP="001D2029">
          <w:pPr>
            <w:numPr>
              <w:ilvl w:val="0"/>
              <w:numId w:val="83"/>
            </w:numPr>
            <w:tabs>
              <w:tab w:val="clear" w:pos="720"/>
              <w:tab w:val="num" w:pos="1440"/>
            </w:tabs>
            <w:spacing w:before="100" w:beforeAutospacing="1" w:after="100" w:afterAutospacing="1" w:line="240" w:lineRule="auto"/>
            <w:ind w:left="1440"/>
            <w:rPr>
              <w:rFonts w:eastAsia="Times New Roman" w:cs="Open Sans"/>
              <w:color w:val="auto"/>
              <w:kern w:val="0"/>
              <w:szCs w:val="20"/>
              <w:lang w:eastAsia="en-GB"/>
              <w14:ligatures w14:val="none"/>
            </w:rPr>
          </w:pPr>
          <w:r w:rsidRPr="001D2029">
            <w:rPr>
              <w:rFonts w:eastAsia="Times New Roman" w:cs="Open Sans"/>
              <w:b/>
              <w:bCs/>
              <w:color w:val="auto"/>
              <w:kern w:val="0"/>
              <w:szCs w:val="20"/>
              <w:lang w:eastAsia="en-GB"/>
              <w14:ligatures w14:val="none"/>
            </w:rPr>
            <w:t>Application Metadata</w:t>
          </w:r>
          <w:r w:rsidRPr="001D2029">
            <w:rPr>
              <w:rFonts w:eastAsia="Times New Roman" w:cs="Open Sans"/>
              <w:color w:val="auto"/>
              <w:kern w:val="0"/>
              <w:szCs w:val="20"/>
              <w:lang w:eastAsia="en-GB"/>
              <w14:ligatures w14:val="none"/>
            </w:rPr>
            <w:t>:</w:t>
          </w:r>
        </w:p>
        <w:p w14:paraId="12EBBBFB" w14:textId="77777777"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Name, version, vendor</w:t>
          </w:r>
        </w:p>
        <w:p w14:paraId="789752FD" w14:textId="77777777"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Installer type (MSI, EXE, App-V, MSIX)</w:t>
          </w:r>
        </w:p>
        <w:p w14:paraId="6057A6B3" w14:textId="77777777"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Update frequency and patch method</w:t>
          </w:r>
        </w:p>
        <w:p w14:paraId="1DA3055C" w14:textId="75204C0C"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Target user base or department</w:t>
          </w:r>
          <w:r>
            <w:rPr>
              <w:rFonts w:eastAsia="Times New Roman" w:cs="Open Sans"/>
              <w:color w:val="auto"/>
              <w:kern w:val="0"/>
              <w:szCs w:val="20"/>
              <w:lang w:eastAsia="en-GB"/>
              <w14:ligatures w14:val="none"/>
            </w:rPr>
            <w:br/>
          </w:r>
        </w:p>
        <w:p w14:paraId="12115638" w14:textId="77777777" w:rsidR="001D2029" w:rsidRPr="001D2029" w:rsidRDefault="001D2029" w:rsidP="001D2029">
          <w:pPr>
            <w:numPr>
              <w:ilvl w:val="0"/>
              <w:numId w:val="83"/>
            </w:numPr>
            <w:tabs>
              <w:tab w:val="clear" w:pos="720"/>
              <w:tab w:val="num" w:pos="1440"/>
            </w:tabs>
            <w:spacing w:before="100" w:beforeAutospacing="1" w:after="100" w:afterAutospacing="1" w:line="240" w:lineRule="auto"/>
            <w:ind w:left="1440"/>
            <w:rPr>
              <w:rFonts w:eastAsia="Times New Roman" w:cs="Open Sans"/>
              <w:color w:val="auto"/>
              <w:kern w:val="0"/>
              <w:szCs w:val="20"/>
              <w:lang w:eastAsia="en-GB"/>
              <w14:ligatures w14:val="none"/>
            </w:rPr>
          </w:pPr>
          <w:r w:rsidRPr="001D2029">
            <w:rPr>
              <w:rFonts w:eastAsia="Times New Roman" w:cs="Open Sans"/>
              <w:b/>
              <w:bCs/>
              <w:color w:val="auto"/>
              <w:kern w:val="0"/>
              <w:szCs w:val="20"/>
              <w:lang w:eastAsia="en-GB"/>
              <w14:ligatures w14:val="none"/>
            </w:rPr>
            <w:t>Installation Method</w:t>
          </w:r>
          <w:r w:rsidRPr="001D2029">
            <w:rPr>
              <w:rFonts w:eastAsia="Times New Roman" w:cs="Open Sans"/>
              <w:color w:val="auto"/>
              <w:kern w:val="0"/>
              <w:szCs w:val="20"/>
              <w:lang w:eastAsia="en-GB"/>
              <w14:ligatures w14:val="none"/>
            </w:rPr>
            <w:t>:</w:t>
          </w:r>
        </w:p>
        <w:p w14:paraId="3E2553DF" w14:textId="77777777"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SCCM Package or Application model</w:t>
          </w:r>
        </w:p>
        <w:p w14:paraId="390F6E53" w14:textId="77777777"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GPO/script-based install</w:t>
          </w:r>
        </w:p>
        <w:p w14:paraId="2008379A" w14:textId="73125C6C"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Manual or third-party deployment</w:t>
          </w:r>
          <w:r>
            <w:rPr>
              <w:rFonts w:eastAsia="Times New Roman" w:cs="Open Sans"/>
              <w:color w:val="auto"/>
              <w:kern w:val="0"/>
              <w:szCs w:val="20"/>
              <w:lang w:eastAsia="en-GB"/>
              <w14:ligatures w14:val="none"/>
            </w:rPr>
            <w:br/>
          </w:r>
        </w:p>
        <w:p w14:paraId="7649D36D" w14:textId="77777777" w:rsidR="001D2029" w:rsidRPr="001D2029" w:rsidRDefault="001D2029" w:rsidP="001D2029">
          <w:pPr>
            <w:numPr>
              <w:ilvl w:val="0"/>
              <w:numId w:val="83"/>
            </w:numPr>
            <w:tabs>
              <w:tab w:val="clear" w:pos="720"/>
              <w:tab w:val="num" w:pos="1440"/>
            </w:tabs>
            <w:spacing w:before="100" w:beforeAutospacing="1" w:after="100" w:afterAutospacing="1" w:line="240" w:lineRule="auto"/>
            <w:ind w:left="1440"/>
            <w:rPr>
              <w:rFonts w:eastAsia="Times New Roman" w:cs="Open Sans"/>
              <w:color w:val="auto"/>
              <w:kern w:val="0"/>
              <w:szCs w:val="20"/>
              <w:lang w:eastAsia="en-GB"/>
              <w14:ligatures w14:val="none"/>
            </w:rPr>
          </w:pPr>
          <w:r w:rsidRPr="001D2029">
            <w:rPr>
              <w:rFonts w:eastAsia="Times New Roman" w:cs="Open Sans"/>
              <w:b/>
              <w:bCs/>
              <w:color w:val="auto"/>
              <w:kern w:val="0"/>
              <w:szCs w:val="20"/>
              <w:lang w:eastAsia="en-GB"/>
              <w14:ligatures w14:val="none"/>
            </w:rPr>
            <w:t>Dependencies</w:t>
          </w:r>
          <w:r w:rsidRPr="001D2029">
            <w:rPr>
              <w:rFonts w:eastAsia="Times New Roman" w:cs="Open Sans"/>
              <w:color w:val="auto"/>
              <w:kern w:val="0"/>
              <w:szCs w:val="20"/>
              <w:lang w:eastAsia="en-GB"/>
              <w14:ligatures w14:val="none"/>
            </w:rPr>
            <w:t>:</w:t>
          </w:r>
        </w:p>
        <w:p w14:paraId="0940FD8E" w14:textId="77777777"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Licensing servers</w:t>
          </w:r>
        </w:p>
        <w:p w14:paraId="1D4BD4EE" w14:textId="77777777"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lastRenderedPageBreak/>
            <w:t>Local databases or network shares</w:t>
          </w:r>
        </w:p>
        <w:p w14:paraId="0134659D" w14:textId="22708303"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AD group or OU dependencies</w:t>
          </w:r>
          <w:r>
            <w:rPr>
              <w:rFonts w:eastAsia="Times New Roman" w:cs="Open Sans"/>
              <w:color w:val="auto"/>
              <w:kern w:val="0"/>
              <w:szCs w:val="20"/>
              <w:lang w:eastAsia="en-GB"/>
              <w14:ligatures w14:val="none"/>
            </w:rPr>
            <w:br/>
          </w:r>
        </w:p>
        <w:p w14:paraId="522ADF86" w14:textId="77777777" w:rsidR="001D2029" w:rsidRPr="001D2029" w:rsidRDefault="001D2029" w:rsidP="001D2029">
          <w:pPr>
            <w:numPr>
              <w:ilvl w:val="0"/>
              <w:numId w:val="83"/>
            </w:numPr>
            <w:tabs>
              <w:tab w:val="clear" w:pos="720"/>
              <w:tab w:val="num" w:pos="1440"/>
            </w:tabs>
            <w:spacing w:before="100" w:beforeAutospacing="1" w:after="100" w:afterAutospacing="1" w:line="240" w:lineRule="auto"/>
            <w:ind w:left="1440"/>
            <w:rPr>
              <w:rFonts w:eastAsia="Times New Roman" w:cs="Open Sans"/>
              <w:color w:val="auto"/>
              <w:kern w:val="0"/>
              <w:szCs w:val="20"/>
              <w:lang w:eastAsia="en-GB"/>
              <w14:ligatures w14:val="none"/>
            </w:rPr>
          </w:pPr>
          <w:r w:rsidRPr="001D2029">
            <w:rPr>
              <w:rFonts w:eastAsia="Times New Roman" w:cs="Open Sans"/>
              <w:b/>
              <w:bCs/>
              <w:color w:val="auto"/>
              <w:kern w:val="0"/>
              <w:szCs w:val="20"/>
              <w:lang w:eastAsia="en-GB"/>
              <w14:ligatures w14:val="none"/>
            </w:rPr>
            <w:t>Usage Data</w:t>
          </w:r>
          <w:r w:rsidRPr="001D2029">
            <w:rPr>
              <w:rFonts w:eastAsia="Times New Roman" w:cs="Open Sans"/>
              <w:color w:val="auto"/>
              <w:kern w:val="0"/>
              <w:szCs w:val="20"/>
              <w:lang w:eastAsia="en-GB"/>
              <w14:ligatures w14:val="none"/>
            </w:rPr>
            <w:t>:</w:t>
          </w:r>
        </w:p>
        <w:p w14:paraId="51CDE6F4" w14:textId="77777777" w:rsidR="001D2029" w:rsidRPr="001D2029" w:rsidRDefault="001D2029" w:rsidP="001D2029">
          <w:pPr>
            <w:numPr>
              <w:ilvl w:val="1"/>
              <w:numId w:val="83"/>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1D2029">
            <w:rPr>
              <w:rFonts w:eastAsia="Times New Roman" w:cs="Open Sans"/>
              <w:color w:val="auto"/>
              <w:kern w:val="0"/>
              <w:szCs w:val="20"/>
              <w:lang w:eastAsia="en-GB"/>
              <w14:ligatures w14:val="none"/>
            </w:rPr>
            <w:t>Software metering or endpoint analytics to assess active vs unused apps</w:t>
          </w:r>
        </w:p>
        <w:p w14:paraId="2C00D8EE" w14:textId="3DE84F54" w:rsidR="001D2029" w:rsidRDefault="001D2029" w:rsidP="001D2029">
          <w:pPr>
            <w:spacing w:before="0" w:after="0" w:line="240" w:lineRule="auto"/>
            <w:ind w:left="284"/>
            <w:rPr>
              <w:rFonts w:eastAsia="Times New Roman" w:cs="Open Sans"/>
              <w:color w:val="0E0E0E"/>
              <w:kern w:val="0"/>
              <w:szCs w:val="20"/>
              <w:lang w:eastAsia="en-GB"/>
              <w14:ligatures w14:val="none"/>
            </w:rPr>
          </w:pPr>
          <w:r w:rsidRPr="001D2029">
            <w:rPr>
              <w:rFonts w:eastAsia="Times New Roman" w:cs="Open Sans"/>
              <w:color w:val="0E0E0E"/>
              <w:kern w:val="0"/>
              <w:szCs w:val="20"/>
              <w:lang w:eastAsia="en-GB"/>
              <w14:ligatures w14:val="none"/>
            </w:rPr>
            <w:t>Rationalise where possible — eliminate duplicate, legacy, or rarely used applications before migrating.</w:t>
          </w:r>
        </w:p>
        <w:p w14:paraId="1566AC04" w14:textId="77777777" w:rsidR="001D2029" w:rsidRDefault="001D2029" w:rsidP="001D2029">
          <w:pPr>
            <w:spacing w:before="0" w:after="0" w:line="240" w:lineRule="auto"/>
            <w:ind w:left="284"/>
            <w:rPr>
              <w:rFonts w:eastAsia="Times New Roman" w:cs="Open Sans"/>
              <w:color w:val="0E0E0E"/>
              <w:kern w:val="0"/>
              <w:szCs w:val="20"/>
              <w:lang w:eastAsia="en-GB"/>
              <w14:ligatures w14:val="none"/>
            </w:rPr>
          </w:pPr>
        </w:p>
        <w:p w14:paraId="56DD8485" w14:textId="0B3324D2" w:rsidR="001D2029" w:rsidRDefault="00367629" w:rsidP="00367629">
          <w:pPr>
            <w:pStyle w:val="1ANumberedHeading2"/>
            <w:rPr>
              <w:lang w:eastAsia="en-GB"/>
            </w:rPr>
          </w:pPr>
          <w:r>
            <w:rPr>
              <w:lang w:eastAsia="en-GB"/>
            </w:rPr>
            <w:t>Packaging for Intune</w:t>
          </w:r>
        </w:p>
        <w:p w14:paraId="724A48C0" w14:textId="1D46C917" w:rsidR="00367629" w:rsidRDefault="00367629" w:rsidP="00367629">
          <w:pPr>
            <w:pStyle w:val="1ABodyTextLevel2"/>
            <w:rPr>
              <w:lang w:eastAsia="en-GB"/>
            </w:rPr>
          </w:pPr>
          <w:r>
            <w:rPr>
              <w:lang w:eastAsia="en-GB"/>
            </w:rPr>
            <w:t>Applications should be repackaged in formats supported by Intune:</w:t>
          </w:r>
        </w:p>
        <w:p w14:paraId="0BFC997E" w14:textId="77777777" w:rsidR="00367629" w:rsidRDefault="00367629" w:rsidP="00367629">
          <w:pPr>
            <w:pStyle w:val="1ABodyTextLevel2"/>
            <w:rPr>
              <w:lang w:eastAsia="en-GB"/>
            </w:rPr>
          </w:pPr>
        </w:p>
        <w:tbl>
          <w:tblPr>
            <w:tblStyle w:val="TableGrid"/>
            <w:tblW w:w="8409" w:type="dxa"/>
            <w:tblInd w:w="720" w:type="dxa"/>
            <w:tblLook w:val="04A0" w:firstRow="1" w:lastRow="0" w:firstColumn="1" w:lastColumn="0" w:noHBand="0" w:noVBand="1"/>
          </w:tblPr>
          <w:tblGrid>
            <w:gridCol w:w="2214"/>
            <w:gridCol w:w="6195"/>
          </w:tblGrid>
          <w:tr w:rsidR="00367629" w14:paraId="594EDD0E" w14:textId="77777777" w:rsidTr="00367629">
            <w:tc>
              <w:tcPr>
                <w:tcW w:w="2214" w:type="dxa"/>
              </w:tcPr>
              <w:p w14:paraId="2C64F795" w14:textId="174BAF75" w:rsidR="00367629" w:rsidRPr="00367629" w:rsidRDefault="00367629" w:rsidP="00367629">
                <w:pPr>
                  <w:pStyle w:val="1ABodyTextLevel2"/>
                  <w:ind w:left="0"/>
                  <w:rPr>
                    <w:b/>
                    <w:bCs/>
                    <w:color w:val="F37720" w:themeColor="accent1"/>
                    <w:lang w:eastAsia="en-GB"/>
                  </w:rPr>
                </w:pPr>
                <w:r w:rsidRPr="00367629">
                  <w:rPr>
                    <w:b/>
                    <w:bCs/>
                    <w:color w:val="F37720" w:themeColor="accent1"/>
                  </w:rPr>
                  <w:t>Format</w:t>
                </w:r>
              </w:p>
            </w:tc>
            <w:tc>
              <w:tcPr>
                <w:tcW w:w="6195" w:type="dxa"/>
              </w:tcPr>
              <w:p w14:paraId="387AC7C7" w14:textId="4D96E7B5" w:rsidR="00367629" w:rsidRPr="00367629" w:rsidRDefault="00367629" w:rsidP="00367629">
                <w:pPr>
                  <w:pStyle w:val="1ABodyTextLevel2"/>
                  <w:ind w:left="0"/>
                  <w:rPr>
                    <w:b/>
                    <w:bCs/>
                    <w:color w:val="F37720" w:themeColor="accent1"/>
                    <w:lang w:eastAsia="en-GB"/>
                  </w:rPr>
                </w:pPr>
                <w:r w:rsidRPr="00367629">
                  <w:rPr>
                    <w:b/>
                    <w:bCs/>
                    <w:color w:val="F37720" w:themeColor="accent1"/>
                  </w:rPr>
                  <w:t>Description</w:t>
                </w:r>
              </w:p>
            </w:tc>
          </w:tr>
          <w:tr w:rsidR="00367629" w14:paraId="131398B4" w14:textId="77777777" w:rsidTr="00367629">
            <w:tc>
              <w:tcPr>
                <w:tcW w:w="2214" w:type="dxa"/>
              </w:tcPr>
              <w:p w14:paraId="41835207" w14:textId="3143DA2E" w:rsidR="00367629" w:rsidRDefault="00367629" w:rsidP="00367629">
                <w:pPr>
                  <w:pStyle w:val="1ABodyTextLevel2"/>
                  <w:ind w:left="0"/>
                  <w:rPr>
                    <w:lang w:eastAsia="en-GB"/>
                  </w:rPr>
                </w:pPr>
                <w:r>
                  <w:rPr>
                    <w:b/>
                    <w:bCs/>
                  </w:rPr>
                  <w:t xml:space="preserve">Win32 </w:t>
                </w:r>
                <w:proofErr w:type="gramStart"/>
                <w:r>
                  <w:rPr>
                    <w:b/>
                    <w:bCs/>
                  </w:rPr>
                  <w:t>(.</w:t>
                </w:r>
                <w:proofErr w:type="spellStart"/>
                <w:r>
                  <w:rPr>
                    <w:b/>
                    <w:bCs/>
                  </w:rPr>
                  <w:t>intunewin</w:t>
                </w:r>
                <w:proofErr w:type="spellEnd"/>
                <w:proofErr w:type="gramEnd"/>
                <w:r>
                  <w:rPr>
                    <w:b/>
                    <w:bCs/>
                  </w:rPr>
                  <w:t>)</w:t>
                </w:r>
              </w:p>
            </w:tc>
            <w:tc>
              <w:tcPr>
                <w:tcW w:w="6195" w:type="dxa"/>
              </w:tcPr>
              <w:p w14:paraId="65EEBE9E" w14:textId="1315DEDF" w:rsidR="00367629" w:rsidRDefault="00367629" w:rsidP="00367629">
                <w:pPr>
                  <w:pStyle w:val="1ABodyTextLevel2"/>
                  <w:ind w:left="0"/>
                  <w:rPr>
                    <w:lang w:eastAsia="en-GB"/>
                  </w:rPr>
                </w:pPr>
                <w:r>
                  <w:t>Recommended format for complex installers (MSI/EXE/script-based). Requires packaging via the Microsoft Win32 Content Prep Tool.</w:t>
                </w:r>
              </w:p>
            </w:tc>
          </w:tr>
          <w:tr w:rsidR="00367629" w14:paraId="39C994D1" w14:textId="77777777" w:rsidTr="00367629">
            <w:tc>
              <w:tcPr>
                <w:tcW w:w="2214" w:type="dxa"/>
              </w:tcPr>
              <w:p w14:paraId="71D5FB0B" w14:textId="4913C16A" w:rsidR="00367629" w:rsidRDefault="00367629" w:rsidP="00367629">
                <w:pPr>
                  <w:pStyle w:val="1ABodyTextLevel2"/>
                  <w:ind w:left="0"/>
                  <w:rPr>
                    <w:lang w:eastAsia="en-GB"/>
                  </w:rPr>
                </w:pPr>
                <w:r>
                  <w:rPr>
                    <w:b/>
                    <w:bCs/>
                  </w:rPr>
                  <w:t>MSIX</w:t>
                </w:r>
              </w:p>
            </w:tc>
            <w:tc>
              <w:tcPr>
                <w:tcW w:w="6195" w:type="dxa"/>
              </w:tcPr>
              <w:p w14:paraId="390CC40A" w14:textId="15EFE663" w:rsidR="00367629" w:rsidRDefault="00367629" w:rsidP="00367629">
                <w:pPr>
                  <w:pStyle w:val="1ABodyTextLevel2"/>
                  <w:ind w:left="0"/>
                  <w:rPr>
                    <w:lang w:eastAsia="en-GB"/>
                  </w:rPr>
                </w:pPr>
                <w:r>
                  <w:t>Modern, secure packaging format. Ideal for new apps or where full control over app updates is required.</w:t>
                </w:r>
              </w:p>
            </w:tc>
          </w:tr>
          <w:tr w:rsidR="00367629" w14:paraId="77953AD5" w14:textId="77777777" w:rsidTr="00367629">
            <w:tc>
              <w:tcPr>
                <w:tcW w:w="2214" w:type="dxa"/>
              </w:tcPr>
              <w:p w14:paraId="055EDFF5" w14:textId="2F662681" w:rsidR="00367629" w:rsidRDefault="00367629" w:rsidP="00367629">
                <w:pPr>
                  <w:pStyle w:val="1ABodyTextLevel2"/>
                  <w:ind w:left="0"/>
                  <w:rPr>
                    <w:lang w:eastAsia="en-GB"/>
                  </w:rPr>
                </w:pPr>
                <w:r>
                  <w:rPr>
                    <w:b/>
                    <w:bCs/>
                  </w:rPr>
                  <w:t>Microsoft Store</w:t>
                </w:r>
              </w:p>
            </w:tc>
            <w:tc>
              <w:tcPr>
                <w:tcW w:w="6195" w:type="dxa"/>
              </w:tcPr>
              <w:p w14:paraId="23C27F2A" w14:textId="7CDFE1BA" w:rsidR="00367629" w:rsidRDefault="00367629" w:rsidP="00367629">
                <w:pPr>
                  <w:pStyle w:val="1ABodyTextLevel2"/>
                  <w:ind w:left="0"/>
                  <w:rPr>
                    <w:lang w:eastAsia="en-GB"/>
                  </w:rPr>
                </w:pPr>
                <w:r>
                  <w:t>Lightweight deployment via private Store or Store integration. Best for well-known apps with existing UWP packages.</w:t>
                </w:r>
              </w:p>
            </w:tc>
          </w:tr>
          <w:tr w:rsidR="00367629" w14:paraId="1D459812" w14:textId="77777777" w:rsidTr="00367629">
            <w:tc>
              <w:tcPr>
                <w:tcW w:w="2214" w:type="dxa"/>
              </w:tcPr>
              <w:p w14:paraId="32FEEFA5" w14:textId="33E3859F" w:rsidR="00367629" w:rsidRDefault="00367629" w:rsidP="00367629">
                <w:pPr>
                  <w:pStyle w:val="1ABodyTextLevel2"/>
                  <w:ind w:left="0"/>
                  <w:rPr>
                    <w:lang w:eastAsia="en-GB"/>
                  </w:rPr>
                </w:pPr>
                <w:r>
                  <w:rPr>
                    <w:b/>
                    <w:bCs/>
                  </w:rPr>
                  <w:t>Web Apps</w:t>
                </w:r>
              </w:p>
            </w:tc>
            <w:tc>
              <w:tcPr>
                <w:tcW w:w="6195" w:type="dxa"/>
              </w:tcPr>
              <w:p w14:paraId="793C66ED" w14:textId="3A89F190" w:rsidR="00367629" w:rsidRDefault="00367629" w:rsidP="00367629">
                <w:pPr>
                  <w:pStyle w:val="1ABodyTextLevel2"/>
                  <w:ind w:left="0"/>
                  <w:rPr>
                    <w:lang w:eastAsia="en-GB"/>
                  </w:rPr>
                </w:pPr>
                <w:r>
                  <w:t>For SaaS or internal web tools. Deploy as shortcuts via Intune.</w:t>
                </w:r>
              </w:p>
            </w:tc>
          </w:tr>
        </w:tbl>
        <w:p w14:paraId="3515F27B" w14:textId="5ABE0433" w:rsidR="00367629" w:rsidRDefault="00367629" w:rsidP="00367629">
          <w:pPr>
            <w:pStyle w:val="1ABodyTextLevel2"/>
            <w:rPr>
              <w:lang w:eastAsia="en-GB"/>
            </w:rPr>
          </w:pPr>
          <w:r>
            <w:rPr>
              <w:lang w:eastAsia="en-GB"/>
            </w:rPr>
            <w:t xml:space="preserve">There are also </w:t>
          </w:r>
          <w:proofErr w:type="gramStart"/>
          <w:r>
            <w:rPr>
              <w:lang w:eastAsia="en-GB"/>
            </w:rPr>
            <w:t>third party</w:t>
          </w:r>
          <w:proofErr w:type="gramEnd"/>
          <w:r>
            <w:rPr>
              <w:lang w:eastAsia="en-GB"/>
            </w:rPr>
            <w:t xml:space="preserve"> solutions available for Application Migration from </w:t>
          </w:r>
          <w:proofErr w:type="spellStart"/>
          <w:r>
            <w:rPr>
              <w:lang w:eastAsia="en-GB"/>
            </w:rPr>
            <w:t>ConfigMgr</w:t>
          </w:r>
          <w:proofErr w:type="spellEnd"/>
          <w:r>
            <w:rPr>
              <w:lang w:eastAsia="en-GB"/>
            </w:rPr>
            <w:t xml:space="preserve"> to Intune, although this should not be performed blindly, and only required and supported apps should be migrated.</w:t>
          </w:r>
        </w:p>
        <w:p w14:paraId="05289AFD" w14:textId="77777777" w:rsidR="00367629" w:rsidRPr="00367629" w:rsidRDefault="00367629" w:rsidP="00367629">
          <w:pPr>
            <w:pStyle w:val="1ABodyTextLevel2"/>
            <w:rPr>
              <w:lang w:eastAsia="en-GB"/>
            </w:rPr>
          </w:pPr>
        </w:p>
        <w:p w14:paraId="25610746" w14:textId="77777777" w:rsidR="00367629" w:rsidRPr="00367629" w:rsidRDefault="00367629" w:rsidP="00367629">
          <w:pPr>
            <w:pStyle w:val="1ABodyTextLevel2"/>
            <w:rPr>
              <w:lang w:eastAsia="en-GB"/>
            </w:rPr>
          </w:pPr>
          <w:r w:rsidRPr="00367629">
            <w:rPr>
              <w:lang w:eastAsia="en-GB"/>
            </w:rPr>
            <w:t>For each repackaged app:</w:t>
          </w:r>
        </w:p>
        <w:p w14:paraId="1660E20C" w14:textId="52AF3626" w:rsidR="00367629" w:rsidRPr="00367629" w:rsidRDefault="00367629" w:rsidP="00367629">
          <w:pPr>
            <w:pStyle w:val="1ABodyTextLevel2"/>
            <w:numPr>
              <w:ilvl w:val="0"/>
              <w:numId w:val="84"/>
            </w:numPr>
            <w:rPr>
              <w:lang w:eastAsia="en-GB"/>
            </w:rPr>
          </w:pPr>
          <w:r w:rsidRPr="00367629">
            <w:rPr>
              <w:lang w:eastAsia="en-GB"/>
            </w:rPr>
            <w:t>Include silent install/uninstall switches</w:t>
          </w:r>
        </w:p>
        <w:p w14:paraId="1DCCA321" w14:textId="26BD364F" w:rsidR="00367629" w:rsidRPr="00367629" w:rsidRDefault="00367629" w:rsidP="00367629">
          <w:pPr>
            <w:pStyle w:val="1ABodyTextLevel2"/>
            <w:numPr>
              <w:ilvl w:val="0"/>
              <w:numId w:val="84"/>
            </w:numPr>
            <w:rPr>
              <w:lang w:eastAsia="en-GB"/>
            </w:rPr>
          </w:pPr>
          <w:r w:rsidRPr="00367629">
            <w:rPr>
              <w:lang w:eastAsia="en-GB"/>
            </w:rPr>
            <w:t>Define detection rules (e.g. registry, file path, product code)</w:t>
          </w:r>
        </w:p>
        <w:p w14:paraId="4E9AE861" w14:textId="43D93AC2" w:rsidR="00367629" w:rsidRPr="00367629" w:rsidRDefault="00367629" w:rsidP="00367629">
          <w:pPr>
            <w:pStyle w:val="1ABodyTextLevel2"/>
            <w:numPr>
              <w:ilvl w:val="0"/>
              <w:numId w:val="84"/>
            </w:numPr>
            <w:rPr>
              <w:lang w:eastAsia="en-GB"/>
            </w:rPr>
          </w:pPr>
          <w:r w:rsidRPr="00367629">
            <w:rPr>
              <w:lang w:eastAsia="en-GB"/>
            </w:rPr>
            <w:t>Set requirements (e.g. OS version, disk space, memory)</w:t>
          </w:r>
        </w:p>
        <w:p w14:paraId="6EE93D68" w14:textId="52DAC3AE" w:rsidR="00367629" w:rsidRDefault="00367629" w:rsidP="00367629">
          <w:pPr>
            <w:pStyle w:val="1ABodyTextLevel2"/>
            <w:numPr>
              <w:ilvl w:val="0"/>
              <w:numId w:val="84"/>
            </w:numPr>
            <w:rPr>
              <w:lang w:eastAsia="en-GB"/>
            </w:rPr>
          </w:pPr>
          <w:r w:rsidRPr="00367629">
            <w:rPr>
              <w:lang w:eastAsia="en-GB"/>
            </w:rPr>
            <w:t xml:space="preserve">Assign to dynamic groups based on device or user </w:t>
          </w:r>
          <w:proofErr w:type="gramStart"/>
          <w:r w:rsidRPr="00367629">
            <w:rPr>
              <w:lang w:eastAsia="en-GB"/>
            </w:rPr>
            <w:t>attributes</w:t>
          </w:r>
          <w:r>
            <w:rPr>
              <w:lang w:eastAsia="en-GB"/>
            </w:rPr>
            <w:t>, or</w:t>
          </w:r>
          <w:proofErr w:type="gramEnd"/>
          <w:r>
            <w:rPr>
              <w:lang w:eastAsia="en-GB"/>
            </w:rPr>
            <w:t xml:space="preserve"> use filters.</w:t>
          </w:r>
        </w:p>
        <w:p w14:paraId="4E541ECA" w14:textId="24E11ADB" w:rsidR="00367629" w:rsidRDefault="00367629" w:rsidP="00367629">
          <w:pPr>
            <w:pStyle w:val="1ANumberedHeading2"/>
            <w:rPr>
              <w:lang w:eastAsia="en-GB"/>
            </w:rPr>
          </w:pPr>
          <w:r>
            <w:rPr>
              <w:lang w:eastAsia="en-GB"/>
            </w:rPr>
            <w:t>Delivery and Deployment Strategy</w:t>
          </w:r>
        </w:p>
        <w:p w14:paraId="3859E223" w14:textId="77777777" w:rsidR="00367629" w:rsidRDefault="00367629" w:rsidP="00367629">
          <w:pPr>
            <w:pStyle w:val="1ABodyTextLevel2"/>
            <w:rPr>
              <w:lang w:eastAsia="en-GB"/>
            </w:rPr>
          </w:pPr>
          <w:r>
            <w:rPr>
              <w:lang w:eastAsia="en-GB"/>
            </w:rPr>
            <w:t xml:space="preserve">A well-defined delivery and deployment strategy ensures that applications are installed efficiently, securely, and in a way that supports user productivity while minimising support overhead. In a Modern Desktop environment, Microsoft Intune replaces the </w:t>
          </w:r>
          <w:r>
            <w:rPr>
              <w:lang w:eastAsia="en-GB"/>
            </w:rPr>
            <w:lastRenderedPageBreak/>
            <w:t>traditional SCCM-centric push model with policy-based and user-targeted delivery mechanisms.</w:t>
          </w:r>
        </w:p>
        <w:p w14:paraId="5586A7BA" w14:textId="77777777" w:rsidR="00367629" w:rsidRDefault="00367629" w:rsidP="00367629">
          <w:pPr>
            <w:pStyle w:val="1ABodyTextLevel2"/>
            <w:rPr>
              <w:lang w:eastAsia="en-GB"/>
            </w:rPr>
          </w:pPr>
        </w:p>
        <w:p w14:paraId="58FC5834" w14:textId="6B451D6C" w:rsidR="00367629" w:rsidRDefault="00367629" w:rsidP="00367629">
          <w:pPr>
            <w:pStyle w:val="1ABodyTextLevel2"/>
            <w:rPr>
              <w:lang w:eastAsia="en-GB"/>
            </w:rPr>
          </w:pPr>
          <w:r>
            <w:rPr>
              <w:lang w:eastAsia="en-GB"/>
            </w:rPr>
            <w:t>This section outlines how to approach required vs. available deployments, user self-service, automation, targeting, and scalability.</w:t>
          </w:r>
        </w:p>
        <w:p w14:paraId="2EFFCF32" w14:textId="49435A88" w:rsidR="00367629" w:rsidRDefault="00367629" w:rsidP="00367629">
          <w:pPr>
            <w:pStyle w:val="1ANumberedHeading3"/>
            <w:rPr>
              <w:lang w:eastAsia="en-GB"/>
            </w:rPr>
          </w:pPr>
          <w:r>
            <w:rPr>
              <w:lang w:eastAsia="en-GB"/>
            </w:rPr>
            <w:t>Deployment Types</w:t>
          </w:r>
        </w:p>
        <w:p w14:paraId="3F9DAF77" w14:textId="77777777" w:rsidR="00367629" w:rsidRPr="00367629" w:rsidRDefault="00367629" w:rsidP="00367629">
          <w:pPr>
            <w:spacing w:before="100" w:beforeAutospacing="1" w:after="100" w:afterAutospacing="1" w:line="240" w:lineRule="auto"/>
            <w:ind w:left="709"/>
            <w:rPr>
              <w:rFonts w:eastAsia="Times New Roman" w:cs="Open Sans"/>
              <w:color w:val="auto"/>
              <w:kern w:val="0"/>
              <w:szCs w:val="20"/>
              <w:lang w:eastAsia="en-GB"/>
              <w14:ligatures w14:val="none"/>
            </w:rPr>
          </w:pPr>
          <w:r w:rsidRPr="00367629">
            <w:rPr>
              <w:rFonts w:eastAsia="Times New Roman" w:cs="Open Sans"/>
              <w:color w:val="auto"/>
              <w:kern w:val="0"/>
              <w:szCs w:val="20"/>
              <w:lang w:eastAsia="en-GB"/>
              <w14:ligatures w14:val="none"/>
            </w:rPr>
            <w:t>Intune supports two core deployment types, which should be used strategically:</w:t>
          </w:r>
        </w:p>
        <w:p w14:paraId="724471CB" w14:textId="3060D8C7" w:rsidR="00367629" w:rsidRPr="00367629" w:rsidRDefault="00367629" w:rsidP="00367629">
          <w:pPr>
            <w:spacing w:before="100" w:beforeAutospacing="1" w:after="100" w:afterAutospacing="1" w:line="240" w:lineRule="auto"/>
            <w:ind w:left="709"/>
            <w:rPr>
              <w:rFonts w:eastAsia="Times New Roman" w:cs="Open Sans"/>
              <w:color w:val="auto"/>
              <w:kern w:val="0"/>
              <w:szCs w:val="20"/>
              <w:lang w:eastAsia="en-GB"/>
              <w14:ligatures w14:val="none"/>
            </w:rPr>
          </w:pPr>
          <w:r w:rsidRPr="00367629">
            <w:rPr>
              <w:rFonts w:eastAsia="Times New Roman" w:cs="Open Sans"/>
              <w:b/>
              <w:bCs/>
              <w:color w:val="auto"/>
              <w:kern w:val="0"/>
              <w:szCs w:val="20"/>
              <w:lang w:eastAsia="en-GB"/>
              <w14:ligatures w14:val="none"/>
            </w:rPr>
            <w:t>Required Applications</w:t>
          </w:r>
          <w:r>
            <w:rPr>
              <w:rFonts w:eastAsia="Times New Roman" w:cs="Open Sans"/>
              <w:color w:val="auto"/>
              <w:kern w:val="0"/>
              <w:szCs w:val="20"/>
              <w:lang w:eastAsia="en-GB"/>
              <w14:ligatures w14:val="none"/>
            </w:rPr>
            <w:t xml:space="preserve"> - </w:t>
          </w:r>
          <w:r w:rsidRPr="00367629">
            <w:rPr>
              <w:rFonts w:eastAsia="Times New Roman" w:cs="Open Sans"/>
              <w:color w:val="auto"/>
              <w:kern w:val="0"/>
              <w:szCs w:val="20"/>
              <w:lang w:eastAsia="en-GB"/>
              <w14:ligatures w14:val="none"/>
            </w:rPr>
            <w:t>These are installed automatically on all applicable devices or users without interaction. Ideal for:</w:t>
          </w:r>
        </w:p>
        <w:p w14:paraId="46CE6C83" w14:textId="77777777" w:rsidR="00367629" w:rsidRPr="00367629" w:rsidRDefault="00367629" w:rsidP="00367629">
          <w:pPr>
            <w:numPr>
              <w:ilvl w:val="1"/>
              <w:numId w:val="85"/>
            </w:numPr>
            <w:tabs>
              <w:tab w:val="clear" w:pos="1440"/>
              <w:tab w:val="num" w:pos="2149"/>
            </w:tabs>
            <w:spacing w:before="100" w:beforeAutospacing="1" w:after="100" w:afterAutospacing="1" w:line="240" w:lineRule="auto"/>
            <w:ind w:left="2149"/>
            <w:rPr>
              <w:rFonts w:eastAsia="Times New Roman" w:cs="Open Sans"/>
              <w:color w:val="auto"/>
              <w:kern w:val="0"/>
              <w:szCs w:val="20"/>
              <w:lang w:eastAsia="en-GB"/>
              <w14:ligatures w14:val="none"/>
            </w:rPr>
          </w:pPr>
          <w:r w:rsidRPr="00367629">
            <w:rPr>
              <w:rFonts w:eastAsia="Times New Roman" w:cs="Open Sans"/>
              <w:color w:val="auto"/>
              <w:kern w:val="0"/>
              <w:szCs w:val="20"/>
              <w:lang w:eastAsia="en-GB"/>
              <w14:ligatures w14:val="none"/>
            </w:rPr>
            <w:t>Core productivity tools (e.g. Microsoft 365 Apps, Teams, Edge)</w:t>
          </w:r>
        </w:p>
        <w:p w14:paraId="7825A97D" w14:textId="77777777" w:rsidR="00367629" w:rsidRPr="00367629" w:rsidRDefault="00367629" w:rsidP="00367629">
          <w:pPr>
            <w:numPr>
              <w:ilvl w:val="1"/>
              <w:numId w:val="85"/>
            </w:numPr>
            <w:tabs>
              <w:tab w:val="clear" w:pos="1440"/>
              <w:tab w:val="num" w:pos="2149"/>
            </w:tabs>
            <w:spacing w:before="100" w:beforeAutospacing="1" w:after="100" w:afterAutospacing="1" w:line="240" w:lineRule="auto"/>
            <w:ind w:left="2149"/>
            <w:rPr>
              <w:rFonts w:eastAsia="Times New Roman" w:cs="Open Sans"/>
              <w:color w:val="auto"/>
              <w:kern w:val="0"/>
              <w:szCs w:val="20"/>
              <w:lang w:eastAsia="en-GB"/>
              <w14:ligatures w14:val="none"/>
            </w:rPr>
          </w:pPr>
          <w:r w:rsidRPr="00367629">
            <w:rPr>
              <w:rFonts w:eastAsia="Times New Roman" w:cs="Open Sans"/>
              <w:color w:val="auto"/>
              <w:kern w:val="0"/>
              <w:szCs w:val="20"/>
              <w:lang w:eastAsia="en-GB"/>
              <w14:ligatures w14:val="none"/>
            </w:rPr>
            <w:t>Security tools (e.g. Defender for Endpoint, VPN clients)</w:t>
          </w:r>
        </w:p>
        <w:p w14:paraId="57E420B0" w14:textId="77777777" w:rsidR="00367629" w:rsidRPr="00367629" w:rsidRDefault="00367629" w:rsidP="00367629">
          <w:pPr>
            <w:numPr>
              <w:ilvl w:val="1"/>
              <w:numId w:val="85"/>
            </w:numPr>
            <w:tabs>
              <w:tab w:val="clear" w:pos="1440"/>
              <w:tab w:val="num" w:pos="2149"/>
            </w:tabs>
            <w:spacing w:before="100" w:beforeAutospacing="1" w:after="100" w:afterAutospacing="1" w:line="240" w:lineRule="auto"/>
            <w:ind w:left="2149"/>
            <w:rPr>
              <w:rFonts w:eastAsia="Times New Roman" w:cs="Open Sans"/>
              <w:color w:val="auto"/>
              <w:kern w:val="0"/>
              <w:szCs w:val="20"/>
              <w:lang w:eastAsia="en-GB"/>
              <w14:ligatures w14:val="none"/>
            </w:rPr>
          </w:pPr>
          <w:r w:rsidRPr="00367629">
            <w:rPr>
              <w:rFonts w:eastAsia="Times New Roman" w:cs="Open Sans"/>
              <w:color w:val="auto"/>
              <w:kern w:val="0"/>
              <w:szCs w:val="20"/>
              <w:lang w:eastAsia="en-GB"/>
              <w14:ligatures w14:val="none"/>
            </w:rPr>
            <w:t>Line-of-business (LOB) applications required by default</w:t>
          </w:r>
        </w:p>
        <w:p w14:paraId="65C6D893" w14:textId="6D85889E" w:rsidR="00367629" w:rsidRPr="00367629" w:rsidRDefault="00367629" w:rsidP="00367629">
          <w:pPr>
            <w:numPr>
              <w:ilvl w:val="1"/>
              <w:numId w:val="85"/>
            </w:numPr>
            <w:tabs>
              <w:tab w:val="clear" w:pos="1440"/>
              <w:tab w:val="num" w:pos="2149"/>
            </w:tabs>
            <w:spacing w:before="100" w:beforeAutospacing="1" w:after="100" w:afterAutospacing="1" w:line="240" w:lineRule="auto"/>
            <w:ind w:left="2149"/>
            <w:rPr>
              <w:rFonts w:eastAsia="Times New Roman" w:cs="Open Sans"/>
              <w:color w:val="auto"/>
              <w:kern w:val="0"/>
              <w:szCs w:val="20"/>
              <w:lang w:eastAsia="en-GB"/>
              <w14:ligatures w14:val="none"/>
            </w:rPr>
          </w:pPr>
          <w:r w:rsidRPr="00367629">
            <w:rPr>
              <w:rFonts w:eastAsia="Times New Roman" w:cs="Open Sans"/>
              <w:color w:val="auto"/>
              <w:kern w:val="0"/>
              <w:szCs w:val="20"/>
              <w:lang w:eastAsia="en-GB"/>
              <w14:ligatures w14:val="none"/>
            </w:rPr>
            <w:t>Device enablers (e.g. printer management tools, hardware agents)</w:t>
          </w:r>
        </w:p>
        <w:p w14:paraId="07CFD6E0" w14:textId="43DCD4DF" w:rsidR="00367629" w:rsidRPr="00367629" w:rsidRDefault="00367629" w:rsidP="00367629">
          <w:pPr>
            <w:spacing w:before="100" w:beforeAutospacing="1" w:after="100" w:afterAutospacing="1" w:line="240" w:lineRule="auto"/>
            <w:ind w:left="720"/>
            <w:rPr>
              <w:rFonts w:eastAsia="Times New Roman" w:cs="Open Sans"/>
              <w:color w:val="auto"/>
              <w:kern w:val="0"/>
              <w:szCs w:val="20"/>
              <w:lang w:eastAsia="en-GB"/>
              <w14:ligatures w14:val="none"/>
            </w:rPr>
          </w:pPr>
          <w:r w:rsidRPr="00367629">
            <w:rPr>
              <w:rFonts w:eastAsia="Times New Roman" w:cs="Open Sans"/>
              <w:b/>
              <w:bCs/>
              <w:color w:val="auto"/>
              <w:kern w:val="0"/>
              <w:szCs w:val="20"/>
              <w:lang w:eastAsia="en-GB"/>
              <w14:ligatures w14:val="none"/>
            </w:rPr>
            <w:t>Available Applications</w:t>
          </w:r>
          <w:r>
            <w:rPr>
              <w:rFonts w:eastAsia="Times New Roman" w:cs="Open Sans"/>
              <w:color w:val="auto"/>
              <w:kern w:val="0"/>
              <w:szCs w:val="20"/>
              <w:lang w:eastAsia="en-GB"/>
              <w14:ligatures w14:val="none"/>
            </w:rPr>
            <w:t xml:space="preserve"> - </w:t>
          </w:r>
          <w:r w:rsidRPr="00367629">
            <w:rPr>
              <w:rFonts w:eastAsia="Times New Roman" w:cs="Open Sans"/>
              <w:color w:val="auto"/>
              <w:kern w:val="0"/>
              <w:szCs w:val="20"/>
              <w:lang w:eastAsia="en-GB"/>
              <w14:ligatures w14:val="none"/>
            </w:rPr>
            <w:t xml:space="preserve">Made available via the </w:t>
          </w:r>
          <w:r w:rsidRPr="00367629">
            <w:rPr>
              <w:rFonts w:eastAsia="Times New Roman" w:cs="Open Sans"/>
              <w:b/>
              <w:bCs/>
              <w:color w:val="auto"/>
              <w:kern w:val="0"/>
              <w:szCs w:val="20"/>
              <w:lang w:eastAsia="en-GB"/>
              <w14:ligatures w14:val="none"/>
            </w:rPr>
            <w:t>Company Portal</w:t>
          </w:r>
          <w:r w:rsidRPr="00367629">
            <w:rPr>
              <w:rFonts w:eastAsia="Times New Roman" w:cs="Open Sans"/>
              <w:color w:val="auto"/>
              <w:kern w:val="0"/>
              <w:szCs w:val="20"/>
              <w:lang w:eastAsia="en-GB"/>
              <w14:ligatures w14:val="none"/>
            </w:rPr>
            <w:t xml:space="preserve"> for user-initiated, on-demand installation. Best for:</w:t>
          </w:r>
        </w:p>
        <w:p w14:paraId="4B72F13E" w14:textId="77777777" w:rsidR="00367629" w:rsidRPr="00367629" w:rsidRDefault="00367629" w:rsidP="00367629">
          <w:pPr>
            <w:numPr>
              <w:ilvl w:val="1"/>
              <w:numId w:val="85"/>
            </w:numPr>
            <w:tabs>
              <w:tab w:val="clear" w:pos="1440"/>
              <w:tab w:val="num" w:pos="2149"/>
            </w:tabs>
            <w:spacing w:before="100" w:beforeAutospacing="1" w:after="100" w:afterAutospacing="1" w:line="240" w:lineRule="auto"/>
            <w:ind w:left="2149"/>
            <w:rPr>
              <w:rFonts w:eastAsia="Times New Roman" w:cs="Open Sans"/>
              <w:color w:val="auto"/>
              <w:kern w:val="0"/>
              <w:szCs w:val="20"/>
              <w:lang w:eastAsia="en-GB"/>
              <w14:ligatures w14:val="none"/>
            </w:rPr>
          </w:pPr>
          <w:r w:rsidRPr="00367629">
            <w:rPr>
              <w:rFonts w:eastAsia="Times New Roman" w:cs="Open Sans"/>
              <w:color w:val="auto"/>
              <w:kern w:val="0"/>
              <w:szCs w:val="20"/>
              <w:lang w:eastAsia="en-GB"/>
              <w14:ligatures w14:val="none"/>
            </w:rPr>
            <w:t>Departmental or role-specific tools</w:t>
          </w:r>
        </w:p>
        <w:p w14:paraId="139DB543" w14:textId="77777777" w:rsidR="00367629" w:rsidRPr="00367629" w:rsidRDefault="00367629" w:rsidP="00367629">
          <w:pPr>
            <w:numPr>
              <w:ilvl w:val="1"/>
              <w:numId w:val="85"/>
            </w:numPr>
            <w:tabs>
              <w:tab w:val="clear" w:pos="1440"/>
              <w:tab w:val="num" w:pos="2149"/>
            </w:tabs>
            <w:spacing w:before="100" w:beforeAutospacing="1" w:after="100" w:afterAutospacing="1" w:line="240" w:lineRule="auto"/>
            <w:ind w:left="2149"/>
            <w:rPr>
              <w:rFonts w:eastAsia="Times New Roman" w:cs="Open Sans"/>
              <w:color w:val="auto"/>
              <w:kern w:val="0"/>
              <w:szCs w:val="20"/>
              <w:lang w:eastAsia="en-GB"/>
              <w14:ligatures w14:val="none"/>
            </w:rPr>
          </w:pPr>
          <w:r w:rsidRPr="00367629">
            <w:rPr>
              <w:rFonts w:eastAsia="Times New Roman" w:cs="Open Sans"/>
              <w:color w:val="auto"/>
              <w:kern w:val="0"/>
              <w:szCs w:val="20"/>
              <w:lang w:eastAsia="en-GB"/>
              <w14:ligatures w14:val="none"/>
            </w:rPr>
            <w:t>Optional utilities</w:t>
          </w:r>
        </w:p>
        <w:p w14:paraId="243F87BC" w14:textId="77777777" w:rsidR="00367629" w:rsidRPr="00367629" w:rsidRDefault="00367629" w:rsidP="00367629">
          <w:pPr>
            <w:numPr>
              <w:ilvl w:val="1"/>
              <w:numId w:val="85"/>
            </w:numPr>
            <w:tabs>
              <w:tab w:val="clear" w:pos="1440"/>
              <w:tab w:val="num" w:pos="2149"/>
            </w:tabs>
            <w:spacing w:before="100" w:beforeAutospacing="1" w:after="100" w:afterAutospacing="1" w:line="240" w:lineRule="auto"/>
            <w:ind w:left="2149"/>
            <w:rPr>
              <w:rFonts w:eastAsia="Times New Roman" w:cs="Open Sans"/>
              <w:color w:val="auto"/>
              <w:kern w:val="0"/>
              <w:szCs w:val="20"/>
              <w:lang w:eastAsia="en-GB"/>
              <w14:ligatures w14:val="none"/>
            </w:rPr>
          </w:pPr>
          <w:r w:rsidRPr="00367629">
            <w:rPr>
              <w:rFonts w:eastAsia="Times New Roman" w:cs="Open Sans"/>
              <w:color w:val="auto"/>
              <w:kern w:val="0"/>
              <w:szCs w:val="20"/>
              <w:lang w:eastAsia="en-GB"/>
              <w14:ligatures w14:val="none"/>
            </w:rPr>
            <w:t>Low-risk software used by small populations (e.g. Notepad++, PDF tools)</w:t>
          </w:r>
        </w:p>
        <w:p w14:paraId="3446FA35" w14:textId="77777777" w:rsidR="00367629" w:rsidRPr="00367629" w:rsidRDefault="00367629" w:rsidP="00367629">
          <w:pPr>
            <w:numPr>
              <w:ilvl w:val="1"/>
              <w:numId w:val="85"/>
            </w:numPr>
            <w:tabs>
              <w:tab w:val="clear" w:pos="1440"/>
              <w:tab w:val="num" w:pos="2149"/>
            </w:tabs>
            <w:spacing w:before="100" w:beforeAutospacing="1" w:after="100" w:afterAutospacing="1" w:line="240" w:lineRule="auto"/>
            <w:ind w:left="2149"/>
            <w:rPr>
              <w:rFonts w:eastAsia="Times New Roman" w:cs="Open Sans"/>
              <w:color w:val="auto"/>
              <w:kern w:val="0"/>
              <w:szCs w:val="20"/>
              <w:lang w:eastAsia="en-GB"/>
              <w14:ligatures w14:val="none"/>
            </w:rPr>
          </w:pPr>
          <w:r w:rsidRPr="00367629">
            <w:rPr>
              <w:rFonts w:eastAsia="Times New Roman" w:cs="Open Sans"/>
              <w:color w:val="auto"/>
              <w:kern w:val="0"/>
              <w:szCs w:val="20"/>
              <w:lang w:eastAsia="en-GB"/>
              <w14:ligatures w14:val="none"/>
            </w:rPr>
            <w:t>Tools requiring user acceptance or configuration</w:t>
          </w:r>
        </w:p>
        <w:p w14:paraId="013A45D1" w14:textId="105785C3" w:rsidR="00367629" w:rsidRDefault="00367629" w:rsidP="00367629">
          <w:pPr>
            <w:spacing w:before="0" w:after="0" w:line="240" w:lineRule="auto"/>
            <w:ind w:left="720"/>
            <w:rPr>
              <w:rFonts w:eastAsia="Times New Roman" w:cs="Open Sans"/>
              <w:color w:val="0E0E0E"/>
              <w:kern w:val="0"/>
              <w:szCs w:val="20"/>
              <w:lang w:eastAsia="en-GB"/>
              <w14:ligatures w14:val="none"/>
            </w:rPr>
          </w:pPr>
          <w:r w:rsidRPr="00367629">
            <w:rPr>
              <w:rFonts w:eastAsia="Times New Roman" w:cs="Open Sans"/>
              <w:b/>
              <w:bCs/>
              <w:i/>
              <w:iCs/>
              <w:color w:val="0E0E0E"/>
              <w:kern w:val="0"/>
              <w:szCs w:val="20"/>
              <w:lang w:eastAsia="en-GB"/>
              <w14:ligatures w14:val="none"/>
            </w:rPr>
            <w:t>Best Practice</w:t>
          </w:r>
          <w:r w:rsidRPr="00367629">
            <w:rPr>
              <w:rFonts w:eastAsia="Times New Roman" w:cs="Open Sans"/>
              <w:color w:val="0E0E0E"/>
              <w:kern w:val="0"/>
              <w:szCs w:val="20"/>
              <w:lang w:eastAsia="en-GB"/>
              <w14:ligatures w14:val="none"/>
            </w:rPr>
            <w:t xml:space="preserve">: Offer as much as possible via </w:t>
          </w:r>
          <w:r w:rsidRPr="00367629">
            <w:rPr>
              <w:rFonts w:eastAsia="Times New Roman" w:cs="Open Sans"/>
              <w:b/>
              <w:bCs/>
              <w:color w:val="0E0E0E"/>
              <w:kern w:val="0"/>
              <w:szCs w:val="20"/>
              <w:lang w:eastAsia="en-GB"/>
              <w14:ligatures w14:val="none"/>
            </w:rPr>
            <w:t>available deployment</w:t>
          </w:r>
          <w:r w:rsidRPr="00367629">
            <w:rPr>
              <w:rFonts w:eastAsia="Times New Roman" w:cs="Open Sans"/>
              <w:color w:val="0E0E0E"/>
              <w:kern w:val="0"/>
              <w:szCs w:val="20"/>
              <w:lang w:eastAsia="en-GB"/>
              <w14:ligatures w14:val="none"/>
            </w:rPr>
            <w:t>, empowering users through self-service while reducing support tickets and unneeded installations.</w:t>
          </w:r>
        </w:p>
        <w:p w14:paraId="1FA76538" w14:textId="70620719" w:rsidR="00367629" w:rsidRDefault="00367629" w:rsidP="00367629">
          <w:pPr>
            <w:pStyle w:val="1ANumberedHeading3"/>
            <w:rPr>
              <w:lang w:eastAsia="en-GB"/>
            </w:rPr>
          </w:pPr>
          <w:r>
            <w:rPr>
              <w:lang w:eastAsia="en-GB"/>
            </w:rPr>
            <w:t>Assignment and Targeting</w:t>
          </w:r>
        </w:p>
        <w:p w14:paraId="1956FAC7" w14:textId="77777777" w:rsidR="00367629" w:rsidRPr="00367629" w:rsidRDefault="00367629" w:rsidP="00367629">
          <w:pPr>
            <w:pStyle w:val="p1"/>
            <w:ind w:left="709"/>
            <w:rPr>
              <w:rFonts w:ascii="Open Sans" w:hAnsi="Open Sans" w:cs="Open Sans"/>
              <w:sz w:val="20"/>
              <w:szCs w:val="20"/>
            </w:rPr>
          </w:pPr>
          <w:r w:rsidRPr="00367629">
            <w:rPr>
              <w:rFonts w:ascii="Open Sans" w:hAnsi="Open Sans" w:cs="Open Sans"/>
              <w:sz w:val="20"/>
              <w:szCs w:val="20"/>
            </w:rPr>
            <w:t>Use dynamic, attribute-based groupings to ensure applications are scoped accurately and efficiently.</w:t>
          </w:r>
        </w:p>
        <w:p w14:paraId="6DD0644C" w14:textId="792ACC02" w:rsidR="00367629" w:rsidRPr="00367629" w:rsidRDefault="00367629" w:rsidP="00367629">
          <w:pPr>
            <w:pStyle w:val="p1"/>
            <w:numPr>
              <w:ilvl w:val="0"/>
              <w:numId w:val="86"/>
            </w:numPr>
            <w:tabs>
              <w:tab w:val="clear" w:pos="720"/>
              <w:tab w:val="num" w:pos="1429"/>
            </w:tabs>
            <w:ind w:left="1429"/>
            <w:rPr>
              <w:rFonts w:ascii="Open Sans" w:hAnsi="Open Sans" w:cs="Open Sans"/>
              <w:sz w:val="20"/>
              <w:szCs w:val="20"/>
            </w:rPr>
          </w:pPr>
          <w:r w:rsidRPr="00367629">
            <w:rPr>
              <w:rFonts w:ascii="Open Sans" w:hAnsi="Open Sans" w:cs="Open Sans"/>
              <w:b/>
              <w:bCs/>
              <w:sz w:val="20"/>
              <w:szCs w:val="20"/>
            </w:rPr>
            <w:t>User-Based Targeting</w:t>
          </w:r>
          <w:r>
            <w:rPr>
              <w:rFonts w:ascii="Open Sans" w:hAnsi="Open Sans" w:cs="Open Sans"/>
              <w:b/>
              <w:bCs/>
              <w:sz w:val="20"/>
              <w:szCs w:val="20"/>
            </w:rPr>
            <w:t xml:space="preserve"> - </w:t>
          </w:r>
          <w:r w:rsidRPr="00367629">
            <w:rPr>
              <w:rFonts w:ascii="Open Sans" w:hAnsi="Open Sans" w:cs="Open Sans"/>
              <w:sz w:val="20"/>
              <w:szCs w:val="20"/>
            </w:rPr>
            <w:t xml:space="preserve">Assign apps to </w:t>
          </w:r>
          <w:r>
            <w:rPr>
              <w:rFonts w:ascii="Open Sans" w:hAnsi="Open Sans" w:cs="Open Sans"/>
              <w:sz w:val="20"/>
              <w:szCs w:val="20"/>
            </w:rPr>
            <w:t xml:space="preserve">Entra ID </w:t>
          </w:r>
          <w:r w:rsidRPr="00367629">
            <w:rPr>
              <w:rFonts w:ascii="Open Sans" w:hAnsi="Open Sans" w:cs="Open Sans"/>
              <w:sz w:val="20"/>
              <w:szCs w:val="20"/>
            </w:rPr>
            <w:t>user groups when the app follows the user across devices (e.g. Microsoft 365 Apps, browser-based tools).</w:t>
          </w:r>
        </w:p>
        <w:p w14:paraId="3DFED166" w14:textId="75EF454A" w:rsidR="00367629" w:rsidRPr="00367629" w:rsidRDefault="00367629" w:rsidP="00367629">
          <w:pPr>
            <w:pStyle w:val="p1"/>
            <w:numPr>
              <w:ilvl w:val="0"/>
              <w:numId w:val="86"/>
            </w:numPr>
            <w:tabs>
              <w:tab w:val="clear" w:pos="720"/>
              <w:tab w:val="num" w:pos="1429"/>
            </w:tabs>
            <w:ind w:left="1429"/>
            <w:rPr>
              <w:rFonts w:ascii="Open Sans" w:hAnsi="Open Sans" w:cs="Open Sans"/>
              <w:sz w:val="20"/>
              <w:szCs w:val="20"/>
            </w:rPr>
          </w:pPr>
          <w:r w:rsidRPr="00367629">
            <w:rPr>
              <w:rFonts w:ascii="Open Sans" w:hAnsi="Open Sans" w:cs="Open Sans"/>
              <w:b/>
              <w:bCs/>
              <w:sz w:val="20"/>
              <w:szCs w:val="20"/>
            </w:rPr>
            <w:t>Device-Based Targeting</w:t>
          </w:r>
          <w:r>
            <w:rPr>
              <w:rFonts w:ascii="Open Sans" w:hAnsi="Open Sans" w:cs="Open Sans"/>
              <w:b/>
              <w:bCs/>
              <w:sz w:val="20"/>
              <w:szCs w:val="20"/>
            </w:rPr>
            <w:t xml:space="preserve"> - </w:t>
          </w:r>
          <w:r w:rsidRPr="00367629">
            <w:rPr>
              <w:rFonts w:ascii="Open Sans" w:hAnsi="Open Sans" w:cs="Open Sans"/>
              <w:sz w:val="20"/>
              <w:szCs w:val="20"/>
            </w:rPr>
            <w:t>Assign to device groups when the software is hardware-bound or needs to be installed regardless of who signs in (e.g. drivers, BIOS tools, lab/kiosk software).</w:t>
          </w:r>
        </w:p>
        <w:p w14:paraId="5DE3D516" w14:textId="44AC04E3" w:rsidR="00367629" w:rsidRPr="00367629" w:rsidRDefault="00367629" w:rsidP="00367629">
          <w:pPr>
            <w:pStyle w:val="p1"/>
            <w:ind w:firstLine="720"/>
            <w:rPr>
              <w:rFonts w:ascii="Open Sans" w:hAnsi="Open Sans" w:cs="Open Sans"/>
              <w:sz w:val="20"/>
              <w:szCs w:val="20"/>
            </w:rPr>
          </w:pPr>
          <w:r w:rsidRPr="00367629">
            <w:rPr>
              <w:rFonts w:ascii="Open Sans" w:hAnsi="Open Sans" w:cs="Open Sans"/>
              <w:b/>
              <w:bCs/>
              <w:sz w:val="20"/>
              <w:szCs w:val="20"/>
            </w:rPr>
            <w:t>Group Design Considerations</w:t>
          </w:r>
          <w:r>
            <w:rPr>
              <w:rFonts w:ascii="Open Sans" w:hAnsi="Open Sans" w:cs="Open Sans"/>
              <w:b/>
              <w:bCs/>
              <w:sz w:val="20"/>
              <w:szCs w:val="20"/>
            </w:rPr>
            <w:t xml:space="preserve"> - </w:t>
          </w:r>
          <w:r w:rsidRPr="00367629">
            <w:rPr>
              <w:rFonts w:ascii="Open Sans" w:hAnsi="Open Sans" w:cs="Open Sans"/>
              <w:sz w:val="20"/>
              <w:szCs w:val="20"/>
            </w:rPr>
            <w:t>Create Intune dynamic groups based on:</w:t>
          </w:r>
        </w:p>
        <w:p w14:paraId="08729406" w14:textId="76B2234D" w:rsidR="00367629" w:rsidRPr="00367629" w:rsidRDefault="00367629" w:rsidP="00367629">
          <w:pPr>
            <w:pStyle w:val="p1"/>
            <w:numPr>
              <w:ilvl w:val="1"/>
              <w:numId w:val="87"/>
            </w:numPr>
            <w:rPr>
              <w:rFonts w:ascii="Open Sans" w:hAnsi="Open Sans" w:cs="Open Sans"/>
              <w:sz w:val="20"/>
              <w:szCs w:val="20"/>
            </w:rPr>
          </w:pPr>
          <w:r w:rsidRPr="00367629">
            <w:rPr>
              <w:rFonts w:ascii="Open Sans" w:hAnsi="Open Sans" w:cs="Open Sans"/>
              <w:sz w:val="20"/>
              <w:szCs w:val="20"/>
            </w:rPr>
            <w:t>Enrolment profile or Autopilot Group Tag</w:t>
          </w:r>
        </w:p>
        <w:p w14:paraId="2EA5544A" w14:textId="77777777" w:rsidR="00367629" w:rsidRPr="00367629" w:rsidRDefault="00367629" w:rsidP="00367629">
          <w:pPr>
            <w:pStyle w:val="p1"/>
            <w:numPr>
              <w:ilvl w:val="1"/>
              <w:numId w:val="87"/>
            </w:numPr>
            <w:rPr>
              <w:rFonts w:ascii="Open Sans" w:hAnsi="Open Sans" w:cs="Open Sans"/>
              <w:sz w:val="20"/>
              <w:szCs w:val="20"/>
            </w:rPr>
          </w:pPr>
          <w:r w:rsidRPr="00367629">
            <w:rPr>
              <w:rFonts w:ascii="Open Sans" w:hAnsi="Open Sans" w:cs="Open Sans"/>
              <w:sz w:val="20"/>
              <w:szCs w:val="20"/>
            </w:rPr>
            <w:t>Operating system version or platform</w:t>
          </w:r>
        </w:p>
        <w:p w14:paraId="179F77DF" w14:textId="77777777" w:rsidR="00367629" w:rsidRPr="00367629" w:rsidRDefault="00367629" w:rsidP="00367629">
          <w:pPr>
            <w:pStyle w:val="p1"/>
            <w:numPr>
              <w:ilvl w:val="1"/>
              <w:numId w:val="87"/>
            </w:numPr>
            <w:rPr>
              <w:rFonts w:ascii="Open Sans" w:hAnsi="Open Sans" w:cs="Open Sans"/>
              <w:sz w:val="20"/>
              <w:szCs w:val="20"/>
            </w:rPr>
          </w:pPr>
          <w:r w:rsidRPr="00367629">
            <w:rPr>
              <w:rFonts w:ascii="Open Sans" w:hAnsi="Open Sans" w:cs="Open Sans"/>
              <w:sz w:val="20"/>
              <w:szCs w:val="20"/>
            </w:rPr>
            <w:t>Device model, ownership type (BYOD vs. corporate)</w:t>
          </w:r>
        </w:p>
        <w:p w14:paraId="5BC66972" w14:textId="77777777" w:rsidR="00367629" w:rsidRDefault="00367629" w:rsidP="00367629">
          <w:pPr>
            <w:pStyle w:val="p1"/>
            <w:numPr>
              <w:ilvl w:val="1"/>
              <w:numId w:val="87"/>
            </w:numPr>
            <w:rPr>
              <w:rFonts w:ascii="Open Sans" w:hAnsi="Open Sans" w:cs="Open Sans"/>
              <w:sz w:val="20"/>
              <w:szCs w:val="20"/>
            </w:rPr>
          </w:pPr>
          <w:r w:rsidRPr="00367629">
            <w:rPr>
              <w:rFonts w:ascii="Open Sans" w:hAnsi="Open Sans" w:cs="Open Sans"/>
              <w:sz w:val="20"/>
              <w:szCs w:val="20"/>
            </w:rPr>
            <w:t>Department or location (based on Entra ID attributes)</w:t>
          </w:r>
        </w:p>
        <w:p w14:paraId="584F7266" w14:textId="47081220" w:rsidR="00367629" w:rsidRDefault="00367629" w:rsidP="00367629">
          <w:pPr>
            <w:pStyle w:val="p1"/>
            <w:ind w:left="720"/>
            <w:rPr>
              <w:rFonts w:ascii="Open Sans" w:hAnsi="Open Sans" w:cs="Open Sans"/>
              <w:sz w:val="20"/>
              <w:szCs w:val="20"/>
            </w:rPr>
          </w:pPr>
          <w:r w:rsidRPr="00367629">
            <w:rPr>
              <w:rFonts w:ascii="Open Sans" w:hAnsi="Open Sans" w:cs="Open Sans"/>
              <w:b/>
              <w:bCs/>
              <w:i/>
              <w:iCs/>
              <w:sz w:val="20"/>
              <w:szCs w:val="20"/>
            </w:rPr>
            <w:lastRenderedPageBreak/>
            <w:t>Best Practice:</w:t>
          </w:r>
          <w:r>
            <w:rPr>
              <w:rFonts w:ascii="Open Sans" w:hAnsi="Open Sans" w:cs="Open Sans"/>
              <w:sz w:val="20"/>
              <w:szCs w:val="20"/>
            </w:rPr>
            <w:t xml:space="preserve"> Use Intune Filters to create dynamic deployments.</w:t>
          </w:r>
        </w:p>
        <w:p w14:paraId="64039BF9" w14:textId="07744536" w:rsidR="00F9712C" w:rsidRDefault="00F9712C" w:rsidP="00F9712C">
          <w:pPr>
            <w:pStyle w:val="1ANumberedHeading3"/>
          </w:pPr>
          <w:r>
            <w:t>Deployment Automation</w:t>
          </w:r>
        </w:p>
        <w:p w14:paraId="3A2511E1" w14:textId="77777777" w:rsidR="00F9712C" w:rsidRPr="00F9712C" w:rsidRDefault="00F9712C" w:rsidP="00F9712C">
          <w:pPr>
            <w:pStyle w:val="p1"/>
            <w:ind w:left="360"/>
            <w:rPr>
              <w:rFonts w:ascii="Open Sans" w:hAnsi="Open Sans" w:cs="Open Sans"/>
              <w:sz w:val="20"/>
              <w:szCs w:val="20"/>
            </w:rPr>
          </w:pPr>
          <w:r w:rsidRPr="00F9712C">
            <w:rPr>
              <w:rFonts w:ascii="Open Sans" w:hAnsi="Open Sans" w:cs="Open Sans"/>
              <w:sz w:val="20"/>
              <w:szCs w:val="20"/>
            </w:rPr>
            <w:t>To enhance reliability and reduce effort, deploy applications using repeatable automation and assignment practices:</w:t>
          </w:r>
        </w:p>
        <w:p w14:paraId="1549E753" w14:textId="58C54E60" w:rsidR="00F9712C" w:rsidRPr="00F9712C" w:rsidRDefault="00F9712C" w:rsidP="00F9712C">
          <w:pPr>
            <w:pStyle w:val="p1"/>
            <w:numPr>
              <w:ilvl w:val="0"/>
              <w:numId w:val="88"/>
            </w:numPr>
            <w:tabs>
              <w:tab w:val="clear" w:pos="720"/>
              <w:tab w:val="num" w:pos="1080"/>
            </w:tabs>
            <w:ind w:left="1080"/>
            <w:rPr>
              <w:rFonts w:ascii="Open Sans" w:hAnsi="Open Sans" w:cs="Open Sans"/>
              <w:sz w:val="20"/>
              <w:szCs w:val="20"/>
            </w:rPr>
          </w:pPr>
          <w:r w:rsidRPr="00F9712C">
            <w:rPr>
              <w:rFonts w:ascii="Open Sans" w:hAnsi="Open Sans" w:cs="Open Sans"/>
              <w:b/>
              <w:bCs/>
              <w:sz w:val="20"/>
              <w:szCs w:val="20"/>
            </w:rPr>
            <w:t>Win32 App Packaging Pipelines</w:t>
          </w:r>
          <w:r>
            <w:rPr>
              <w:rFonts w:ascii="Open Sans" w:hAnsi="Open Sans" w:cs="Open Sans"/>
              <w:b/>
              <w:bCs/>
              <w:sz w:val="20"/>
              <w:szCs w:val="20"/>
            </w:rPr>
            <w:t xml:space="preserve"> - </w:t>
          </w:r>
          <w:r w:rsidRPr="00F9712C">
            <w:rPr>
              <w:rFonts w:ascii="Open Sans" w:hAnsi="Open Sans" w:cs="Open Sans"/>
              <w:sz w:val="20"/>
              <w:szCs w:val="20"/>
            </w:rPr>
            <w:t>Integrate CI/CD for packaging, versioning, and publishing to Intune via Graph API or scripting frameworks.</w:t>
          </w:r>
        </w:p>
        <w:p w14:paraId="4ECD7F5E" w14:textId="594C79D6" w:rsidR="00F9712C" w:rsidRPr="00F9712C" w:rsidRDefault="00F9712C" w:rsidP="00F9712C">
          <w:pPr>
            <w:pStyle w:val="p1"/>
            <w:numPr>
              <w:ilvl w:val="0"/>
              <w:numId w:val="88"/>
            </w:numPr>
            <w:tabs>
              <w:tab w:val="clear" w:pos="720"/>
              <w:tab w:val="num" w:pos="1080"/>
            </w:tabs>
            <w:ind w:left="1080"/>
            <w:rPr>
              <w:rFonts w:ascii="Open Sans" w:hAnsi="Open Sans" w:cs="Open Sans"/>
              <w:sz w:val="20"/>
              <w:szCs w:val="20"/>
            </w:rPr>
          </w:pPr>
          <w:r w:rsidRPr="00F9712C">
            <w:rPr>
              <w:rFonts w:ascii="Open Sans" w:hAnsi="Open Sans" w:cs="Open Sans"/>
              <w:b/>
              <w:bCs/>
              <w:sz w:val="20"/>
              <w:szCs w:val="20"/>
            </w:rPr>
            <w:t>Detection Logic</w:t>
          </w:r>
          <w:r>
            <w:rPr>
              <w:rFonts w:ascii="Open Sans" w:hAnsi="Open Sans" w:cs="Open Sans"/>
              <w:b/>
              <w:bCs/>
              <w:sz w:val="20"/>
              <w:szCs w:val="20"/>
            </w:rPr>
            <w:t xml:space="preserve"> - </w:t>
          </w:r>
          <w:r w:rsidRPr="00F9712C">
            <w:rPr>
              <w:rFonts w:ascii="Open Sans" w:hAnsi="Open Sans" w:cs="Open Sans"/>
              <w:sz w:val="20"/>
              <w:szCs w:val="20"/>
            </w:rPr>
            <w:t>Configure custom rules (registry, file path, product code) to confirm install success. Avoid relying solely on install exit codes.</w:t>
          </w:r>
        </w:p>
        <w:p w14:paraId="48BF9A88" w14:textId="5CC511A4" w:rsidR="00F9712C" w:rsidRPr="00F9712C" w:rsidRDefault="00F9712C" w:rsidP="00F9712C">
          <w:pPr>
            <w:pStyle w:val="p1"/>
            <w:numPr>
              <w:ilvl w:val="0"/>
              <w:numId w:val="88"/>
            </w:numPr>
            <w:tabs>
              <w:tab w:val="clear" w:pos="720"/>
              <w:tab w:val="num" w:pos="1080"/>
            </w:tabs>
            <w:ind w:left="1080"/>
            <w:rPr>
              <w:rFonts w:ascii="Open Sans" w:hAnsi="Open Sans" w:cs="Open Sans"/>
              <w:sz w:val="20"/>
              <w:szCs w:val="20"/>
            </w:rPr>
          </w:pPr>
          <w:r w:rsidRPr="00F9712C">
            <w:rPr>
              <w:rFonts w:ascii="Open Sans" w:hAnsi="Open Sans" w:cs="Open Sans"/>
              <w:b/>
              <w:bCs/>
              <w:sz w:val="20"/>
              <w:szCs w:val="20"/>
            </w:rPr>
            <w:t>Delivery Optimisation</w:t>
          </w:r>
          <w:r>
            <w:rPr>
              <w:rFonts w:ascii="Open Sans" w:hAnsi="Open Sans" w:cs="Open Sans"/>
              <w:b/>
              <w:bCs/>
              <w:sz w:val="20"/>
              <w:szCs w:val="20"/>
            </w:rPr>
            <w:t xml:space="preserve"> - </w:t>
          </w:r>
          <w:r w:rsidRPr="00F9712C">
            <w:rPr>
              <w:rFonts w:ascii="Open Sans" w:hAnsi="Open Sans" w:cs="Open Sans"/>
              <w:sz w:val="20"/>
              <w:szCs w:val="20"/>
            </w:rPr>
            <w:t>Leverage peer-to-peer caching (Delivery Optimization, Connected Cache) to reduce WAN and CDN traffic for large packages.</w:t>
          </w:r>
        </w:p>
        <w:p w14:paraId="604B81B1" w14:textId="574979A2" w:rsidR="00F9712C" w:rsidRPr="00F9712C" w:rsidRDefault="00F9712C" w:rsidP="00F9712C">
          <w:pPr>
            <w:pStyle w:val="p1"/>
            <w:numPr>
              <w:ilvl w:val="0"/>
              <w:numId w:val="88"/>
            </w:numPr>
            <w:tabs>
              <w:tab w:val="clear" w:pos="720"/>
              <w:tab w:val="num" w:pos="1080"/>
            </w:tabs>
            <w:ind w:left="1080"/>
            <w:rPr>
              <w:rFonts w:ascii="Open Sans" w:hAnsi="Open Sans" w:cs="Open Sans"/>
              <w:sz w:val="20"/>
              <w:szCs w:val="20"/>
            </w:rPr>
          </w:pPr>
          <w:r w:rsidRPr="00F9712C">
            <w:rPr>
              <w:rFonts w:ascii="Open Sans" w:hAnsi="Open Sans" w:cs="Open Sans"/>
              <w:b/>
              <w:bCs/>
              <w:sz w:val="20"/>
              <w:szCs w:val="20"/>
            </w:rPr>
            <w:t>Staggered Deployment (Phased Rings)</w:t>
          </w:r>
          <w:r>
            <w:rPr>
              <w:rFonts w:ascii="Open Sans" w:hAnsi="Open Sans" w:cs="Open Sans"/>
              <w:b/>
              <w:bCs/>
              <w:sz w:val="20"/>
              <w:szCs w:val="20"/>
            </w:rPr>
            <w:t xml:space="preserve"> - </w:t>
          </w:r>
          <w:r w:rsidRPr="00F9712C">
            <w:rPr>
              <w:rFonts w:ascii="Open Sans" w:hAnsi="Open Sans" w:cs="Open Sans"/>
              <w:sz w:val="20"/>
              <w:szCs w:val="20"/>
            </w:rPr>
            <w:t>Adopt a ring-based rollout model for required apps:</w:t>
          </w:r>
          <w:r>
            <w:rPr>
              <w:rFonts w:ascii="Open Sans" w:hAnsi="Open Sans" w:cs="Open Sans"/>
              <w:sz w:val="20"/>
              <w:szCs w:val="20"/>
            </w:rPr>
            <w:br/>
          </w:r>
        </w:p>
        <w:p w14:paraId="4BBB5079" w14:textId="77777777" w:rsidR="00F9712C" w:rsidRPr="00F9712C" w:rsidRDefault="00F9712C" w:rsidP="00F9712C">
          <w:pPr>
            <w:pStyle w:val="p1"/>
            <w:numPr>
              <w:ilvl w:val="1"/>
              <w:numId w:val="88"/>
            </w:numPr>
            <w:tabs>
              <w:tab w:val="clear" w:pos="1440"/>
              <w:tab w:val="num" w:pos="1800"/>
            </w:tabs>
            <w:ind w:left="1800"/>
            <w:rPr>
              <w:rFonts w:ascii="Open Sans" w:hAnsi="Open Sans" w:cs="Open Sans"/>
              <w:sz w:val="20"/>
              <w:szCs w:val="20"/>
            </w:rPr>
          </w:pPr>
          <w:r w:rsidRPr="00F9712C">
            <w:rPr>
              <w:rFonts w:ascii="Open Sans" w:hAnsi="Open Sans" w:cs="Open Sans"/>
              <w:sz w:val="20"/>
              <w:szCs w:val="20"/>
            </w:rPr>
            <w:t>Ring 0: IT/admin pilot group</w:t>
          </w:r>
        </w:p>
        <w:p w14:paraId="6C0AFE62" w14:textId="77777777" w:rsidR="00F9712C" w:rsidRPr="00F9712C" w:rsidRDefault="00F9712C" w:rsidP="00F9712C">
          <w:pPr>
            <w:pStyle w:val="p1"/>
            <w:numPr>
              <w:ilvl w:val="1"/>
              <w:numId w:val="88"/>
            </w:numPr>
            <w:tabs>
              <w:tab w:val="clear" w:pos="1440"/>
              <w:tab w:val="num" w:pos="1800"/>
            </w:tabs>
            <w:ind w:left="1800"/>
            <w:rPr>
              <w:rFonts w:ascii="Open Sans" w:hAnsi="Open Sans" w:cs="Open Sans"/>
              <w:sz w:val="20"/>
              <w:szCs w:val="20"/>
            </w:rPr>
          </w:pPr>
          <w:r w:rsidRPr="00F9712C">
            <w:rPr>
              <w:rFonts w:ascii="Open Sans" w:hAnsi="Open Sans" w:cs="Open Sans"/>
              <w:sz w:val="20"/>
              <w:szCs w:val="20"/>
            </w:rPr>
            <w:t>Ring 1: Early adopters</w:t>
          </w:r>
        </w:p>
        <w:p w14:paraId="7CCDD9ED" w14:textId="77777777" w:rsidR="00F9712C" w:rsidRPr="00F9712C" w:rsidRDefault="00F9712C" w:rsidP="00F9712C">
          <w:pPr>
            <w:pStyle w:val="p1"/>
            <w:numPr>
              <w:ilvl w:val="1"/>
              <w:numId w:val="88"/>
            </w:numPr>
            <w:tabs>
              <w:tab w:val="clear" w:pos="1440"/>
              <w:tab w:val="num" w:pos="1800"/>
            </w:tabs>
            <w:ind w:left="1800"/>
            <w:rPr>
              <w:rFonts w:ascii="Open Sans" w:hAnsi="Open Sans" w:cs="Open Sans"/>
              <w:sz w:val="20"/>
              <w:szCs w:val="20"/>
            </w:rPr>
          </w:pPr>
          <w:r w:rsidRPr="00F9712C">
            <w:rPr>
              <w:rFonts w:ascii="Open Sans" w:hAnsi="Open Sans" w:cs="Open Sans"/>
              <w:sz w:val="20"/>
              <w:szCs w:val="20"/>
            </w:rPr>
            <w:t>Ring 2: Broad deployment</w:t>
          </w:r>
        </w:p>
        <w:p w14:paraId="002E61B2" w14:textId="77777777" w:rsidR="00F9712C" w:rsidRDefault="00F9712C" w:rsidP="00F9712C">
          <w:pPr>
            <w:pStyle w:val="p1"/>
            <w:numPr>
              <w:ilvl w:val="1"/>
              <w:numId w:val="88"/>
            </w:numPr>
            <w:tabs>
              <w:tab w:val="clear" w:pos="1440"/>
              <w:tab w:val="num" w:pos="1800"/>
            </w:tabs>
            <w:ind w:left="1800"/>
            <w:rPr>
              <w:rFonts w:ascii="Open Sans" w:hAnsi="Open Sans" w:cs="Open Sans"/>
              <w:sz w:val="20"/>
              <w:szCs w:val="20"/>
            </w:rPr>
          </w:pPr>
          <w:r w:rsidRPr="00F9712C">
            <w:rPr>
              <w:rFonts w:ascii="Open Sans" w:hAnsi="Open Sans" w:cs="Open Sans"/>
              <w:sz w:val="20"/>
              <w:szCs w:val="20"/>
            </w:rPr>
            <w:t>Ring 3: Late adopters or high-risk roles</w:t>
          </w:r>
        </w:p>
        <w:p w14:paraId="0BDB7146" w14:textId="1C1B1573" w:rsidR="00F9712C" w:rsidRDefault="00F9712C" w:rsidP="00F9712C">
          <w:pPr>
            <w:pStyle w:val="1ANumberedHeading3"/>
          </w:pPr>
          <w:r>
            <w:t>Resilience and Retry Logic</w:t>
          </w:r>
        </w:p>
        <w:p w14:paraId="231720E6" w14:textId="77777777" w:rsidR="00F9712C" w:rsidRPr="00F9712C" w:rsidRDefault="00F9712C" w:rsidP="00F9712C">
          <w:pPr>
            <w:pStyle w:val="p1"/>
            <w:ind w:left="709"/>
            <w:rPr>
              <w:rFonts w:ascii="Open Sans" w:hAnsi="Open Sans" w:cs="Open Sans"/>
              <w:sz w:val="20"/>
              <w:szCs w:val="20"/>
            </w:rPr>
          </w:pPr>
          <w:r w:rsidRPr="00F9712C">
            <w:rPr>
              <w:rFonts w:ascii="Open Sans" w:hAnsi="Open Sans" w:cs="Open Sans"/>
              <w:sz w:val="20"/>
              <w:szCs w:val="20"/>
            </w:rPr>
            <w:t>Intune includes built-in retry mechanisms, but organisations should plan for resilience:</w:t>
          </w:r>
        </w:p>
        <w:p w14:paraId="4955DDC3" w14:textId="77777777" w:rsidR="00F9712C" w:rsidRPr="00F9712C" w:rsidRDefault="00F9712C" w:rsidP="00F9712C">
          <w:pPr>
            <w:pStyle w:val="p1"/>
            <w:numPr>
              <w:ilvl w:val="0"/>
              <w:numId w:val="89"/>
            </w:numPr>
            <w:tabs>
              <w:tab w:val="clear" w:pos="720"/>
              <w:tab w:val="num" w:pos="1429"/>
            </w:tabs>
            <w:ind w:left="1429"/>
            <w:rPr>
              <w:rFonts w:ascii="Open Sans" w:hAnsi="Open Sans" w:cs="Open Sans"/>
              <w:sz w:val="20"/>
              <w:szCs w:val="20"/>
            </w:rPr>
          </w:pPr>
          <w:r w:rsidRPr="00F9712C">
            <w:rPr>
              <w:rFonts w:ascii="Open Sans" w:hAnsi="Open Sans" w:cs="Open Sans"/>
              <w:sz w:val="20"/>
              <w:szCs w:val="20"/>
            </w:rPr>
            <w:t xml:space="preserve">Ensure apps are marked as </w:t>
          </w:r>
          <w:r w:rsidRPr="00F9712C">
            <w:rPr>
              <w:rStyle w:val="s1"/>
              <w:rFonts w:ascii="Open Sans" w:eastAsiaTheme="majorEastAsia" w:hAnsi="Open Sans" w:cs="Open Sans"/>
              <w:b/>
              <w:bCs/>
              <w:sz w:val="20"/>
              <w:szCs w:val="20"/>
            </w:rPr>
            <w:t>required</w:t>
          </w:r>
          <w:r w:rsidRPr="00F9712C">
            <w:rPr>
              <w:rFonts w:ascii="Open Sans" w:hAnsi="Open Sans" w:cs="Open Sans"/>
              <w:sz w:val="20"/>
              <w:szCs w:val="20"/>
            </w:rPr>
            <w:t xml:space="preserve"> with retry enabled in case of temporary failure (e.g. offline device)</w:t>
          </w:r>
        </w:p>
        <w:p w14:paraId="7E29633E" w14:textId="77777777" w:rsidR="00F9712C" w:rsidRPr="00F9712C" w:rsidRDefault="00F9712C" w:rsidP="00F9712C">
          <w:pPr>
            <w:pStyle w:val="p1"/>
            <w:numPr>
              <w:ilvl w:val="0"/>
              <w:numId w:val="89"/>
            </w:numPr>
            <w:tabs>
              <w:tab w:val="clear" w:pos="720"/>
              <w:tab w:val="num" w:pos="1429"/>
            </w:tabs>
            <w:ind w:left="1429"/>
            <w:rPr>
              <w:rFonts w:ascii="Open Sans" w:hAnsi="Open Sans" w:cs="Open Sans"/>
              <w:sz w:val="20"/>
              <w:szCs w:val="20"/>
            </w:rPr>
          </w:pPr>
          <w:r w:rsidRPr="00F9712C">
            <w:rPr>
              <w:rFonts w:ascii="Open Sans" w:hAnsi="Open Sans" w:cs="Open Sans"/>
              <w:sz w:val="20"/>
              <w:szCs w:val="20"/>
            </w:rPr>
            <w:t xml:space="preserve">Monitor </w:t>
          </w:r>
          <w:r w:rsidRPr="00F9712C">
            <w:rPr>
              <w:rStyle w:val="s1"/>
              <w:rFonts w:ascii="Open Sans" w:eastAsiaTheme="majorEastAsia" w:hAnsi="Open Sans" w:cs="Open Sans"/>
              <w:b/>
              <w:bCs/>
              <w:sz w:val="20"/>
              <w:szCs w:val="20"/>
            </w:rPr>
            <w:t>install success/failure</w:t>
          </w:r>
          <w:r w:rsidRPr="00F9712C">
            <w:rPr>
              <w:rFonts w:ascii="Open Sans" w:hAnsi="Open Sans" w:cs="Open Sans"/>
              <w:sz w:val="20"/>
              <w:szCs w:val="20"/>
            </w:rPr>
            <w:t xml:space="preserve"> via Endpoint Manager reports</w:t>
          </w:r>
        </w:p>
        <w:p w14:paraId="14D146D3" w14:textId="77777777" w:rsidR="00F9712C" w:rsidRDefault="00F9712C" w:rsidP="00F9712C">
          <w:pPr>
            <w:pStyle w:val="p1"/>
            <w:numPr>
              <w:ilvl w:val="0"/>
              <w:numId w:val="89"/>
            </w:numPr>
            <w:tabs>
              <w:tab w:val="clear" w:pos="720"/>
              <w:tab w:val="num" w:pos="1429"/>
            </w:tabs>
            <w:ind w:left="1429"/>
            <w:rPr>
              <w:rFonts w:ascii="Open Sans" w:hAnsi="Open Sans" w:cs="Open Sans"/>
              <w:sz w:val="20"/>
              <w:szCs w:val="20"/>
            </w:rPr>
          </w:pPr>
          <w:r w:rsidRPr="00F9712C">
            <w:rPr>
              <w:rFonts w:ascii="Open Sans" w:hAnsi="Open Sans" w:cs="Open Sans"/>
              <w:sz w:val="20"/>
              <w:szCs w:val="20"/>
            </w:rPr>
            <w:t xml:space="preserve">Use </w:t>
          </w:r>
          <w:r w:rsidRPr="00F9712C">
            <w:rPr>
              <w:rStyle w:val="s1"/>
              <w:rFonts w:ascii="Open Sans" w:eastAsiaTheme="majorEastAsia" w:hAnsi="Open Sans" w:cs="Open Sans"/>
              <w:b/>
              <w:bCs/>
              <w:sz w:val="20"/>
              <w:szCs w:val="20"/>
            </w:rPr>
            <w:t>Proactive Remediations</w:t>
          </w:r>
          <w:r w:rsidRPr="00F9712C">
            <w:rPr>
              <w:rFonts w:ascii="Open Sans" w:hAnsi="Open Sans" w:cs="Open Sans"/>
              <w:sz w:val="20"/>
              <w:szCs w:val="20"/>
            </w:rPr>
            <w:t xml:space="preserve"> to validate app presence and re-install where necessary</w:t>
          </w:r>
        </w:p>
        <w:p w14:paraId="5174313F" w14:textId="07593D49" w:rsidR="00F9712C" w:rsidRDefault="00F9712C" w:rsidP="00F9712C">
          <w:pPr>
            <w:pStyle w:val="p1"/>
            <w:ind w:left="720"/>
            <w:rPr>
              <w:rFonts w:ascii="Open Sans" w:hAnsi="Open Sans" w:cs="Open Sans"/>
              <w:sz w:val="20"/>
              <w:szCs w:val="20"/>
            </w:rPr>
          </w:pPr>
          <w:r w:rsidRPr="00F9712C">
            <w:rPr>
              <w:rFonts w:ascii="Open Sans" w:hAnsi="Open Sans" w:cs="Open Sans"/>
              <w:sz w:val="20"/>
              <w:szCs w:val="20"/>
            </w:rPr>
            <w:t>This approach ensures that applications are delivered with high success rates, minimal end-user disruption, and with full visibility across the estate. By aligning deployment types to business need and automating where possible, IT teams can shift from reactive software installs to predictable, policy-driven application delivery.</w:t>
          </w:r>
        </w:p>
        <w:p w14:paraId="21DE043D" w14:textId="1BF0D9F7" w:rsidR="00F9712C" w:rsidRDefault="00F9712C" w:rsidP="00F9712C">
          <w:pPr>
            <w:pStyle w:val="1ANumberedHeading2"/>
          </w:pPr>
          <w:r>
            <w:t>Application Compatibility Considerations</w:t>
          </w:r>
        </w:p>
        <w:p w14:paraId="55D15D47" w14:textId="77777777" w:rsidR="00F9712C" w:rsidRDefault="00F9712C" w:rsidP="00F9712C">
          <w:pPr>
            <w:pStyle w:val="1ABodyTextLevel2"/>
          </w:pPr>
          <w:r>
            <w:t>Modern desktop environments, particularly those built on Entra ID join and Intune, may surface compatibility challenges with older applications developed for domain-joined, LAN-dependent environments.</w:t>
          </w:r>
        </w:p>
        <w:p w14:paraId="5BF46101" w14:textId="77777777" w:rsidR="00F9712C" w:rsidRPr="00F9712C" w:rsidRDefault="00F9712C" w:rsidP="00F9712C">
          <w:pPr>
            <w:pStyle w:val="1ABodyTextLevel2"/>
            <w:rPr>
              <w:b/>
              <w:bCs/>
              <w:color w:val="F37720" w:themeColor="accent1"/>
            </w:rPr>
          </w:pPr>
        </w:p>
        <w:p w14:paraId="06134E1E" w14:textId="493A5900" w:rsidR="00F9712C" w:rsidRDefault="00F9712C" w:rsidP="00F9712C">
          <w:pPr>
            <w:pStyle w:val="1ABodyTextLevel2"/>
            <w:rPr>
              <w:b/>
              <w:bCs/>
              <w:color w:val="F37720" w:themeColor="accent1"/>
            </w:rPr>
          </w:pPr>
          <w:r w:rsidRPr="00F9712C">
            <w:rPr>
              <w:b/>
              <w:bCs/>
              <w:color w:val="F37720" w:themeColor="accent1"/>
            </w:rPr>
            <w:t>Common Compatibility Issues</w:t>
          </w:r>
        </w:p>
        <w:tbl>
          <w:tblPr>
            <w:tblStyle w:val="TableGrid"/>
            <w:tblW w:w="8489" w:type="dxa"/>
            <w:tblInd w:w="720" w:type="dxa"/>
            <w:tblLook w:val="04A0" w:firstRow="1" w:lastRow="0" w:firstColumn="1" w:lastColumn="0" w:noHBand="0" w:noVBand="1"/>
          </w:tblPr>
          <w:tblGrid>
            <w:gridCol w:w="2495"/>
            <w:gridCol w:w="5994"/>
          </w:tblGrid>
          <w:tr w:rsidR="00F9712C" w14:paraId="132B8010" w14:textId="77777777" w:rsidTr="00F9712C">
            <w:tc>
              <w:tcPr>
                <w:tcW w:w="2495" w:type="dxa"/>
              </w:tcPr>
              <w:p w14:paraId="5AEDEA47" w14:textId="7FEEEA9F" w:rsidR="00F9712C" w:rsidRPr="00F9712C" w:rsidRDefault="00F9712C" w:rsidP="00F9712C">
                <w:pPr>
                  <w:pStyle w:val="1ABodyTextLevel2"/>
                  <w:ind w:left="0"/>
                  <w:rPr>
                    <w:b/>
                    <w:bCs/>
                    <w:color w:val="F37720" w:themeColor="accent1"/>
                  </w:rPr>
                </w:pPr>
                <w:r w:rsidRPr="00F9712C">
                  <w:rPr>
                    <w:b/>
                    <w:bCs/>
                    <w:color w:val="F37720" w:themeColor="accent1"/>
                  </w:rPr>
                  <w:t>Compatibility Area</w:t>
                </w:r>
              </w:p>
            </w:tc>
            <w:tc>
              <w:tcPr>
                <w:tcW w:w="5994" w:type="dxa"/>
              </w:tcPr>
              <w:p w14:paraId="7441962F" w14:textId="0BABC509" w:rsidR="00F9712C" w:rsidRPr="00F9712C" w:rsidRDefault="00F9712C" w:rsidP="00F9712C">
                <w:pPr>
                  <w:pStyle w:val="1ABodyTextLevel2"/>
                  <w:ind w:left="0"/>
                  <w:rPr>
                    <w:b/>
                    <w:bCs/>
                    <w:color w:val="F37720" w:themeColor="accent1"/>
                  </w:rPr>
                </w:pPr>
                <w:r w:rsidRPr="00F9712C">
                  <w:rPr>
                    <w:b/>
                    <w:bCs/>
                    <w:color w:val="F37720" w:themeColor="accent1"/>
                  </w:rPr>
                  <w:t>Examples</w:t>
                </w:r>
              </w:p>
            </w:tc>
          </w:tr>
          <w:tr w:rsidR="00F9712C" w14:paraId="1D20D90D" w14:textId="77777777" w:rsidTr="00F9712C">
            <w:tc>
              <w:tcPr>
                <w:tcW w:w="2495" w:type="dxa"/>
              </w:tcPr>
              <w:p w14:paraId="06DCAA60" w14:textId="57B293B4" w:rsidR="00F9712C" w:rsidRDefault="00F9712C" w:rsidP="00F9712C">
                <w:pPr>
                  <w:pStyle w:val="1ABodyTextLevel2"/>
                  <w:ind w:left="0"/>
                  <w:rPr>
                    <w:b/>
                    <w:bCs/>
                    <w:color w:val="F37720" w:themeColor="accent1"/>
                  </w:rPr>
                </w:pPr>
                <w:r>
                  <w:rPr>
                    <w:b/>
                    <w:bCs/>
                  </w:rPr>
                  <w:lastRenderedPageBreak/>
                  <w:t>Authentication</w:t>
                </w:r>
              </w:p>
            </w:tc>
            <w:tc>
              <w:tcPr>
                <w:tcW w:w="5994" w:type="dxa"/>
              </w:tcPr>
              <w:p w14:paraId="5A80E011" w14:textId="78D94B63" w:rsidR="00F9712C" w:rsidRDefault="00F9712C" w:rsidP="00F9712C">
                <w:pPr>
                  <w:pStyle w:val="1ABodyTextLevel2"/>
                  <w:ind w:left="0"/>
                  <w:rPr>
                    <w:b/>
                    <w:bCs/>
                    <w:color w:val="F37720" w:themeColor="accent1"/>
                  </w:rPr>
                </w:pPr>
                <w:r>
                  <w:t xml:space="preserve">Apps requiring </w:t>
                </w:r>
                <w:r>
                  <w:rPr>
                    <w:rStyle w:val="s1"/>
                    <w:b/>
                    <w:bCs/>
                  </w:rPr>
                  <w:t>Kerberos or NTLM</w:t>
                </w:r>
                <w:r>
                  <w:t xml:space="preserve"> authentication via domain join may fail on Entra ID-joined devices.</w:t>
                </w:r>
              </w:p>
            </w:tc>
          </w:tr>
          <w:tr w:rsidR="00F9712C" w14:paraId="2D87CD2F" w14:textId="77777777" w:rsidTr="00F9712C">
            <w:tc>
              <w:tcPr>
                <w:tcW w:w="2495" w:type="dxa"/>
              </w:tcPr>
              <w:p w14:paraId="10337848" w14:textId="432DFD7D" w:rsidR="00F9712C" w:rsidRDefault="00F9712C" w:rsidP="00F9712C">
                <w:pPr>
                  <w:pStyle w:val="1ABodyTextLevel2"/>
                  <w:ind w:left="0"/>
                  <w:rPr>
                    <w:b/>
                    <w:bCs/>
                    <w:color w:val="F37720" w:themeColor="accent1"/>
                  </w:rPr>
                </w:pPr>
                <w:r>
                  <w:rPr>
                    <w:b/>
                    <w:bCs/>
                  </w:rPr>
                  <w:t>Network Dependency</w:t>
                </w:r>
              </w:p>
            </w:tc>
            <w:tc>
              <w:tcPr>
                <w:tcW w:w="5994" w:type="dxa"/>
              </w:tcPr>
              <w:p w14:paraId="219A0A3F" w14:textId="56628D3C" w:rsidR="00F9712C" w:rsidRDefault="00F9712C" w:rsidP="00F9712C">
                <w:pPr>
                  <w:pStyle w:val="1ABodyTextLevel2"/>
                  <w:ind w:left="0"/>
                  <w:rPr>
                    <w:b/>
                    <w:bCs/>
                    <w:color w:val="F37720" w:themeColor="accent1"/>
                  </w:rPr>
                </w:pPr>
                <w:r>
                  <w:t>Hard-coded references to on-prem servers, mapped drives, or file shares.</w:t>
                </w:r>
              </w:p>
            </w:tc>
          </w:tr>
          <w:tr w:rsidR="00F9712C" w14:paraId="539445DE" w14:textId="77777777" w:rsidTr="00F9712C">
            <w:tc>
              <w:tcPr>
                <w:tcW w:w="2495" w:type="dxa"/>
              </w:tcPr>
              <w:p w14:paraId="4DD743B0" w14:textId="1DD1150F" w:rsidR="00F9712C" w:rsidRDefault="00F9712C" w:rsidP="00F9712C">
                <w:pPr>
                  <w:pStyle w:val="1ABodyTextLevel2"/>
                  <w:ind w:left="0"/>
                  <w:rPr>
                    <w:b/>
                    <w:bCs/>
                    <w:color w:val="F37720" w:themeColor="accent1"/>
                  </w:rPr>
                </w:pPr>
                <w:r>
                  <w:rPr>
                    <w:b/>
                    <w:bCs/>
                  </w:rPr>
                  <w:t>Privileges</w:t>
                </w:r>
              </w:p>
            </w:tc>
            <w:tc>
              <w:tcPr>
                <w:tcW w:w="5994" w:type="dxa"/>
              </w:tcPr>
              <w:p w14:paraId="564C98F1" w14:textId="7921A741" w:rsidR="00F9712C" w:rsidRDefault="00F9712C" w:rsidP="00F9712C">
                <w:pPr>
                  <w:pStyle w:val="1ABodyTextLevel2"/>
                  <w:ind w:left="0"/>
                  <w:rPr>
                    <w:b/>
                    <w:bCs/>
                    <w:color w:val="F37720" w:themeColor="accent1"/>
                  </w:rPr>
                </w:pPr>
                <w:r>
                  <w:t xml:space="preserve">Applications requiring </w:t>
                </w:r>
                <w:r>
                  <w:rPr>
                    <w:rStyle w:val="s1"/>
                    <w:b/>
                    <w:bCs/>
                  </w:rPr>
                  <w:t>local admin rights</w:t>
                </w:r>
                <w:r>
                  <w:t xml:space="preserve"> or that attempt to write to protected areas (e.g. Program Files).</w:t>
                </w:r>
              </w:p>
            </w:tc>
          </w:tr>
          <w:tr w:rsidR="00F9712C" w14:paraId="59F24575" w14:textId="77777777" w:rsidTr="00F9712C">
            <w:tc>
              <w:tcPr>
                <w:tcW w:w="2495" w:type="dxa"/>
              </w:tcPr>
              <w:p w14:paraId="7A493A33" w14:textId="1B1A5B68" w:rsidR="00F9712C" w:rsidRDefault="00F9712C" w:rsidP="00F9712C">
                <w:pPr>
                  <w:pStyle w:val="1ABodyTextLevel2"/>
                  <w:ind w:left="0"/>
                  <w:rPr>
                    <w:b/>
                    <w:bCs/>
                    <w:color w:val="F37720" w:themeColor="accent1"/>
                  </w:rPr>
                </w:pPr>
                <w:r>
                  <w:rPr>
                    <w:b/>
                    <w:bCs/>
                  </w:rPr>
                  <w:t>OS Compatibility</w:t>
                </w:r>
              </w:p>
            </w:tc>
            <w:tc>
              <w:tcPr>
                <w:tcW w:w="5994" w:type="dxa"/>
              </w:tcPr>
              <w:p w14:paraId="664AAD96" w14:textId="5D3162BF" w:rsidR="00F9712C" w:rsidRDefault="00F9712C" w:rsidP="00F9712C">
                <w:pPr>
                  <w:pStyle w:val="1ABodyTextLevel2"/>
                  <w:ind w:left="0"/>
                  <w:rPr>
                    <w:b/>
                    <w:bCs/>
                    <w:color w:val="F37720" w:themeColor="accent1"/>
                  </w:rPr>
                </w:pPr>
                <w:r>
                  <w:t>16-bit or 32-bit legacy apps incompatible with Windows 11 or modern hardware.</w:t>
                </w:r>
              </w:p>
            </w:tc>
          </w:tr>
          <w:tr w:rsidR="00F9712C" w14:paraId="4A5E678D" w14:textId="77777777" w:rsidTr="00F9712C">
            <w:tc>
              <w:tcPr>
                <w:tcW w:w="2495" w:type="dxa"/>
              </w:tcPr>
              <w:p w14:paraId="3E5F7DE9" w14:textId="4AA61B8B" w:rsidR="00F9712C" w:rsidRDefault="00F9712C" w:rsidP="00F9712C">
                <w:pPr>
                  <w:pStyle w:val="1ABodyTextLevel2"/>
                  <w:ind w:left="0"/>
                  <w:rPr>
                    <w:b/>
                    <w:bCs/>
                    <w:color w:val="F37720" w:themeColor="accent1"/>
                  </w:rPr>
                </w:pPr>
                <w:r>
                  <w:rPr>
                    <w:b/>
                    <w:bCs/>
                  </w:rPr>
                  <w:t>User Profile Handling</w:t>
                </w:r>
              </w:p>
            </w:tc>
            <w:tc>
              <w:tcPr>
                <w:tcW w:w="5994" w:type="dxa"/>
              </w:tcPr>
              <w:p w14:paraId="706E1667" w14:textId="617B7B63" w:rsidR="00F9712C" w:rsidRDefault="00F9712C" w:rsidP="00F9712C">
                <w:pPr>
                  <w:pStyle w:val="1ABodyTextLevel2"/>
                  <w:ind w:left="0"/>
                  <w:rPr>
                    <w:b/>
                    <w:bCs/>
                    <w:color w:val="F37720" w:themeColor="accent1"/>
                  </w:rPr>
                </w:pPr>
                <w:r>
                  <w:t xml:space="preserve">Apps writing to specific user profile paths (e.g. </w:t>
                </w:r>
                <w:r>
                  <w:rPr>
                    <w:rStyle w:val="s1"/>
                  </w:rPr>
                  <w:t>C:\Users\&lt;username&gt;\AppData</w:t>
                </w:r>
                <w:r>
                  <w:t>) without multi-user support.</w:t>
                </w:r>
              </w:p>
            </w:tc>
          </w:tr>
        </w:tbl>
        <w:p w14:paraId="3264C58E" w14:textId="77777777" w:rsidR="00F9712C" w:rsidRPr="00F9712C" w:rsidRDefault="00F9712C" w:rsidP="00F9712C">
          <w:pPr>
            <w:pStyle w:val="Heading4"/>
            <w:ind w:firstLine="360"/>
            <w:rPr>
              <w:rFonts w:ascii="Open Sans" w:hAnsi="Open Sans" w:cs="Open Sans"/>
              <w:color w:val="F37720" w:themeColor="accent1"/>
              <w:sz w:val="20"/>
              <w:szCs w:val="20"/>
            </w:rPr>
          </w:pPr>
          <w:r w:rsidRPr="00F9712C">
            <w:rPr>
              <w:rFonts w:ascii="Open Sans" w:hAnsi="Open Sans" w:cs="Open Sans"/>
              <w:color w:val="F37720" w:themeColor="accent1"/>
              <w:sz w:val="20"/>
              <w:szCs w:val="20"/>
            </w:rPr>
            <w:t>Remediation Strategies</w:t>
          </w:r>
        </w:p>
        <w:p w14:paraId="5EFBB81E" w14:textId="77777777" w:rsidR="00F9712C" w:rsidRPr="00F9712C" w:rsidRDefault="00F9712C" w:rsidP="00F9712C">
          <w:pPr>
            <w:pStyle w:val="p1"/>
            <w:numPr>
              <w:ilvl w:val="0"/>
              <w:numId w:val="90"/>
            </w:numPr>
            <w:rPr>
              <w:rFonts w:ascii="Open Sans" w:hAnsi="Open Sans" w:cs="Open Sans"/>
              <w:sz w:val="20"/>
              <w:szCs w:val="20"/>
            </w:rPr>
          </w:pPr>
          <w:r w:rsidRPr="00F9712C">
            <w:rPr>
              <w:rStyle w:val="s1"/>
              <w:rFonts w:ascii="Open Sans" w:eastAsiaTheme="majorEastAsia" w:hAnsi="Open Sans" w:cs="Open Sans"/>
              <w:b/>
              <w:bCs/>
              <w:sz w:val="20"/>
              <w:szCs w:val="20"/>
            </w:rPr>
            <w:t>Refactor</w:t>
          </w:r>
          <w:r w:rsidRPr="00F9712C">
            <w:rPr>
              <w:rFonts w:ascii="Open Sans" w:hAnsi="Open Sans" w:cs="Open Sans"/>
              <w:sz w:val="20"/>
              <w:szCs w:val="20"/>
            </w:rPr>
            <w:t>: Work with internal dev teams or vendors to update hardcoded elements or switch to cloud-compatible authentication.</w:t>
          </w:r>
        </w:p>
        <w:p w14:paraId="79D34770" w14:textId="77777777" w:rsidR="00F9712C" w:rsidRPr="00F9712C" w:rsidRDefault="00F9712C" w:rsidP="00F9712C">
          <w:pPr>
            <w:pStyle w:val="p1"/>
            <w:numPr>
              <w:ilvl w:val="0"/>
              <w:numId w:val="90"/>
            </w:numPr>
            <w:rPr>
              <w:rFonts w:ascii="Open Sans" w:hAnsi="Open Sans" w:cs="Open Sans"/>
              <w:sz w:val="20"/>
              <w:szCs w:val="20"/>
            </w:rPr>
          </w:pPr>
          <w:r w:rsidRPr="00F9712C">
            <w:rPr>
              <w:rStyle w:val="s1"/>
              <w:rFonts w:ascii="Open Sans" w:eastAsiaTheme="majorEastAsia" w:hAnsi="Open Sans" w:cs="Open Sans"/>
              <w:b/>
              <w:bCs/>
              <w:sz w:val="20"/>
              <w:szCs w:val="20"/>
            </w:rPr>
            <w:t>Application Proxy</w:t>
          </w:r>
          <w:r w:rsidRPr="00F9712C">
            <w:rPr>
              <w:rFonts w:ascii="Open Sans" w:hAnsi="Open Sans" w:cs="Open Sans"/>
              <w:sz w:val="20"/>
              <w:szCs w:val="20"/>
            </w:rPr>
            <w:t xml:space="preserve">: For internal web apps, use </w:t>
          </w:r>
          <w:r w:rsidRPr="00F9712C">
            <w:rPr>
              <w:rStyle w:val="s1"/>
              <w:rFonts w:ascii="Open Sans" w:eastAsiaTheme="majorEastAsia" w:hAnsi="Open Sans" w:cs="Open Sans"/>
              <w:b/>
              <w:bCs/>
              <w:sz w:val="20"/>
              <w:szCs w:val="20"/>
            </w:rPr>
            <w:t>Entra ID Application Proxy</w:t>
          </w:r>
          <w:r w:rsidRPr="00F9712C">
            <w:rPr>
              <w:rFonts w:ascii="Open Sans" w:hAnsi="Open Sans" w:cs="Open Sans"/>
              <w:sz w:val="20"/>
              <w:szCs w:val="20"/>
            </w:rPr>
            <w:t xml:space="preserve"> to publish them securely for modern clients.</w:t>
          </w:r>
        </w:p>
        <w:p w14:paraId="39688D26" w14:textId="77777777" w:rsidR="00F9712C" w:rsidRPr="00F9712C" w:rsidRDefault="00F9712C" w:rsidP="00F9712C">
          <w:pPr>
            <w:pStyle w:val="p1"/>
            <w:numPr>
              <w:ilvl w:val="0"/>
              <w:numId w:val="90"/>
            </w:numPr>
            <w:rPr>
              <w:rFonts w:ascii="Open Sans" w:hAnsi="Open Sans" w:cs="Open Sans"/>
              <w:sz w:val="20"/>
              <w:szCs w:val="20"/>
            </w:rPr>
          </w:pPr>
          <w:r w:rsidRPr="00F9712C">
            <w:rPr>
              <w:rStyle w:val="s1"/>
              <w:rFonts w:ascii="Open Sans" w:eastAsiaTheme="majorEastAsia" w:hAnsi="Open Sans" w:cs="Open Sans"/>
              <w:b/>
              <w:bCs/>
              <w:sz w:val="20"/>
              <w:szCs w:val="20"/>
            </w:rPr>
            <w:t>VPN or Conditional Access</w:t>
          </w:r>
          <w:r w:rsidRPr="00F9712C">
            <w:rPr>
              <w:rFonts w:ascii="Open Sans" w:hAnsi="Open Sans" w:cs="Open Sans"/>
              <w:sz w:val="20"/>
              <w:szCs w:val="20"/>
            </w:rPr>
            <w:t xml:space="preserve">: Maintain minimal VPN access or define </w:t>
          </w:r>
          <w:r w:rsidRPr="00F9712C">
            <w:rPr>
              <w:rStyle w:val="s1"/>
              <w:rFonts w:ascii="Open Sans" w:eastAsiaTheme="majorEastAsia" w:hAnsi="Open Sans" w:cs="Open Sans"/>
              <w:b/>
              <w:bCs/>
              <w:sz w:val="20"/>
              <w:szCs w:val="20"/>
            </w:rPr>
            <w:t>Conditional Access policies</w:t>
          </w:r>
          <w:r w:rsidRPr="00F9712C">
            <w:rPr>
              <w:rFonts w:ascii="Open Sans" w:hAnsi="Open Sans" w:cs="Open Sans"/>
              <w:sz w:val="20"/>
              <w:szCs w:val="20"/>
            </w:rPr>
            <w:t xml:space="preserve"> to allow fallback connectivity for transitional apps.</w:t>
          </w:r>
        </w:p>
        <w:p w14:paraId="7AFBAF36" w14:textId="77777777" w:rsidR="00F9712C" w:rsidRPr="00F9712C" w:rsidRDefault="00F9712C" w:rsidP="00F9712C">
          <w:pPr>
            <w:pStyle w:val="p1"/>
            <w:numPr>
              <w:ilvl w:val="0"/>
              <w:numId w:val="90"/>
            </w:numPr>
            <w:rPr>
              <w:rFonts w:ascii="Open Sans" w:hAnsi="Open Sans" w:cs="Open Sans"/>
              <w:sz w:val="20"/>
              <w:szCs w:val="20"/>
            </w:rPr>
          </w:pPr>
          <w:r w:rsidRPr="00F9712C">
            <w:rPr>
              <w:rStyle w:val="s1"/>
              <w:rFonts w:ascii="Open Sans" w:eastAsiaTheme="majorEastAsia" w:hAnsi="Open Sans" w:cs="Open Sans"/>
              <w:b/>
              <w:bCs/>
              <w:sz w:val="20"/>
              <w:szCs w:val="20"/>
            </w:rPr>
            <w:t>Alternate Delivery</w:t>
          </w:r>
          <w:r w:rsidRPr="00F9712C">
            <w:rPr>
              <w:rFonts w:ascii="Open Sans" w:hAnsi="Open Sans" w:cs="Open Sans"/>
              <w:sz w:val="20"/>
              <w:szCs w:val="20"/>
            </w:rPr>
            <w:t xml:space="preserve">: Use </w:t>
          </w:r>
          <w:r w:rsidRPr="00F9712C">
            <w:rPr>
              <w:rStyle w:val="s1"/>
              <w:rFonts w:ascii="Open Sans" w:eastAsiaTheme="majorEastAsia" w:hAnsi="Open Sans" w:cs="Open Sans"/>
              <w:b/>
              <w:bCs/>
              <w:sz w:val="20"/>
              <w:szCs w:val="20"/>
            </w:rPr>
            <w:t>Azure Virtual Desktop (AVD)</w:t>
          </w:r>
          <w:r w:rsidRPr="00F9712C">
            <w:rPr>
              <w:rFonts w:ascii="Open Sans" w:hAnsi="Open Sans" w:cs="Open Sans"/>
              <w:sz w:val="20"/>
              <w:szCs w:val="20"/>
            </w:rPr>
            <w:t xml:space="preserve"> or </w:t>
          </w:r>
          <w:r w:rsidRPr="00F9712C">
            <w:rPr>
              <w:rStyle w:val="s1"/>
              <w:rFonts w:ascii="Open Sans" w:eastAsiaTheme="majorEastAsia" w:hAnsi="Open Sans" w:cs="Open Sans"/>
              <w:b/>
              <w:bCs/>
              <w:sz w:val="20"/>
              <w:szCs w:val="20"/>
            </w:rPr>
            <w:t>Cloud PCs</w:t>
          </w:r>
          <w:r w:rsidRPr="00F9712C">
            <w:rPr>
              <w:rFonts w:ascii="Open Sans" w:hAnsi="Open Sans" w:cs="Open Sans"/>
              <w:sz w:val="20"/>
              <w:szCs w:val="20"/>
            </w:rPr>
            <w:t xml:space="preserve"> for apps that cannot be </w:t>
          </w:r>
          <w:proofErr w:type="spellStart"/>
          <w:r w:rsidRPr="00F9712C">
            <w:rPr>
              <w:rFonts w:ascii="Open Sans" w:hAnsi="Open Sans" w:cs="Open Sans"/>
              <w:sz w:val="20"/>
              <w:szCs w:val="20"/>
            </w:rPr>
            <w:t>replatformed</w:t>
          </w:r>
          <w:proofErr w:type="spellEnd"/>
          <w:r w:rsidRPr="00F9712C">
            <w:rPr>
              <w:rFonts w:ascii="Open Sans" w:hAnsi="Open Sans" w:cs="Open Sans"/>
              <w:sz w:val="20"/>
              <w:szCs w:val="20"/>
            </w:rPr>
            <w:t xml:space="preserve"> immediately.</w:t>
          </w:r>
        </w:p>
        <w:p w14:paraId="247DA49A" w14:textId="77777777" w:rsidR="00F9712C" w:rsidRDefault="00F9712C" w:rsidP="00F9712C">
          <w:pPr>
            <w:pStyle w:val="p1"/>
            <w:numPr>
              <w:ilvl w:val="0"/>
              <w:numId w:val="90"/>
            </w:numPr>
            <w:rPr>
              <w:rFonts w:ascii="Open Sans" w:hAnsi="Open Sans" w:cs="Open Sans"/>
              <w:sz w:val="20"/>
              <w:szCs w:val="20"/>
            </w:rPr>
          </w:pPr>
          <w:r w:rsidRPr="00F9712C">
            <w:rPr>
              <w:rStyle w:val="s1"/>
              <w:rFonts w:ascii="Open Sans" w:eastAsiaTheme="majorEastAsia" w:hAnsi="Open Sans" w:cs="Open Sans"/>
              <w:b/>
              <w:bCs/>
              <w:sz w:val="20"/>
              <w:szCs w:val="20"/>
            </w:rPr>
            <w:t>Run as Admin</w:t>
          </w:r>
          <w:r w:rsidRPr="00F9712C">
            <w:rPr>
              <w:rFonts w:ascii="Open Sans" w:hAnsi="Open Sans" w:cs="Open Sans"/>
              <w:sz w:val="20"/>
              <w:szCs w:val="20"/>
            </w:rPr>
            <w:t xml:space="preserve">: Where </w:t>
          </w:r>
          <w:proofErr w:type="gramStart"/>
          <w:r w:rsidRPr="00F9712C">
            <w:rPr>
              <w:rFonts w:ascii="Open Sans" w:hAnsi="Open Sans" w:cs="Open Sans"/>
              <w:sz w:val="20"/>
              <w:szCs w:val="20"/>
            </w:rPr>
            <w:t>absolutely necessary</w:t>
          </w:r>
          <w:proofErr w:type="gramEnd"/>
          <w:r w:rsidRPr="00F9712C">
            <w:rPr>
              <w:rFonts w:ascii="Open Sans" w:hAnsi="Open Sans" w:cs="Open Sans"/>
              <w:sz w:val="20"/>
              <w:szCs w:val="20"/>
            </w:rPr>
            <w:t xml:space="preserve">, deploy apps using Intune’s </w:t>
          </w:r>
          <w:r w:rsidRPr="00F9712C">
            <w:rPr>
              <w:rStyle w:val="s1"/>
              <w:rFonts w:ascii="Open Sans" w:eastAsiaTheme="majorEastAsia" w:hAnsi="Open Sans" w:cs="Open Sans"/>
              <w:b/>
              <w:bCs/>
              <w:sz w:val="20"/>
              <w:szCs w:val="20"/>
            </w:rPr>
            <w:t>install context elevation</w:t>
          </w:r>
          <w:r w:rsidRPr="00F9712C">
            <w:rPr>
              <w:rFonts w:ascii="Open Sans" w:hAnsi="Open Sans" w:cs="Open Sans"/>
              <w:sz w:val="20"/>
              <w:szCs w:val="20"/>
            </w:rPr>
            <w:t>, and consider endpoint privilege management (e.g. Just-in-Time elevation or integration with LAPS).</w:t>
          </w:r>
        </w:p>
        <w:p w14:paraId="39BB6D24" w14:textId="31BFC259" w:rsidR="00F9712C" w:rsidRDefault="00F9712C" w:rsidP="00F9712C">
          <w:pPr>
            <w:pStyle w:val="1ANumberedHeading2"/>
          </w:pPr>
          <w:r>
            <w:t>Summary</w:t>
          </w:r>
        </w:p>
        <w:p w14:paraId="64D87150" w14:textId="0AE4273D" w:rsidR="00F9712C" w:rsidRPr="00F9712C" w:rsidRDefault="00F9712C" w:rsidP="00F9712C">
          <w:pPr>
            <w:pStyle w:val="p1"/>
            <w:ind w:left="567"/>
            <w:rPr>
              <w:rFonts w:ascii="Open Sans" w:hAnsi="Open Sans" w:cs="Open Sans"/>
              <w:sz w:val="20"/>
              <w:szCs w:val="20"/>
            </w:rPr>
          </w:pPr>
          <w:r w:rsidRPr="00F9712C">
            <w:rPr>
              <w:rFonts w:ascii="Open Sans" w:hAnsi="Open Sans" w:cs="Open Sans"/>
              <w:sz w:val="20"/>
              <w:szCs w:val="20"/>
            </w:rPr>
            <w:t>Modernising the application estate is a foundational pillar of the Modern Desktop journey. It involves more than simply repackaging apps — it requires rethinking how applications are discovered, delivered, secured, and maintained in a cloud-first world.</w:t>
          </w:r>
        </w:p>
        <w:p w14:paraId="5E7FFE46" w14:textId="77777777" w:rsidR="00F9712C" w:rsidRPr="00F9712C" w:rsidRDefault="00F9712C" w:rsidP="00F9712C">
          <w:pPr>
            <w:pStyle w:val="p1"/>
            <w:ind w:left="567"/>
            <w:rPr>
              <w:rFonts w:ascii="Open Sans" w:hAnsi="Open Sans" w:cs="Open Sans"/>
              <w:sz w:val="20"/>
              <w:szCs w:val="20"/>
            </w:rPr>
          </w:pPr>
          <w:r w:rsidRPr="00F9712C">
            <w:rPr>
              <w:rFonts w:ascii="Open Sans" w:hAnsi="Open Sans" w:cs="Open Sans"/>
              <w:sz w:val="20"/>
              <w:szCs w:val="20"/>
            </w:rPr>
            <w:t>This section outlines a complete approach to:</w:t>
          </w:r>
        </w:p>
        <w:p w14:paraId="6F4AB911" w14:textId="77777777" w:rsidR="00F9712C" w:rsidRPr="00F9712C" w:rsidRDefault="00F9712C" w:rsidP="00F9712C">
          <w:pPr>
            <w:pStyle w:val="p1"/>
            <w:numPr>
              <w:ilvl w:val="0"/>
              <w:numId w:val="91"/>
            </w:numPr>
            <w:tabs>
              <w:tab w:val="clear" w:pos="720"/>
              <w:tab w:val="num" w:pos="1287"/>
            </w:tabs>
            <w:ind w:left="1287"/>
            <w:rPr>
              <w:rFonts w:ascii="Open Sans" w:hAnsi="Open Sans" w:cs="Open Sans"/>
              <w:sz w:val="20"/>
              <w:szCs w:val="20"/>
            </w:rPr>
          </w:pPr>
          <w:r w:rsidRPr="00F9712C">
            <w:rPr>
              <w:rFonts w:ascii="Open Sans" w:hAnsi="Open Sans" w:cs="Open Sans"/>
              <w:sz w:val="20"/>
              <w:szCs w:val="20"/>
            </w:rPr>
            <w:t>Audit and rationalise existing applications, removing legacy dependencies and redundant tools</w:t>
          </w:r>
        </w:p>
        <w:p w14:paraId="20AAA1C3" w14:textId="77777777" w:rsidR="00F9712C" w:rsidRPr="00F9712C" w:rsidRDefault="00F9712C" w:rsidP="00F9712C">
          <w:pPr>
            <w:pStyle w:val="p1"/>
            <w:numPr>
              <w:ilvl w:val="0"/>
              <w:numId w:val="91"/>
            </w:numPr>
            <w:tabs>
              <w:tab w:val="clear" w:pos="720"/>
              <w:tab w:val="num" w:pos="1287"/>
            </w:tabs>
            <w:ind w:left="1287"/>
            <w:rPr>
              <w:rFonts w:ascii="Open Sans" w:hAnsi="Open Sans" w:cs="Open Sans"/>
              <w:sz w:val="20"/>
              <w:szCs w:val="20"/>
            </w:rPr>
          </w:pPr>
          <w:r w:rsidRPr="00F9712C">
            <w:rPr>
              <w:rFonts w:ascii="Open Sans" w:hAnsi="Open Sans" w:cs="Open Sans"/>
              <w:sz w:val="20"/>
              <w:szCs w:val="20"/>
            </w:rPr>
            <w:t xml:space="preserve">Repackage applications using modern formats like </w:t>
          </w:r>
          <w:r w:rsidRPr="00F9712C">
            <w:rPr>
              <w:rStyle w:val="s1"/>
              <w:rFonts w:ascii="Open Sans" w:hAnsi="Open Sans" w:cs="Open Sans"/>
              <w:b/>
              <w:bCs/>
              <w:sz w:val="20"/>
              <w:szCs w:val="20"/>
            </w:rPr>
            <w:t xml:space="preserve">Win32 </w:t>
          </w:r>
          <w:proofErr w:type="gramStart"/>
          <w:r w:rsidRPr="00F9712C">
            <w:rPr>
              <w:rStyle w:val="s1"/>
              <w:rFonts w:ascii="Open Sans" w:hAnsi="Open Sans" w:cs="Open Sans"/>
              <w:b/>
              <w:bCs/>
              <w:sz w:val="20"/>
              <w:szCs w:val="20"/>
            </w:rPr>
            <w:t>(.</w:t>
          </w:r>
          <w:proofErr w:type="spellStart"/>
          <w:r w:rsidRPr="00F9712C">
            <w:rPr>
              <w:rStyle w:val="s1"/>
              <w:rFonts w:ascii="Open Sans" w:hAnsi="Open Sans" w:cs="Open Sans"/>
              <w:b/>
              <w:bCs/>
              <w:sz w:val="20"/>
              <w:szCs w:val="20"/>
            </w:rPr>
            <w:t>intunewin</w:t>
          </w:r>
          <w:proofErr w:type="spellEnd"/>
          <w:proofErr w:type="gramEnd"/>
          <w:r w:rsidRPr="00F9712C">
            <w:rPr>
              <w:rStyle w:val="s1"/>
              <w:rFonts w:ascii="Open Sans" w:hAnsi="Open Sans" w:cs="Open Sans"/>
              <w:b/>
              <w:bCs/>
              <w:sz w:val="20"/>
              <w:szCs w:val="20"/>
            </w:rPr>
            <w:t>)</w:t>
          </w:r>
          <w:r w:rsidRPr="00F9712C">
            <w:rPr>
              <w:rFonts w:ascii="Open Sans" w:hAnsi="Open Sans" w:cs="Open Sans"/>
              <w:sz w:val="20"/>
              <w:szCs w:val="20"/>
            </w:rPr>
            <w:t xml:space="preserve">, </w:t>
          </w:r>
          <w:r w:rsidRPr="00F9712C">
            <w:rPr>
              <w:rStyle w:val="s1"/>
              <w:rFonts w:ascii="Open Sans" w:hAnsi="Open Sans" w:cs="Open Sans"/>
              <w:b/>
              <w:bCs/>
              <w:sz w:val="20"/>
              <w:szCs w:val="20"/>
            </w:rPr>
            <w:t>MSIX</w:t>
          </w:r>
          <w:r w:rsidRPr="00F9712C">
            <w:rPr>
              <w:rFonts w:ascii="Open Sans" w:hAnsi="Open Sans" w:cs="Open Sans"/>
              <w:sz w:val="20"/>
              <w:szCs w:val="20"/>
            </w:rPr>
            <w:t xml:space="preserve">, and </w:t>
          </w:r>
          <w:r w:rsidRPr="00F9712C">
            <w:rPr>
              <w:rStyle w:val="s1"/>
              <w:rFonts w:ascii="Open Sans" w:hAnsi="Open Sans" w:cs="Open Sans"/>
              <w:b/>
              <w:bCs/>
              <w:sz w:val="20"/>
              <w:szCs w:val="20"/>
            </w:rPr>
            <w:t>Microsoft Store apps</w:t>
          </w:r>
        </w:p>
        <w:p w14:paraId="4D0C6E8F" w14:textId="77777777" w:rsidR="00F9712C" w:rsidRPr="00F9712C" w:rsidRDefault="00F9712C" w:rsidP="00F9712C">
          <w:pPr>
            <w:pStyle w:val="p1"/>
            <w:numPr>
              <w:ilvl w:val="0"/>
              <w:numId w:val="91"/>
            </w:numPr>
            <w:tabs>
              <w:tab w:val="clear" w:pos="720"/>
              <w:tab w:val="num" w:pos="1287"/>
            </w:tabs>
            <w:ind w:left="1287"/>
            <w:rPr>
              <w:rFonts w:ascii="Open Sans" w:hAnsi="Open Sans" w:cs="Open Sans"/>
              <w:sz w:val="20"/>
              <w:szCs w:val="20"/>
            </w:rPr>
          </w:pPr>
          <w:r w:rsidRPr="00F9712C">
            <w:rPr>
              <w:rStyle w:val="s1"/>
              <w:rFonts w:ascii="Open Sans" w:hAnsi="Open Sans" w:cs="Open Sans"/>
              <w:sz w:val="20"/>
              <w:szCs w:val="20"/>
            </w:rPr>
            <w:t xml:space="preserve">Deliver software intelligently using a mix of </w:t>
          </w:r>
          <w:r w:rsidRPr="00F9712C">
            <w:rPr>
              <w:rFonts w:ascii="Open Sans" w:hAnsi="Open Sans" w:cs="Open Sans"/>
              <w:b/>
              <w:bCs/>
              <w:sz w:val="20"/>
              <w:szCs w:val="20"/>
            </w:rPr>
            <w:t>required deployments</w:t>
          </w:r>
          <w:r w:rsidRPr="00F9712C">
            <w:rPr>
              <w:rStyle w:val="s1"/>
              <w:rFonts w:ascii="Open Sans" w:hAnsi="Open Sans" w:cs="Open Sans"/>
              <w:sz w:val="20"/>
              <w:szCs w:val="20"/>
            </w:rPr>
            <w:t xml:space="preserve"> and </w:t>
          </w:r>
          <w:r w:rsidRPr="00F9712C">
            <w:rPr>
              <w:rFonts w:ascii="Open Sans" w:hAnsi="Open Sans" w:cs="Open Sans"/>
              <w:b/>
              <w:bCs/>
              <w:sz w:val="20"/>
              <w:szCs w:val="20"/>
            </w:rPr>
            <w:t>self-service via the Company Portal</w:t>
          </w:r>
        </w:p>
        <w:p w14:paraId="70FA510B" w14:textId="77777777" w:rsidR="00F9712C" w:rsidRPr="00F9712C" w:rsidRDefault="00F9712C" w:rsidP="00F9712C">
          <w:pPr>
            <w:pStyle w:val="p1"/>
            <w:numPr>
              <w:ilvl w:val="0"/>
              <w:numId w:val="91"/>
            </w:numPr>
            <w:tabs>
              <w:tab w:val="clear" w:pos="720"/>
              <w:tab w:val="num" w:pos="1287"/>
            </w:tabs>
            <w:ind w:left="1287"/>
            <w:rPr>
              <w:rFonts w:ascii="Open Sans" w:hAnsi="Open Sans" w:cs="Open Sans"/>
              <w:sz w:val="20"/>
              <w:szCs w:val="20"/>
            </w:rPr>
          </w:pPr>
          <w:r w:rsidRPr="00F9712C">
            <w:rPr>
              <w:rFonts w:ascii="Open Sans" w:hAnsi="Open Sans" w:cs="Open Sans"/>
              <w:sz w:val="20"/>
              <w:szCs w:val="20"/>
            </w:rPr>
            <w:t>Define robust update strategies to maintain security and compliance across critical and third-party apps</w:t>
          </w:r>
        </w:p>
        <w:p w14:paraId="4073A487" w14:textId="5BD0D4C1" w:rsidR="00F9712C" w:rsidRPr="00F9712C" w:rsidRDefault="00F9712C" w:rsidP="00F9712C">
          <w:pPr>
            <w:pStyle w:val="p1"/>
            <w:numPr>
              <w:ilvl w:val="0"/>
              <w:numId w:val="91"/>
            </w:numPr>
            <w:tabs>
              <w:tab w:val="clear" w:pos="720"/>
              <w:tab w:val="num" w:pos="1287"/>
            </w:tabs>
            <w:ind w:left="1287"/>
            <w:rPr>
              <w:rFonts w:ascii="Open Sans" w:hAnsi="Open Sans" w:cs="Open Sans"/>
              <w:sz w:val="20"/>
              <w:szCs w:val="20"/>
            </w:rPr>
          </w:pPr>
          <w:r w:rsidRPr="00F9712C">
            <w:rPr>
              <w:rFonts w:ascii="Open Sans" w:hAnsi="Open Sans" w:cs="Open Sans"/>
              <w:sz w:val="20"/>
              <w:szCs w:val="20"/>
            </w:rPr>
            <w:lastRenderedPageBreak/>
            <w:t>Address compatibility challenges for domain-dependent or legacy tools, with remediation paths including refactoring, AVD, or conditional access/VPN integration</w:t>
          </w:r>
        </w:p>
        <w:p w14:paraId="53C610A3" w14:textId="1FE819DE" w:rsidR="001D2029" w:rsidRPr="00F9712C" w:rsidRDefault="00F9712C" w:rsidP="00F9712C">
          <w:pPr>
            <w:pStyle w:val="p1"/>
            <w:ind w:left="567"/>
            <w:rPr>
              <w:rFonts w:ascii="Open Sans" w:hAnsi="Open Sans" w:cs="Open Sans"/>
              <w:sz w:val="20"/>
              <w:szCs w:val="20"/>
            </w:rPr>
          </w:pPr>
          <w:r w:rsidRPr="00F9712C">
            <w:rPr>
              <w:rFonts w:ascii="Open Sans" w:hAnsi="Open Sans" w:cs="Open Sans"/>
              <w:sz w:val="20"/>
              <w:szCs w:val="20"/>
            </w:rPr>
            <w:t xml:space="preserve">By implementing a structured application strategy that aligns with Intune and Entra ID, organisations can reduce support burden, improve user experience, and ensure the entire app estate is </w:t>
          </w:r>
          <w:r w:rsidRPr="00F9712C">
            <w:rPr>
              <w:rStyle w:val="s2"/>
              <w:rFonts w:ascii="Open Sans" w:hAnsi="Open Sans" w:cs="Open Sans"/>
              <w:b/>
              <w:bCs/>
              <w:sz w:val="20"/>
              <w:szCs w:val="20"/>
            </w:rPr>
            <w:t>secure, scalable, and ready for the future</w:t>
          </w:r>
          <w:r w:rsidRPr="00F9712C">
            <w:rPr>
              <w:rFonts w:ascii="Open Sans" w:hAnsi="Open Sans" w:cs="Open Sans"/>
              <w:sz w:val="20"/>
              <w:szCs w:val="20"/>
            </w:rPr>
            <w:t>.</w:t>
          </w:r>
        </w:p>
        <w:p w14:paraId="753EBBEE" w14:textId="4EBE7DDF" w:rsidR="00CD7948" w:rsidRDefault="00CD7948" w:rsidP="001D2029">
          <w:pPr>
            <w:pStyle w:val="1ABodyTextLevel2"/>
          </w:pPr>
        </w:p>
        <w:p w14:paraId="5E4ABB7E" w14:textId="5BB65CFC" w:rsidR="001D63C3" w:rsidRDefault="001D63C3" w:rsidP="00B40D32">
          <w:pPr>
            <w:pStyle w:val="1ANumberedHeading1"/>
          </w:pPr>
          <w:bookmarkStart w:id="13" w:name="_Toc204071187"/>
          <w:r>
            <w:t>Windows Update for Business</w:t>
          </w:r>
          <w:bookmarkEnd w:id="13"/>
        </w:p>
        <w:p w14:paraId="4A7C0EE4" w14:textId="53A31731" w:rsidR="001D63C3" w:rsidRDefault="001D63C3" w:rsidP="00BF58D3">
          <w:pPr>
            <w:pStyle w:val="1ABodyTextLevel1"/>
          </w:pPr>
          <w:r>
            <w:t>Patching Strategy (Rings)</w:t>
          </w:r>
        </w:p>
        <w:p w14:paraId="2DA9772A" w14:textId="5B960956" w:rsidR="001D63C3" w:rsidRDefault="001D63C3" w:rsidP="00BF58D3">
          <w:pPr>
            <w:pStyle w:val="1ABodyTextLevel1"/>
          </w:pPr>
          <w:r>
            <w:t>Delivery Optimization</w:t>
          </w:r>
        </w:p>
        <w:p w14:paraId="2C3CB688" w14:textId="7466A8DE" w:rsidR="001D63C3" w:rsidRDefault="001D63C3" w:rsidP="00BF58D3">
          <w:pPr>
            <w:pStyle w:val="1ABodyTextLevel1"/>
          </w:pPr>
          <w:r>
            <w:t>Feature Updates</w:t>
          </w:r>
        </w:p>
        <w:p w14:paraId="5F17FFFA" w14:textId="77777777" w:rsidR="001D63C3" w:rsidRPr="001D63C3" w:rsidRDefault="001D63C3" w:rsidP="00BF58D3">
          <w:pPr>
            <w:pStyle w:val="1ABodyTextLevel1"/>
          </w:pPr>
        </w:p>
        <w:p w14:paraId="02BC8789" w14:textId="7D0BAD4A" w:rsidR="00CD7948" w:rsidRDefault="00CD7948" w:rsidP="00B40D32">
          <w:pPr>
            <w:pStyle w:val="1ANumberedHeading1"/>
          </w:pPr>
          <w:bookmarkStart w:id="14" w:name="_Toc204071188"/>
          <w:r>
            <w:t xml:space="preserve">User Data and </w:t>
          </w:r>
          <w:r w:rsidR="009A0D55">
            <w:t>Enterprise State Roaming</w:t>
          </w:r>
          <w:bookmarkEnd w:id="14"/>
        </w:p>
        <w:p w14:paraId="15A83FCE" w14:textId="74FCC0CA" w:rsidR="00CD7948" w:rsidRDefault="00CD7948" w:rsidP="00BF58D3">
          <w:pPr>
            <w:pStyle w:val="1ABulletTextLevel1"/>
          </w:pPr>
          <w:r>
            <w:t>OneDrive Known Folder Move</w:t>
          </w:r>
        </w:p>
        <w:p w14:paraId="2B29BBBF" w14:textId="7B4D6806" w:rsidR="00CD7948" w:rsidRDefault="00CD7948" w:rsidP="00BF58D3">
          <w:pPr>
            <w:pStyle w:val="1ABulletTextLevel1"/>
          </w:pPr>
          <w:r>
            <w:t xml:space="preserve">Edge </w:t>
          </w:r>
          <w:r w:rsidR="00D73BE3">
            <w:t>Sync</w:t>
          </w:r>
        </w:p>
        <w:p w14:paraId="0CF4961D" w14:textId="3625D9F8" w:rsidR="00D73BE3" w:rsidRDefault="00D73BE3" w:rsidP="00BF58D3">
          <w:pPr>
            <w:pStyle w:val="1ABulletTextLevel1"/>
          </w:pPr>
          <w:r>
            <w:t>Enterprise State Roaming</w:t>
          </w:r>
        </w:p>
        <w:p w14:paraId="7B1459D6" w14:textId="77777777" w:rsidR="00CD7948" w:rsidRDefault="00CD7948" w:rsidP="001D2029">
          <w:pPr>
            <w:pStyle w:val="1ABodyTextLevel2"/>
          </w:pPr>
          <w:r>
            <w:t xml:space="preserve"> </w:t>
          </w:r>
        </w:p>
        <w:p w14:paraId="56C76392" w14:textId="53D757A0" w:rsidR="00CD7948" w:rsidRDefault="00CD7948" w:rsidP="00B40D32">
          <w:pPr>
            <w:pStyle w:val="1ANumberedHeading1"/>
          </w:pPr>
          <w:bookmarkStart w:id="15" w:name="_Toc204071189"/>
          <w:r>
            <w:t>Security and Endpoint Protection</w:t>
          </w:r>
          <w:bookmarkEnd w:id="15"/>
        </w:p>
        <w:p w14:paraId="3A43C98E" w14:textId="6527D329" w:rsidR="00CD7948" w:rsidRDefault="00CD7948" w:rsidP="00BF58D3">
          <w:pPr>
            <w:pStyle w:val="1ABodyTextLevel1"/>
          </w:pPr>
          <w:r>
            <w:t>Microsoft Defender AV and EDR configuration</w:t>
          </w:r>
        </w:p>
        <w:p w14:paraId="262AC3E2" w14:textId="77777777" w:rsidR="00D73BE3" w:rsidRDefault="00CD7948" w:rsidP="00BF58D3">
          <w:pPr>
            <w:pStyle w:val="1ABodyTextLevel1"/>
          </w:pPr>
          <w:r>
            <w:t>Attack Surface Reduction (ASR)</w:t>
          </w:r>
        </w:p>
        <w:p w14:paraId="1F65E922" w14:textId="77777777" w:rsidR="00D73BE3" w:rsidRDefault="00CD7948" w:rsidP="00BF58D3">
          <w:pPr>
            <w:pStyle w:val="1ABodyTextLevel1"/>
          </w:pPr>
          <w:r>
            <w:t>Firewall</w:t>
          </w:r>
        </w:p>
        <w:p w14:paraId="55982D8B" w14:textId="0F8CB42B" w:rsidR="00CD7948" w:rsidRDefault="00CD7948" w:rsidP="00BF58D3">
          <w:pPr>
            <w:pStyle w:val="1ABodyTextLevel1"/>
          </w:pPr>
          <w:r>
            <w:t>App Control</w:t>
          </w:r>
          <w:r w:rsidR="00D73BE3">
            <w:t xml:space="preserve"> (AppLocker / WDAC)</w:t>
          </w:r>
        </w:p>
        <w:p w14:paraId="4A1808FC" w14:textId="1F455EF1" w:rsidR="00CD7948" w:rsidRDefault="00CD7948" w:rsidP="00BF58D3">
          <w:pPr>
            <w:pStyle w:val="1ABodyTextLevel1"/>
          </w:pPr>
          <w:r>
            <w:t>Admin rights model &amp; LAPS</w:t>
          </w:r>
        </w:p>
        <w:p w14:paraId="171D7D12" w14:textId="77777777" w:rsidR="00CD7948" w:rsidRDefault="00CD7948" w:rsidP="001D2029">
          <w:pPr>
            <w:pStyle w:val="1ABodyTextLevel2"/>
          </w:pPr>
          <w:r>
            <w:t xml:space="preserve"> </w:t>
          </w:r>
        </w:p>
        <w:p w14:paraId="6153E6FD" w14:textId="78EDC45B" w:rsidR="00CD7948" w:rsidRDefault="00CD7948" w:rsidP="00B40D32">
          <w:pPr>
            <w:pStyle w:val="1ANumberedHeading1"/>
          </w:pPr>
          <w:bookmarkStart w:id="16" w:name="_Toc204071190"/>
          <w:r>
            <w:t>Device Lifecycle Management</w:t>
          </w:r>
          <w:bookmarkEnd w:id="16"/>
        </w:p>
        <w:p w14:paraId="6AD174BD" w14:textId="4358142C" w:rsidR="00CD7948" w:rsidRDefault="00CD7948" w:rsidP="00BF58D3">
          <w:pPr>
            <w:pStyle w:val="1ABodyTextLevel1"/>
          </w:pPr>
          <w:r>
            <w:t>Autopilot registration and hardware hash upload</w:t>
          </w:r>
        </w:p>
        <w:p w14:paraId="77435FC3" w14:textId="4DA87975" w:rsidR="002039EF" w:rsidRDefault="002039EF" w:rsidP="00BF58D3">
          <w:pPr>
            <w:pStyle w:val="1ABodyTextLevel1"/>
          </w:pPr>
          <w:r>
            <w:t>Autopilot Vendor Registration</w:t>
          </w:r>
        </w:p>
        <w:p w14:paraId="00786808" w14:textId="250AC6E9" w:rsidR="00CD7948" w:rsidRDefault="00CD7948" w:rsidP="00BF58D3">
          <w:pPr>
            <w:pStyle w:val="1ABodyTextLevel1"/>
          </w:pPr>
          <w:r>
            <w:t>Deployment of new devices vs. existing re-provisioning</w:t>
          </w:r>
        </w:p>
        <w:p w14:paraId="263BA7A4" w14:textId="297D93D7" w:rsidR="00CD7948" w:rsidRDefault="00CD7948" w:rsidP="00BF58D3">
          <w:pPr>
            <w:pStyle w:val="1ABodyTextLevel1"/>
          </w:pPr>
          <w:r>
            <w:t>Wipe and redeploy vs. in-place transition</w:t>
          </w:r>
        </w:p>
        <w:p w14:paraId="342787E2" w14:textId="193B67AF" w:rsidR="00BD0FFC" w:rsidRDefault="00BD0FFC" w:rsidP="00BF58D3">
          <w:pPr>
            <w:pStyle w:val="1ABodyTextLevel1"/>
          </w:pPr>
          <w:r>
            <w:t>End of Life considerations / processes</w:t>
          </w:r>
        </w:p>
        <w:p w14:paraId="599B02EA" w14:textId="77777777" w:rsidR="00CD7948" w:rsidRDefault="00CD7948" w:rsidP="001D2029">
          <w:pPr>
            <w:pStyle w:val="1ABodyTextLevel2"/>
          </w:pPr>
          <w:r>
            <w:t xml:space="preserve"> </w:t>
          </w:r>
        </w:p>
        <w:p w14:paraId="2ACBA32A" w14:textId="75F15B7A" w:rsidR="00CD7948" w:rsidRDefault="00CD7948" w:rsidP="00B40D32">
          <w:pPr>
            <w:pStyle w:val="1ANumberedHeading1"/>
          </w:pPr>
          <w:bookmarkStart w:id="17" w:name="_Toc204071191"/>
          <w:r>
            <w:lastRenderedPageBreak/>
            <w:t>Reporting, Monitoring &amp; Ongoing Support</w:t>
          </w:r>
          <w:bookmarkEnd w:id="17"/>
        </w:p>
        <w:p w14:paraId="613F3D73" w14:textId="17055774" w:rsidR="00CD7948" w:rsidRDefault="00CD7948" w:rsidP="00BF58D3">
          <w:pPr>
            <w:pStyle w:val="1ABodyTextLevel1"/>
          </w:pPr>
          <w:r>
            <w:t>Endpoint reporting via Intune &amp; Defender</w:t>
          </w:r>
        </w:p>
        <w:p w14:paraId="116C0E53" w14:textId="442965EF" w:rsidR="00612F83" w:rsidRDefault="00612F83" w:rsidP="00BF58D3">
          <w:pPr>
            <w:pStyle w:val="1ABodyTextLevel1"/>
          </w:pPr>
          <w:proofErr w:type="spellStart"/>
          <w:r>
            <w:t>PowerBI</w:t>
          </w:r>
          <w:proofErr w:type="spellEnd"/>
        </w:p>
        <w:p w14:paraId="268F022A" w14:textId="77777777" w:rsidR="00BD0FFC" w:rsidRDefault="00CD7948" w:rsidP="00BF58D3">
          <w:pPr>
            <w:pStyle w:val="1ABodyTextLevel1"/>
          </w:pPr>
          <w:r>
            <w:t>Health checks and alerting (Endpoint Analytics, Secure Score)</w:t>
          </w:r>
        </w:p>
        <w:p w14:paraId="49DF626E" w14:textId="37FABA9F" w:rsidR="000C37A2" w:rsidRDefault="000C37A2" w:rsidP="00BF58D3">
          <w:pPr>
            <w:pStyle w:val="1ABodyTextLevel1"/>
          </w:pPr>
          <w:r>
            <w:t>Proactive Remediations</w:t>
          </w:r>
        </w:p>
        <w:p w14:paraId="7CBA2438" w14:textId="04FE3049" w:rsidR="00CD7948" w:rsidRDefault="00CD7948" w:rsidP="00BF58D3">
          <w:pPr>
            <w:pStyle w:val="1ABodyTextLevel1"/>
          </w:pPr>
          <w:r>
            <w:t>Helpdesk readiness and user self-service tools (Company Portal)</w:t>
          </w:r>
        </w:p>
        <w:p w14:paraId="0C0C6D29" w14:textId="77777777" w:rsidR="00CD7948" w:rsidRDefault="00CD7948" w:rsidP="001D2029">
          <w:pPr>
            <w:pStyle w:val="1ABodyTextLevel2"/>
          </w:pPr>
          <w:r>
            <w:t xml:space="preserve"> </w:t>
          </w:r>
        </w:p>
        <w:p w14:paraId="53C47843" w14:textId="13E7FA51" w:rsidR="00CD7948" w:rsidRDefault="00CD7948" w:rsidP="00B40D32">
          <w:pPr>
            <w:pStyle w:val="1ANumberedHeading1"/>
          </w:pPr>
          <w:bookmarkStart w:id="18" w:name="_Toc204071192"/>
          <w:r>
            <w:t>Change Management &amp; User Communication</w:t>
          </w:r>
          <w:bookmarkEnd w:id="18"/>
        </w:p>
        <w:p w14:paraId="33468F49" w14:textId="0D9A8DB9" w:rsidR="00CD7948" w:rsidRDefault="00CD7948" w:rsidP="00BF58D3">
          <w:pPr>
            <w:pStyle w:val="1ABodyTextLevel1"/>
          </w:pPr>
          <w:r>
            <w:t>User onboarding and training plan</w:t>
          </w:r>
        </w:p>
        <w:p w14:paraId="34F3C168" w14:textId="5D0B7D98" w:rsidR="00CD7948" w:rsidRDefault="00CD7948" w:rsidP="00BF58D3">
          <w:pPr>
            <w:pStyle w:val="1ABodyTextLevel1"/>
          </w:pPr>
          <w:r>
            <w:t>Communication templates</w:t>
          </w:r>
        </w:p>
        <w:p w14:paraId="064F7D1D" w14:textId="77245BA7" w:rsidR="00CD7948" w:rsidRDefault="00CD7948" w:rsidP="00BF58D3">
          <w:pPr>
            <w:pStyle w:val="1ABodyTextLevel1"/>
          </w:pPr>
          <w:r>
            <w:t>Executive sponsorship and feedback loops</w:t>
          </w:r>
        </w:p>
        <w:p w14:paraId="327F7C35" w14:textId="77777777" w:rsidR="00CD7948" w:rsidRDefault="00CD7948" w:rsidP="001D2029">
          <w:pPr>
            <w:pStyle w:val="1ABodyTextLevel2"/>
          </w:pPr>
          <w:r>
            <w:t xml:space="preserve"> </w:t>
          </w:r>
        </w:p>
        <w:p w14:paraId="5FCCB958" w14:textId="267F9F1A" w:rsidR="00CD7948" w:rsidRDefault="00CD7948" w:rsidP="00B40D32">
          <w:pPr>
            <w:pStyle w:val="1ANumberedHeading1"/>
          </w:pPr>
          <w:bookmarkStart w:id="19" w:name="_Toc204071193"/>
          <w:r>
            <w:t>Pilot &amp; Rollout Strategy</w:t>
          </w:r>
          <w:bookmarkEnd w:id="19"/>
        </w:p>
        <w:p w14:paraId="4BEF58BC" w14:textId="1CA1B4B2" w:rsidR="00CD7948" w:rsidRDefault="00CD7948" w:rsidP="00BF58D3">
          <w:pPr>
            <w:pStyle w:val="1ABodyTextLevel1"/>
          </w:pPr>
          <w:r>
            <w:t>Define pilot groups and success criteria</w:t>
          </w:r>
          <w:r w:rsidR="00467AE6">
            <w:t xml:space="preserve"> (UAT)</w:t>
          </w:r>
        </w:p>
        <w:p w14:paraId="382BF020" w14:textId="2206E7F9" w:rsidR="00CD7948" w:rsidRDefault="00CD7948" w:rsidP="00BF58D3">
          <w:pPr>
            <w:pStyle w:val="1ABodyTextLevel1"/>
          </w:pPr>
          <w:r>
            <w:t>Staged migration approach</w:t>
          </w:r>
          <w:r w:rsidR="00467AE6">
            <w:t xml:space="preserve"> (Rings?)</w:t>
          </w:r>
        </w:p>
        <w:p w14:paraId="08A7CE93" w14:textId="181D2064" w:rsidR="00CD7948" w:rsidRDefault="00CD7948" w:rsidP="00BF58D3">
          <w:pPr>
            <w:pStyle w:val="1ABodyTextLevel1"/>
          </w:pPr>
          <w:r>
            <w:t>Post-pilot reviews and scaling to wider estate</w:t>
          </w:r>
        </w:p>
        <w:p w14:paraId="28AC93CD" w14:textId="77777777" w:rsidR="00CD7948" w:rsidRDefault="00CD7948" w:rsidP="001D2029">
          <w:pPr>
            <w:pStyle w:val="1ABodyTextLevel2"/>
          </w:pPr>
          <w:r>
            <w:t xml:space="preserve"> </w:t>
          </w:r>
        </w:p>
        <w:p w14:paraId="7FAEF45D" w14:textId="235ACB03" w:rsidR="00CD7948" w:rsidRDefault="00CD7948" w:rsidP="00B40D32">
          <w:pPr>
            <w:pStyle w:val="1ANumberedHeading1"/>
          </w:pPr>
          <w:bookmarkStart w:id="20" w:name="_Toc204071194"/>
          <w:r>
            <w:t>Known Challenges and Mitigations</w:t>
          </w:r>
          <w:bookmarkEnd w:id="20"/>
        </w:p>
        <w:p w14:paraId="75E18C44" w14:textId="4323ED13" w:rsidR="00CD7948" w:rsidRDefault="00CD7948" w:rsidP="00BF58D3">
          <w:pPr>
            <w:pStyle w:val="1ABodyTextLevel1"/>
          </w:pPr>
          <w:r>
            <w:t>Network latency/performance issues</w:t>
          </w:r>
        </w:p>
        <w:p w14:paraId="0BF3D344" w14:textId="264297CD" w:rsidR="00C37820" w:rsidRDefault="00244AF1" w:rsidP="00BF58D3">
          <w:pPr>
            <w:pStyle w:val="1ABodyTextLevel1"/>
          </w:pPr>
          <w:r>
            <w:t>Conditional</w:t>
          </w:r>
          <w:r w:rsidR="00C37820">
            <w:t xml:space="preserve"> Access Issues</w:t>
          </w:r>
        </w:p>
        <w:p w14:paraId="31AC4223" w14:textId="4D3BE777" w:rsidR="00C37820" w:rsidRDefault="00C37820" w:rsidP="00BF58D3">
          <w:pPr>
            <w:pStyle w:val="1ABodyTextLevel1"/>
          </w:pPr>
          <w:r>
            <w:t>Firewall / Content Filtering Issues with On Prem LAN</w:t>
          </w:r>
        </w:p>
        <w:p w14:paraId="3A35710A" w14:textId="463637E7" w:rsidR="00C37820" w:rsidRDefault="000374B5" w:rsidP="00BF58D3">
          <w:pPr>
            <w:pStyle w:val="1ABodyTextLevel1"/>
          </w:pPr>
          <w:r>
            <w:t>Legacy Network Solution Issues (VPN)</w:t>
          </w:r>
        </w:p>
        <w:p w14:paraId="68CF0FE7" w14:textId="544AD8A1" w:rsidR="00CD7948" w:rsidRDefault="00CD7948" w:rsidP="00BF58D3">
          <w:pPr>
            <w:pStyle w:val="1ABodyTextLevel1"/>
          </w:pPr>
          <w:r>
            <w:t>Legacy app compatibility</w:t>
          </w:r>
        </w:p>
        <w:p w14:paraId="6AA1ECDA" w14:textId="56657373" w:rsidR="00CD7948" w:rsidRDefault="00CD7948" w:rsidP="00BF58D3">
          <w:pPr>
            <w:pStyle w:val="1ABodyTextLevel1"/>
          </w:pPr>
          <w:r>
            <w:t>User resistance and behaviour change</w:t>
          </w:r>
        </w:p>
        <w:p w14:paraId="4CD85931" w14:textId="5A8AA102" w:rsidR="00244AF1" w:rsidRDefault="00244AF1" w:rsidP="00BF58D3">
          <w:pPr>
            <w:pStyle w:val="1ABodyTextLevel1"/>
          </w:pPr>
          <w:r>
            <w:t>Lack of Modern Desktop mentality / understanding</w:t>
          </w:r>
        </w:p>
        <w:p w14:paraId="0707F4C6" w14:textId="77777777" w:rsidR="00BC1D9B" w:rsidRDefault="00BC1D9B" w:rsidP="00BF58D3">
          <w:pPr>
            <w:pStyle w:val="1ABodyTextLevel1"/>
          </w:pPr>
        </w:p>
        <w:p w14:paraId="3A7C0B18" w14:textId="77777777" w:rsidR="00BC1D9B" w:rsidRPr="00BC1D9B" w:rsidRDefault="00BC1D9B" w:rsidP="00B40D32">
          <w:pPr>
            <w:pStyle w:val="1ANumberedHeading1"/>
          </w:pPr>
          <w:bookmarkStart w:id="21" w:name="_Toc204071195"/>
          <w:r w:rsidRPr="00BC1D9B">
            <w:t>Implementation Checklist</w:t>
          </w:r>
          <w:bookmarkEnd w:id="21"/>
        </w:p>
        <w:p w14:paraId="43C25C34" w14:textId="77777777" w:rsidR="00BC1D9B" w:rsidRPr="00BC1D9B" w:rsidRDefault="00BC1D9B" w:rsidP="00BF58D3">
          <w:pPr>
            <w:pStyle w:val="1ABodyTextLevel1"/>
          </w:pPr>
          <w:r w:rsidRPr="00BC1D9B">
            <w:t>As part of the prerequisites phase, validate the following before proceeding to large-scale Modern Desktop rollout:</w:t>
          </w:r>
        </w:p>
        <w:p w14:paraId="1258117B" w14:textId="77777777" w:rsidR="00BC1D9B" w:rsidRPr="00BC1D9B" w:rsidRDefault="00BC1D9B" w:rsidP="00BF58D3">
          <w:pPr>
            <w:pStyle w:val="1ABodyTextLevel1"/>
            <w:numPr>
              <w:ilvl w:val="0"/>
              <w:numId w:val="52"/>
            </w:numPr>
          </w:pPr>
          <w:r w:rsidRPr="00BC1D9B">
            <w:t>Identity model (cloud-only vs hybrid) is selected and documented</w:t>
          </w:r>
        </w:p>
        <w:p w14:paraId="57A36650" w14:textId="77777777" w:rsidR="00BC1D9B" w:rsidRPr="00BC1D9B" w:rsidRDefault="00BC1D9B" w:rsidP="00BF58D3">
          <w:pPr>
            <w:pStyle w:val="1ABodyTextLevel1"/>
            <w:numPr>
              <w:ilvl w:val="0"/>
              <w:numId w:val="52"/>
            </w:numPr>
          </w:pPr>
          <w:r w:rsidRPr="00BC1D9B">
            <w:t>Directory synchronisation and federation services (if used) are operational and aligned</w:t>
          </w:r>
        </w:p>
        <w:p w14:paraId="3298E19B" w14:textId="77777777" w:rsidR="00BC1D9B" w:rsidRPr="00BC1D9B" w:rsidRDefault="00BC1D9B" w:rsidP="00BF58D3">
          <w:pPr>
            <w:pStyle w:val="1ABodyTextLevel1"/>
            <w:numPr>
              <w:ilvl w:val="0"/>
              <w:numId w:val="52"/>
            </w:numPr>
          </w:pPr>
          <w:r w:rsidRPr="00BC1D9B">
            <w:lastRenderedPageBreak/>
            <w:t>Device join methods are confirmed and supported across hardware types</w:t>
          </w:r>
        </w:p>
        <w:p w14:paraId="2E13C948" w14:textId="77777777" w:rsidR="00BC1D9B" w:rsidRPr="00BC1D9B" w:rsidRDefault="00BC1D9B" w:rsidP="00BF58D3">
          <w:pPr>
            <w:pStyle w:val="1ABodyTextLevel1"/>
            <w:numPr>
              <w:ilvl w:val="0"/>
              <w:numId w:val="52"/>
            </w:numPr>
          </w:pPr>
          <w:r w:rsidRPr="00BC1D9B">
            <w:t>Licensing tiers and assignments match required feature set</w:t>
          </w:r>
        </w:p>
        <w:p w14:paraId="481D9E0E" w14:textId="77777777" w:rsidR="00BC1D9B" w:rsidRPr="00BC1D9B" w:rsidRDefault="00BC1D9B" w:rsidP="00BF58D3">
          <w:pPr>
            <w:pStyle w:val="1ABodyTextLevel1"/>
            <w:numPr>
              <w:ilvl w:val="0"/>
              <w:numId w:val="52"/>
            </w:numPr>
          </w:pPr>
          <w:r w:rsidRPr="00BC1D9B">
            <w:t>Conditional Access policies are aligned with onboarding and compliance workflows</w:t>
          </w:r>
        </w:p>
        <w:p w14:paraId="33456331" w14:textId="77777777" w:rsidR="00BC1D9B" w:rsidRPr="00BC1D9B" w:rsidRDefault="00BC1D9B" w:rsidP="00BF58D3">
          <w:pPr>
            <w:pStyle w:val="1ABodyTextLevel1"/>
            <w:numPr>
              <w:ilvl w:val="0"/>
              <w:numId w:val="52"/>
            </w:numPr>
          </w:pPr>
          <w:r w:rsidRPr="00BC1D9B">
            <w:t>Group structures and role-based access controls are in place and validated</w:t>
          </w:r>
        </w:p>
        <w:p w14:paraId="07FB1C0E" w14:textId="77777777" w:rsidR="00BC1D9B" w:rsidRPr="00BC1D9B" w:rsidRDefault="00BC1D9B" w:rsidP="00BF58D3">
          <w:pPr>
            <w:pStyle w:val="1ABodyTextLevel1"/>
            <w:numPr>
              <w:ilvl w:val="0"/>
              <w:numId w:val="52"/>
            </w:numPr>
          </w:pPr>
          <w:r w:rsidRPr="00BC1D9B">
            <w:t>Tenant settings (naming, restrictions, enrolment policies) are reviewed and documented</w:t>
          </w:r>
        </w:p>
        <w:p w14:paraId="477002FA" w14:textId="77777777" w:rsidR="00BC1D9B" w:rsidRPr="00BC1D9B" w:rsidRDefault="00BC1D9B" w:rsidP="00BF58D3">
          <w:pPr>
            <w:pStyle w:val="1ABodyTextLevel1"/>
            <w:numPr>
              <w:ilvl w:val="0"/>
              <w:numId w:val="52"/>
            </w:numPr>
          </w:pPr>
          <w:r w:rsidRPr="00BC1D9B">
            <w:t>Logging and monitoring are active for critical identity and device events</w:t>
          </w:r>
        </w:p>
        <w:p w14:paraId="332E87C4" w14:textId="77777777" w:rsidR="00BC1D9B" w:rsidRDefault="00BC1D9B" w:rsidP="00BF58D3">
          <w:pPr>
            <w:pStyle w:val="1ABodyTextLevel1"/>
          </w:pPr>
        </w:p>
        <w:p w14:paraId="00D83F28" w14:textId="5F88D442" w:rsidR="004E1404" w:rsidRPr="004E1404" w:rsidRDefault="00000000" w:rsidP="001D2029">
          <w:pPr>
            <w:pStyle w:val="1ABodyTextLevel2"/>
          </w:pPr>
        </w:p>
      </w:sdtContent>
    </w:sdt>
    <w:bookmarkEnd w:id="0" w:displacedByCustomXml="prev"/>
    <w:p w14:paraId="59CA1499" w14:textId="4C24A527" w:rsidR="00D16ECE" w:rsidRPr="00D16ECE" w:rsidRDefault="00D16ECE" w:rsidP="00D16ECE"/>
    <w:p w14:paraId="121C118A" w14:textId="0F6BC1EA" w:rsidR="00014AD5" w:rsidRPr="00014AD5" w:rsidRDefault="00014AD5" w:rsidP="00014AD5"/>
    <w:p w14:paraId="7420402C" w14:textId="77777777" w:rsidR="00014AD5" w:rsidRPr="00014AD5" w:rsidRDefault="00014AD5" w:rsidP="00014AD5"/>
    <w:p w14:paraId="3A47EFB8" w14:textId="77777777" w:rsidR="00E63F7B" w:rsidRPr="0090733C" w:rsidRDefault="00E63F7B" w:rsidP="0090733C"/>
    <w:sectPr w:rsidR="00E63F7B" w:rsidRPr="0090733C" w:rsidSect="0089622D">
      <w:headerReference w:type="first" r:id="rId11"/>
      <w:pgSz w:w="11906" w:h="16838"/>
      <w:pgMar w:top="2296"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70B55" w14:textId="77777777" w:rsidR="003E2B77" w:rsidRDefault="003E2B77" w:rsidP="00B506A4">
      <w:pPr>
        <w:spacing w:after="0"/>
      </w:pPr>
      <w:r>
        <w:separator/>
      </w:r>
    </w:p>
  </w:endnote>
  <w:endnote w:type="continuationSeparator" w:id="0">
    <w:p w14:paraId="42CFB883" w14:textId="77777777" w:rsidR="003E2B77" w:rsidRDefault="003E2B77" w:rsidP="00B506A4">
      <w:pPr>
        <w:spacing w:after="0"/>
      </w:pPr>
      <w:r>
        <w:continuationSeparator/>
      </w:r>
    </w:p>
  </w:endnote>
  <w:endnote w:type="continuationNotice" w:id="1">
    <w:p w14:paraId="60F30AEF" w14:textId="77777777" w:rsidR="003E2B77" w:rsidRDefault="003E2B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Montserrat SemiBold">
    <w:panose1 w:val="00000000000000000000"/>
    <w:charset w:val="4D"/>
    <w:family w:val="auto"/>
    <w:pitch w:val="variable"/>
    <w:sig w:usb0="A00002FF" w:usb1="4000207B" w:usb2="00000000" w:usb3="00000000" w:csb0="00000197" w:csb1="00000000"/>
  </w:font>
  <w:font w:name="Montserrat">
    <w:panose1 w:val="00000000000000000000"/>
    <w:charset w:val="4D"/>
    <w:family w:val="auto"/>
    <w:pitch w:val="variable"/>
    <w:sig w:usb0="A00002FF" w:usb1="4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default"/>
  </w:font>
  <w:font w:name="Montserrat Medium">
    <w:altName w:val="Montserrat Thin"/>
    <w:panose1 w:val="00000000000000000000"/>
    <w:charset w:val="4D"/>
    <w:family w:val="auto"/>
    <w:pitch w:val="variable"/>
    <w:sig w:usb0="A00002FF" w:usb1="4000207B" w:usb2="00000000" w:usb3="00000000" w:csb0="00000197"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E9C59" w14:textId="77777777" w:rsidR="003E2B77" w:rsidRDefault="003E2B77" w:rsidP="00B506A4">
      <w:pPr>
        <w:spacing w:after="0"/>
      </w:pPr>
      <w:r>
        <w:separator/>
      </w:r>
    </w:p>
  </w:footnote>
  <w:footnote w:type="continuationSeparator" w:id="0">
    <w:p w14:paraId="5445450C" w14:textId="77777777" w:rsidR="003E2B77" w:rsidRDefault="003E2B77" w:rsidP="00B506A4">
      <w:pPr>
        <w:spacing w:after="0"/>
      </w:pPr>
      <w:r>
        <w:continuationSeparator/>
      </w:r>
    </w:p>
  </w:footnote>
  <w:footnote w:type="continuationNotice" w:id="1">
    <w:p w14:paraId="640EA054" w14:textId="77777777" w:rsidR="003E2B77" w:rsidRDefault="003E2B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4DA4A" w14:textId="523EBC85" w:rsidR="004C64CF" w:rsidRDefault="004C6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1B13"/>
    <w:multiLevelType w:val="hybridMultilevel"/>
    <w:tmpl w:val="DED4F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610F26"/>
    <w:multiLevelType w:val="multilevel"/>
    <w:tmpl w:val="8E16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813F9"/>
    <w:multiLevelType w:val="hybridMultilevel"/>
    <w:tmpl w:val="BFE09F6C"/>
    <w:lvl w:ilvl="0" w:tplc="743CA332">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03DE193E"/>
    <w:multiLevelType w:val="multilevel"/>
    <w:tmpl w:val="1094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57AD4"/>
    <w:multiLevelType w:val="multilevel"/>
    <w:tmpl w:val="D1ECD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4225F"/>
    <w:multiLevelType w:val="multilevel"/>
    <w:tmpl w:val="7AD2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20DF3"/>
    <w:multiLevelType w:val="hybridMultilevel"/>
    <w:tmpl w:val="B5DC51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CB77092"/>
    <w:multiLevelType w:val="multilevel"/>
    <w:tmpl w:val="A13E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E6FE2"/>
    <w:multiLevelType w:val="multilevel"/>
    <w:tmpl w:val="14A8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A08D0"/>
    <w:multiLevelType w:val="multilevel"/>
    <w:tmpl w:val="90E0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C1811"/>
    <w:multiLevelType w:val="multilevel"/>
    <w:tmpl w:val="07D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2714E"/>
    <w:multiLevelType w:val="multilevel"/>
    <w:tmpl w:val="0ED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65F68"/>
    <w:multiLevelType w:val="multilevel"/>
    <w:tmpl w:val="DADC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8E36D3"/>
    <w:multiLevelType w:val="multilevel"/>
    <w:tmpl w:val="D0BE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65597"/>
    <w:multiLevelType w:val="multilevel"/>
    <w:tmpl w:val="B45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90987"/>
    <w:multiLevelType w:val="multilevel"/>
    <w:tmpl w:val="82161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226B3"/>
    <w:multiLevelType w:val="hybridMultilevel"/>
    <w:tmpl w:val="0A6E8010"/>
    <w:lvl w:ilvl="0" w:tplc="7BA25488">
      <w:start w:val="1"/>
      <w:numFmt w:val="bullet"/>
      <w:pStyle w:val="1ABulletTextLevel3"/>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EB059D"/>
    <w:multiLevelType w:val="multilevel"/>
    <w:tmpl w:val="A134E4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9F61641"/>
    <w:multiLevelType w:val="hybridMultilevel"/>
    <w:tmpl w:val="F9D2B8D8"/>
    <w:lvl w:ilvl="0" w:tplc="C430033C">
      <w:start w:val="1"/>
      <w:numFmt w:val="bullet"/>
      <w:pStyle w:val="1ABulletTextLevel4"/>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1B05559E"/>
    <w:multiLevelType w:val="hybridMultilevel"/>
    <w:tmpl w:val="AA8EA8A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1EEF7340"/>
    <w:multiLevelType w:val="multilevel"/>
    <w:tmpl w:val="40AA1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9235F9"/>
    <w:multiLevelType w:val="multilevel"/>
    <w:tmpl w:val="A0C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E2494A"/>
    <w:multiLevelType w:val="hybridMultilevel"/>
    <w:tmpl w:val="AB4AD89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21877742"/>
    <w:multiLevelType w:val="hybridMultilevel"/>
    <w:tmpl w:val="89EA3CCA"/>
    <w:lvl w:ilvl="0" w:tplc="4E162A18">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1904860"/>
    <w:multiLevelType w:val="multilevel"/>
    <w:tmpl w:val="8502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07D69"/>
    <w:multiLevelType w:val="multilevel"/>
    <w:tmpl w:val="FE86D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E438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7D2F56"/>
    <w:multiLevelType w:val="multilevel"/>
    <w:tmpl w:val="662A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3536CF"/>
    <w:multiLevelType w:val="hybridMultilevel"/>
    <w:tmpl w:val="4A02B3A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15:restartNumberingAfterBreak="0">
    <w:nsid w:val="27B61A59"/>
    <w:multiLevelType w:val="multilevel"/>
    <w:tmpl w:val="E82C5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0846F3"/>
    <w:multiLevelType w:val="multilevel"/>
    <w:tmpl w:val="5616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490239"/>
    <w:multiLevelType w:val="multilevel"/>
    <w:tmpl w:val="E934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8C14D0"/>
    <w:multiLevelType w:val="hybridMultilevel"/>
    <w:tmpl w:val="D270AFD6"/>
    <w:lvl w:ilvl="0" w:tplc="08090001">
      <w:start w:val="1"/>
      <w:numFmt w:val="bullet"/>
      <w:lvlText w:val=""/>
      <w:lvlJc w:val="left"/>
      <w:pPr>
        <w:ind w:left="1287"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29C767B1"/>
    <w:multiLevelType w:val="hybridMultilevel"/>
    <w:tmpl w:val="9EEA0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9DC0E21"/>
    <w:multiLevelType w:val="hybridMultilevel"/>
    <w:tmpl w:val="5B986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B39779D"/>
    <w:multiLevelType w:val="multilevel"/>
    <w:tmpl w:val="45F4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AC036B"/>
    <w:multiLevelType w:val="multilevel"/>
    <w:tmpl w:val="9ED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144365"/>
    <w:multiLevelType w:val="hybridMultilevel"/>
    <w:tmpl w:val="28BE8B3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8" w15:restartNumberingAfterBreak="0">
    <w:nsid w:val="2F5E6160"/>
    <w:multiLevelType w:val="hybridMultilevel"/>
    <w:tmpl w:val="3E20A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302251C0"/>
    <w:multiLevelType w:val="hybridMultilevel"/>
    <w:tmpl w:val="934E95D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316C3ED0"/>
    <w:multiLevelType w:val="multilevel"/>
    <w:tmpl w:val="F3B4C9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2C7E68"/>
    <w:multiLevelType w:val="hybridMultilevel"/>
    <w:tmpl w:val="57B8A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28C5C3B"/>
    <w:multiLevelType w:val="multilevel"/>
    <w:tmpl w:val="279E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906C92"/>
    <w:multiLevelType w:val="multilevel"/>
    <w:tmpl w:val="DCEC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5F7ECA"/>
    <w:multiLevelType w:val="hybridMultilevel"/>
    <w:tmpl w:val="1B785118"/>
    <w:lvl w:ilvl="0" w:tplc="6EAA05DA">
      <w:start w:val="1"/>
      <w:numFmt w:val="bullet"/>
      <w:pStyle w:val="ListBullet"/>
      <w:lvlText w:val=""/>
      <w:lvlJc w:val="left"/>
      <w:pPr>
        <w:ind w:left="71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7DB1C82"/>
    <w:multiLevelType w:val="hybridMultilevel"/>
    <w:tmpl w:val="B42C8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8205CD2"/>
    <w:multiLevelType w:val="multilevel"/>
    <w:tmpl w:val="406C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F82FDE"/>
    <w:multiLevelType w:val="multilevel"/>
    <w:tmpl w:val="4246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3E22A0"/>
    <w:multiLevelType w:val="hybridMultilevel"/>
    <w:tmpl w:val="236E9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C7B7B70"/>
    <w:multiLevelType w:val="multilevel"/>
    <w:tmpl w:val="97C6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F12C1E"/>
    <w:multiLevelType w:val="hybridMultilevel"/>
    <w:tmpl w:val="45425A8C"/>
    <w:lvl w:ilvl="0" w:tplc="0809000F">
      <w:start w:val="1"/>
      <w:numFmt w:val="decimal"/>
      <w:lvlText w:val="%1."/>
      <w:lvlJc w:val="left"/>
      <w:pPr>
        <w:ind w:left="717"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3D800B8B"/>
    <w:multiLevelType w:val="hybridMultilevel"/>
    <w:tmpl w:val="7DBAAEB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2" w15:restartNumberingAfterBreak="0">
    <w:nsid w:val="3E1B50EA"/>
    <w:multiLevelType w:val="multilevel"/>
    <w:tmpl w:val="DD10601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3E226616"/>
    <w:multiLevelType w:val="multilevel"/>
    <w:tmpl w:val="5940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B07570"/>
    <w:multiLevelType w:val="hybridMultilevel"/>
    <w:tmpl w:val="2124C6E2"/>
    <w:lvl w:ilvl="0" w:tplc="20281A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13E220E"/>
    <w:multiLevelType w:val="multilevel"/>
    <w:tmpl w:val="4726EAA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6" w15:restartNumberingAfterBreak="0">
    <w:nsid w:val="42C303ED"/>
    <w:multiLevelType w:val="multilevel"/>
    <w:tmpl w:val="78B07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4425DD"/>
    <w:multiLevelType w:val="multilevel"/>
    <w:tmpl w:val="86CCC1A8"/>
    <w:styleLink w:val="WWOutlineList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66B4CBD"/>
    <w:multiLevelType w:val="multilevel"/>
    <w:tmpl w:val="5E6E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100B05"/>
    <w:multiLevelType w:val="multilevel"/>
    <w:tmpl w:val="C9B0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8B21E7"/>
    <w:multiLevelType w:val="multilevel"/>
    <w:tmpl w:val="B7A6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BC5DAA"/>
    <w:multiLevelType w:val="hybridMultilevel"/>
    <w:tmpl w:val="F0FC86BA"/>
    <w:lvl w:ilvl="0" w:tplc="08090001">
      <w:start w:val="1"/>
      <w:numFmt w:val="bullet"/>
      <w:lvlText w:val=""/>
      <w:lvlJc w:val="left"/>
      <w:pPr>
        <w:ind w:left="1287" w:hanging="360"/>
      </w:pPr>
      <w:rPr>
        <w:rFonts w:ascii="Symbol" w:hAnsi="Symbol" w:hint="default"/>
      </w:rPr>
    </w:lvl>
    <w:lvl w:ilvl="1" w:tplc="3878B7E4">
      <w:numFmt w:val="bullet"/>
      <w:lvlText w:val="•"/>
      <w:lvlJc w:val="left"/>
      <w:pPr>
        <w:ind w:left="2367" w:hanging="720"/>
      </w:pPr>
      <w:rPr>
        <w:rFonts w:ascii="Open Sans" w:eastAsiaTheme="minorHAnsi" w:hAnsi="Open Sans" w:cs="Open Sans"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2" w15:restartNumberingAfterBreak="0">
    <w:nsid w:val="4DDD5CBD"/>
    <w:multiLevelType w:val="multilevel"/>
    <w:tmpl w:val="F0EA0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9D6B77"/>
    <w:multiLevelType w:val="multilevel"/>
    <w:tmpl w:val="2A8E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175B33"/>
    <w:multiLevelType w:val="hybridMultilevel"/>
    <w:tmpl w:val="06F08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3371BC7"/>
    <w:multiLevelType w:val="multilevel"/>
    <w:tmpl w:val="8BCC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1E4449"/>
    <w:multiLevelType w:val="hybridMultilevel"/>
    <w:tmpl w:val="ED521C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7" w15:restartNumberingAfterBreak="0">
    <w:nsid w:val="546612FF"/>
    <w:multiLevelType w:val="multilevel"/>
    <w:tmpl w:val="0CFEE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282221"/>
    <w:multiLevelType w:val="multilevel"/>
    <w:tmpl w:val="F0C8B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5F55128"/>
    <w:multiLevelType w:val="multilevel"/>
    <w:tmpl w:val="1BBA2F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569F6AD8"/>
    <w:multiLevelType w:val="multilevel"/>
    <w:tmpl w:val="5AC49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6A3BB9"/>
    <w:multiLevelType w:val="multilevel"/>
    <w:tmpl w:val="1C6CB562"/>
    <w:lvl w:ilvl="0">
      <w:start w:val="1"/>
      <w:numFmt w:val="decimal"/>
      <w:pStyle w:val="1ANumberedHeading1"/>
      <w:lvlText w:val="%1."/>
      <w:lvlJc w:val="left"/>
      <w:pPr>
        <w:ind w:left="360" w:hanging="360"/>
      </w:pPr>
    </w:lvl>
    <w:lvl w:ilvl="1">
      <w:start w:val="1"/>
      <w:numFmt w:val="decimal"/>
      <w:pStyle w:val="1ANumberedHeading2"/>
      <w:lvlText w:val="%1.%2."/>
      <w:lvlJc w:val="left"/>
      <w:pPr>
        <w:ind w:left="792" w:hanging="432"/>
      </w:pPr>
    </w:lvl>
    <w:lvl w:ilvl="2">
      <w:start w:val="1"/>
      <w:numFmt w:val="decimal"/>
      <w:pStyle w:val="1ANumberedHeading3"/>
      <w:lvlText w:val="%1.%2.%3."/>
      <w:lvlJc w:val="left"/>
      <w:pPr>
        <w:ind w:left="1224" w:hanging="504"/>
      </w:pPr>
    </w:lvl>
    <w:lvl w:ilvl="3">
      <w:start w:val="1"/>
      <w:numFmt w:val="decimal"/>
      <w:pStyle w:val="1ANumbered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579366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5D4A2840"/>
    <w:multiLevelType w:val="hybridMultilevel"/>
    <w:tmpl w:val="AA60C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DC6431B"/>
    <w:multiLevelType w:val="multilevel"/>
    <w:tmpl w:val="438A6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D85A45"/>
    <w:multiLevelType w:val="hybridMultilevel"/>
    <w:tmpl w:val="9FC6F580"/>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76" w15:restartNumberingAfterBreak="0">
    <w:nsid w:val="63B02A60"/>
    <w:multiLevelType w:val="multilevel"/>
    <w:tmpl w:val="D2E67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F80276"/>
    <w:multiLevelType w:val="hybridMultilevel"/>
    <w:tmpl w:val="1DB2A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8596241"/>
    <w:multiLevelType w:val="hybridMultilevel"/>
    <w:tmpl w:val="684C9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9B76A38"/>
    <w:multiLevelType w:val="multilevel"/>
    <w:tmpl w:val="6F7AF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695EBE"/>
    <w:multiLevelType w:val="multilevel"/>
    <w:tmpl w:val="C20C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B64B63"/>
    <w:multiLevelType w:val="hybridMultilevel"/>
    <w:tmpl w:val="C8806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6CC63F27"/>
    <w:multiLevelType w:val="multilevel"/>
    <w:tmpl w:val="E1449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B06D76"/>
    <w:multiLevelType w:val="multilevel"/>
    <w:tmpl w:val="224AF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732814A5"/>
    <w:multiLevelType w:val="hybridMultilevel"/>
    <w:tmpl w:val="4C826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52261FC"/>
    <w:multiLevelType w:val="multilevel"/>
    <w:tmpl w:val="944C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3825B3"/>
    <w:multiLevelType w:val="multilevel"/>
    <w:tmpl w:val="B3B6FA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C1050A"/>
    <w:multiLevelType w:val="multilevel"/>
    <w:tmpl w:val="FD58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7F3733"/>
    <w:multiLevelType w:val="multilevel"/>
    <w:tmpl w:val="C980C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1E0F4D"/>
    <w:multiLevelType w:val="multilevel"/>
    <w:tmpl w:val="80F6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2805E0"/>
    <w:multiLevelType w:val="multilevel"/>
    <w:tmpl w:val="F73C5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850220">
    <w:abstractNumId w:val="44"/>
  </w:num>
  <w:num w:numId="2" w16cid:durableId="2132357777">
    <w:abstractNumId w:val="34"/>
  </w:num>
  <w:num w:numId="3" w16cid:durableId="1871340421">
    <w:abstractNumId w:val="52"/>
  </w:num>
  <w:num w:numId="4" w16cid:durableId="1099059059">
    <w:abstractNumId w:val="50"/>
  </w:num>
  <w:num w:numId="5" w16cid:durableId="1838887295">
    <w:abstractNumId w:val="0"/>
  </w:num>
  <w:num w:numId="6" w16cid:durableId="2097940759">
    <w:abstractNumId w:val="73"/>
  </w:num>
  <w:num w:numId="7" w16cid:durableId="239028710">
    <w:abstractNumId w:val="48"/>
  </w:num>
  <w:num w:numId="8" w16cid:durableId="238253151">
    <w:abstractNumId w:val="45"/>
  </w:num>
  <w:num w:numId="9" w16cid:durableId="1081289634">
    <w:abstractNumId w:val="41"/>
  </w:num>
  <w:num w:numId="10" w16cid:durableId="397752644">
    <w:abstractNumId w:val="33"/>
  </w:num>
  <w:num w:numId="11" w16cid:durableId="1233275907">
    <w:abstractNumId w:val="77"/>
  </w:num>
  <w:num w:numId="12" w16cid:durableId="1587693864">
    <w:abstractNumId w:val="23"/>
  </w:num>
  <w:num w:numId="13" w16cid:durableId="1537504646">
    <w:abstractNumId w:val="84"/>
  </w:num>
  <w:num w:numId="14" w16cid:durableId="1951545147">
    <w:abstractNumId w:val="22"/>
  </w:num>
  <w:num w:numId="15" w16cid:durableId="103810941">
    <w:abstractNumId w:val="78"/>
  </w:num>
  <w:num w:numId="16" w16cid:durableId="480972355">
    <w:abstractNumId w:val="64"/>
  </w:num>
  <w:num w:numId="17" w16cid:durableId="946161650">
    <w:abstractNumId w:val="86"/>
  </w:num>
  <w:num w:numId="18" w16cid:durableId="730160036">
    <w:abstractNumId w:val="81"/>
  </w:num>
  <w:num w:numId="19" w16cid:durableId="75397358">
    <w:abstractNumId w:val="21"/>
  </w:num>
  <w:num w:numId="20" w16cid:durableId="200478861">
    <w:abstractNumId w:val="5"/>
  </w:num>
  <w:num w:numId="21" w16cid:durableId="48958911">
    <w:abstractNumId w:val="43"/>
  </w:num>
  <w:num w:numId="22" w16cid:durableId="1020475558">
    <w:abstractNumId w:val="8"/>
  </w:num>
  <w:num w:numId="23" w16cid:durableId="1717655586">
    <w:abstractNumId w:val="1"/>
  </w:num>
  <w:num w:numId="24" w16cid:durableId="1230844621">
    <w:abstractNumId w:val="63"/>
  </w:num>
  <w:num w:numId="25" w16cid:durableId="1775133816">
    <w:abstractNumId w:val="30"/>
  </w:num>
  <w:num w:numId="26" w16cid:durableId="617105253">
    <w:abstractNumId w:val="36"/>
  </w:num>
  <w:num w:numId="27" w16cid:durableId="1727726414">
    <w:abstractNumId w:val="57"/>
  </w:num>
  <w:num w:numId="28" w16cid:durableId="2046174564">
    <w:abstractNumId w:val="17"/>
  </w:num>
  <w:num w:numId="29" w16cid:durableId="916936064">
    <w:abstractNumId w:val="72"/>
  </w:num>
  <w:num w:numId="30" w16cid:durableId="1948275315">
    <w:abstractNumId w:val="69"/>
  </w:num>
  <w:num w:numId="31" w16cid:durableId="1564482487">
    <w:abstractNumId w:val="40"/>
  </w:num>
  <w:num w:numId="32" w16cid:durableId="2082945548">
    <w:abstractNumId w:val="26"/>
  </w:num>
  <w:num w:numId="33" w16cid:durableId="45490474">
    <w:abstractNumId w:val="83"/>
  </w:num>
  <w:num w:numId="34" w16cid:durableId="1990934467">
    <w:abstractNumId w:val="71"/>
  </w:num>
  <w:num w:numId="35" w16cid:durableId="805195870">
    <w:abstractNumId w:val="75"/>
  </w:num>
  <w:num w:numId="36" w16cid:durableId="336158911">
    <w:abstractNumId w:val="54"/>
  </w:num>
  <w:num w:numId="37" w16cid:durableId="1027022293">
    <w:abstractNumId w:val="18"/>
  </w:num>
  <w:num w:numId="38" w16cid:durableId="1586843947">
    <w:abstractNumId w:val="16"/>
  </w:num>
  <w:num w:numId="39" w16cid:durableId="574899167">
    <w:abstractNumId w:val="11"/>
  </w:num>
  <w:num w:numId="40" w16cid:durableId="1315911357">
    <w:abstractNumId w:val="14"/>
  </w:num>
  <w:num w:numId="41" w16cid:durableId="476000455">
    <w:abstractNumId w:val="49"/>
  </w:num>
  <w:num w:numId="42" w16cid:durableId="908152965">
    <w:abstractNumId w:val="87"/>
  </w:num>
  <w:num w:numId="43" w16cid:durableId="1510754315">
    <w:abstractNumId w:val="10"/>
  </w:num>
  <w:num w:numId="44" w16cid:durableId="29889383">
    <w:abstractNumId w:val="13"/>
  </w:num>
  <w:num w:numId="45" w16cid:durableId="1158691906">
    <w:abstractNumId w:val="24"/>
  </w:num>
  <w:num w:numId="46" w16cid:durableId="1053697779">
    <w:abstractNumId w:val="9"/>
  </w:num>
  <w:num w:numId="47" w16cid:durableId="1729571695">
    <w:abstractNumId w:val="89"/>
  </w:num>
  <w:num w:numId="48" w16cid:durableId="1927302181">
    <w:abstractNumId w:val="35"/>
  </w:num>
  <w:num w:numId="49" w16cid:durableId="796340463">
    <w:abstractNumId w:val="59"/>
  </w:num>
  <w:num w:numId="50" w16cid:durableId="1136680513">
    <w:abstractNumId w:val="53"/>
  </w:num>
  <w:num w:numId="51" w16cid:durableId="1291789658">
    <w:abstractNumId w:val="27"/>
  </w:num>
  <w:num w:numId="52" w16cid:durableId="1022976968">
    <w:abstractNumId w:val="31"/>
  </w:num>
  <w:num w:numId="53" w16cid:durableId="1045838626">
    <w:abstractNumId w:val="79"/>
  </w:num>
  <w:num w:numId="54" w16cid:durableId="1004431808">
    <w:abstractNumId w:val="56"/>
  </w:num>
  <w:num w:numId="55" w16cid:durableId="431243454">
    <w:abstractNumId w:val="68"/>
  </w:num>
  <w:num w:numId="56" w16cid:durableId="679160518">
    <w:abstractNumId w:val="85"/>
  </w:num>
  <w:num w:numId="57" w16cid:durableId="1379668041">
    <w:abstractNumId w:val="20"/>
  </w:num>
  <w:num w:numId="58" w16cid:durableId="368992558">
    <w:abstractNumId w:val="76"/>
  </w:num>
  <w:num w:numId="59" w16cid:durableId="1826123362">
    <w:abstractNumId w:val="29"/>
  </w:num>
  <w:num w:numId="60" w16cid:durableId="1478641438">
    <w:abstractNumId w:val="3"/>
  </w:num>
  <w:num w:numId="61" w16cid:durableId="1413359917">
    <w:abstractNumId w:val="15"/>
  </w:num>
  <w:num w:numId="62" w16cid:durableId="1434589429">
    <w:abstractNumId w:val="70"/>
  </w:num>
  <w:num w:numId="63" w16cid:durableId="1022627244">
    <w:abstractNumId w:val="42"/>
  </w:num>
  <w:num w:numId="64" w16cid:durableId="1336960570">
    <w:abstractNumId w:val="55"/>
  </w:num>
  <w:num w:numId="65" w16cid:durableId="770466931">
    <w:abstractNumId w:val="4"/>
  </w:num>
  <w:num w:numId="66" w16cid:durableId="259801373">
    <w:abstractNumId w:val="60"/>
  </w:num>
  <w:num w:numId="67" w16cid:durableId="823353598">
    <w:abstractNumId w:val="46"/>
  </w:num>
  <w:num w:numId="68" w16cid:durableId="918949214">
    <w:abstractNumId w:val="47"/>
  </w:num>
  <w:num w:numId="69" w16cid:durableId="1712800779">
    <w:abstractNumId w:val="28"/>
  </w:num>
  <w:num w:numId="70" w16cid:durableId="81876592">
    <w:abstractNumId w:val="51"/>
  </w:num>
  <w:num w:numId="71" w16cid:durableId="775635896">
    <w:abstractNumId w:val="37"/>
  </w:num>
  <w:num w:numId="72" w16cid:durableId="1775705301">
    <w:abstractNumId w:val="61"/>
  </w:num>
  <w:num w:numId="73" w16cid:durableId="1184050125">
    <w:abstractNumId w:val="6"/>
  </w:num>
  <w:num w:numId="74" w16cid:durableId="1135562987">
    <w:abstractNumId w:val="2"/>
  </w:num>
  <w:num w:numId="75" w16cid:durableId="1818037062">
    <w:abstractNumId w:val="19"/>
  </w:num>
  <w:num w:numId="76" w16cid:durableId="581139810">
    <w:abstractNumId w:val="32"/>
  </w:num>
  <w:num w:numId="77" w16cid:durableId="1993440965">
    <w:abstractNumId w:val="39"/>
  </w:num>
  <w:num w:numId="78" w16cid:durableId="1993607105">
    <w:abstractNumId w:val="67"/>
  </w:num>
  <w:num w:numId="79" w16cid:durableId="1269386322">
    <w:abstractNumId w:val="88"/>
  </w:num>
  <w:num w:numId="80" w16cid:durableId="141431917">
    <w:abstractNumId w:val="65"/>
  </w:num>
  <w:num w:numId="81" w16cid:durableId="958728252">
    <w:abstractNumId w:val="58"/>
  </w:num>
  <w:num w:numId="82" w16cid:durableId="425733250">
    <w:abstractNumId w:val="38"/>
  </w:num>
  <w:num w:numId="83" w16cid:durableId="729811643">
    <w:abstractNumId w:val="82"/>
  </w:num>
  <w:num w:numId="84" w16cid:durableId="782070860">
    <w:abstractNumId w:val="66"/>
  </w:num>
  <w:num w:numId="85" w16cid:durableId="490677462">
    <w:abstractNumId w:val="74"/>
  </w:num>
  <w:num w:numId="86" w16cid:durableId="437022904">
    <w:abstractNumId w:val="25"/>
  </w:num>
  <w:num w:numId="87" w16cid:durableId="178542163">
    <w:abstractNumId w:val="90"/>
  </w:num>
  <w:num w:numId="88" w16cid:durableId="340351176">
    <w:abstractNumId w:val="62"/>
  </w:num>
  <w:num w:numId="89" w16cid:durableId="1712881384">
    <w:abstractNumId w:val="7"/>
  </w:num>
  <w:num w:numId="90" w16cid:durableId="122385699">
    <w:abstractNumId w:val="12"/>
  </w:num>
  <w:num w:numId="91" w16cid:durableId="1785076474">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5B"/>
    <w:rsid w:val="00000D62"/>
    <w:rsid w:val="0000204C"/>
    <w:rsid w:val="00002CFD"/>
    <w:rsid w:val="000035B5"/>
    <w:rsid w:val="00003FB9"/>
    <w:rsid w:val="00005942"/>
    <w:rsid w:val="00007C4E"/>
    <w:rsid w:val="00007ED2"/>
    <w:rsid w:val="00007FB0"/>
    <w:rsid w:val="00013862"/>
    <w:rsid w:val="00013B5F"/>
    <w:rsid w:val="00014AD5"/>
    <w:rsid w:val="00015AE2"/>
    <w:rsid w:val="00021669"/>
    <w:rsid w:val="00021D42"/>
    <w:rsid w:val="00023A6B"/>
    <w:rsid w:val="000244FB"/>
    <w:rsid w:val="00024B26"/>
    <w:rsid w:val="0002515F"/>
    <w:rsid w:val="00026A42"/>
    <w:rsid w:val="000302C8"/>
    <w:rsid w:val="000310AF"/>
    <w:rsid w:val="00031392"/>
    <w:rsid w:val="00031ADC"/>
    <w:rsid w:val="00033D09"/>
    <w:rsid w:val="0003450C"/>
    <w:rsid w:val="00034D6B"/>
    <w:rsid w:val="00035EED"/>
    <w:rsid w:val="00036170"/>
    <w:rsid w:val="000374B5"/>
    <w:rsid w:val="00042326"/>
    <w:rsid w:val="000439B1"/>
    <w:rsid w:val="00043A57"/>
    <w:rsid w:val="000454A7"/>
    <w:rsid w:val="00045821"/>
    <w:rsid w:val="000466AF"/>
    <w:rsid w:val="000545AA"/>
    <w:rsid w:val="00055B60"/>
    <w:rsid w:val="00056847"/>
    <w:rsid w:val="000574A1"/>
    <w:rsid w:val="0006007D"/>
    <w:rsid w:val="00062114"/>
    <w:rsid w:val="0006280F"/>
    <w:rsid w:val="00064F8A"/>
    <w:rsid w:val="000670A2"/>
    <w:rsid w:val="00070422"/>
    <w:rsid w:val="0007191D"/>
    <w:rsid w:val="00075023"/>
    <w:rsid w:val="00075209"/>
    <w:rsid w:val="00075CF7"/>
    <w:rsid w:val="00077BE0"/>
    <w:rsid w:val="00080232"/>
    <w:rsid w:val="00083083"/>
    <w:rsid w:val="00083375"/>
    <w:rsid w:val="000870D4"/>
    <w:rsid w:val="00090270"/>
    <w:rsid w:val="00094887"/>
    <w:rsid w:val="000976C9"/>
    <w:rsid w:val="00097C08"/>
    <w:rsid w:val="000A1029"/>
    <w:rsid w:val="000A193C"/>
    <w:rsid w:val="000A59E1"/>
    <w:rsid w:val="000A62AB"/>
    <w:rsid w:val="000A7CBF"/>
    <w:rsid w:val="000B1BA8"/>
    <w:rsid w:val="000B2A6D"/>
    <w:rsid w:val="000B2BB4"/>
    <w:rsid w:val="000B33A5"/>
    <w:rsid w:val="000B3C6E"/>
    <w:rsid w:val="000B6395"/>
    <w:rsid w:val="000B77D3"/>
    <w:rsid w:val="000C2A5F"/>
    <w:rsid w:val="000C3493"/>
    <w:rsid w:val="000C37A2"/>
    <w:rsid w:val="000C485D"/>
    <w:rsid w:val="000C5DAD"/>
    <w:rsid w:val="000C60EC"/>
    <w:rsid w:val="000C66D9"/>
    <w:rsid w:val="000D02A8"/>
    <w:rsid w:val="000D27C9"/>
    <w:rsid w:val="000D2CF7"/>
    <w:rsid w:val="000D499C"/>
    <w:rsid w:val="000D534D"/>
    <w:rsid w:val="000D5BFB"/>
    <w:rsid w:val="000D5CD1"/>
    <w:rsid w:val="000D603D"/>
    <w:rsid w:val="000D6442"/>
    <w:rsid w:val="000D6C69"/>
    <w:rsid w:val="000E0358"/>
    <w:rsid w:val="000E1F47"/>
    <w:rsid w:val="000E2631"/>
    <w:rsid w:val="000E4561"/>
    <w:rsid w:val="000E6622"/>
    <w:rsid w:val="000E72AB"/>
    <w:rsid w:val="000F03C5"/>
    <w:rsid w:val="000F125B"/>
    <w:rsid w:val="000F15B2"/>
    <w:rsid w:val="000F2E21"/>
    <w:rsid w:val="000F75F3"/>
    <w:rsid w:val="000F7E72"/>
    <w:rsid w:val="00102BCD"/>
    <w:rsid w:val="00103EBA"/>
    <w:rsid w:val="0010412C"/>
    <w:rsid w:val="0010431A"/>
    <w:rsid w:val="001045CA"/>
    <w:rsid w:val="00106323"/>
    <w:rsid w:val="00107378"/>
    <w:rsid w:val="00111AC7"/>
    <w:rsid w:val="00112721"/>
    <w:rsid w:val="001135E8"/>
    <w:rsid w:val="0011381B"/>
    <w:rsid w:val="00113F19"/>
    <w:rsid w:val="001166ED"/>
    <w:rsid w:val="001214B6"/>
    <w:rsid w:val="001216F4"/>
    <w:rsid w:val="001234F8"/>
    <w:rsid w:val="00123673"/>
    <w:rsid w:val="00123838"/>
    <w:rsid w:val="00124E0A"/>
    <w:rsid w:val="00125202"/>
    <w:rsid w:val="0012686E"/>
    <w:rsid w:val="00127160"/>
    <w:rsid w:val="0012752E"/>
    <w:rsid w:val="001309CD"/>
    <w:rsid w:val="00131A40"/>
    <w:rsid w:val="00132672"/>
    <w:rsid w:val="001346E2"/>
    <w:rsid w:val="00135830"/>
    <w:rsid w:val="00140FC3"/>
    <w:rsid w:val="001421F0"/>
    <w:rsid w:val="00144D4D"/>
    <w:rsid w:val="00145444"/>
    <w:rsid w:val="00146FBE"/>
    <w:rsid w:val="00150414"/>
    <w:rsid w:val="001529A3"/>
    <w:rsid w:val="00153ED5"/>
    <w:rsid w:val="001543A6"/>
    <w:rsid w:val="00156C38"/>
    <w:rsid w:val="0016050C"/>
    <w:rsid w:val="00162B55"/>
    <w:rsid w:val="0016314A"/>
    <w:rsid w:val="00164731"/>
    <w:rsid w:val="00164BB5"/>
    <w:rsid w:val="001650F4"/>
    <w:rsid w:val="001659DB"/>
    <w:rsid w:val="00166255"/>
    <w:rsid w:val="001667BE"/>
    <w:rsid w:val="0017014D"/>
    <w:rsid w:val="00175C42"/>
    <w:rsid w:val="00175EEF"/>
    <w:rsid w:val="00190001"/>
    <w:rsid w:val="00191C25"/>
    <w:rsid w:val="001920E3"/>
    <w:rsid w:val="001927E6"/>
    <w:rsid w:val="001935DA"/>
    <w:rsid w:val="001962B2"/>
    <w:rsid w:val="001970CA"/>
    <w:rsid w:val="001978E8"/>
    <w:rsid w:val="001A05AA"/>
    <w:rsid w:val="001A2122"/>
    <w:rsid w:val="001A35C4"/>
    <w:rsid w:val="001A61CA"/>
    <w:rsid w:val="001A6B8B"/>
    <w:rsid w:val="001B0217"/>
    <w:rsid w:val="001B415D"/>
    <w:rsid w:val="001B5864"/>
    <w:rsid w:val="001B616A"/>
    <w:rsid w:val="001C4997"/>
    <w:rsid w:val="001C59B0"/>
    <w:rsid w:val="001C6A07"/>
    <w:rsid w:val="001D12C9"/>
    <w:rsid w:val="001D2029"/>
    <w:rsid w:val="001D5457"/>
    <w:rsid w:val="001D5D35"/>
    <w:rsid w:val="001D5E3C"/>
    <w:rsid w:val="001D63C3"/>
    <w:rsid w:val="001D7CFE"/>
    <w:rsid w:val="001D7E50"/>
    <w:rsid w:val="001E0AF5"/>
    <w:rsid w:val="001E3074"/>
    <w:rsid w:val="001E3DC3"/>
    <w:rsid w:val="001E77BE"/>
    <w:rsid w:val="001E7DFE"/>
    <w:rsid w:val="001F2A57"/>
    <w:rsid w:val="001F300A"/>
    <w:rsid w:val="00202797"/>
    <w:rsid w:val="002039EF"/>
    <w:rsid w:val="002053ED"/>
    <w:rsid w:val="002125C2"/>
    <w:rsid w:val="002126CE"/>
    <w:rsid w:val="00216B4D"/>
    <w:rsid w:val="00217002"/>
    <w:rsid w:val="002179FD"/>
    <w:rsid w:val="00220FA3"/>
    <w:rsid w:val="0022463A"/>
    <w:rsid w:val="00226E9C"/>
    <w:rsid w:val="00227506"/>
    <w:rsid w:val="00231FE7"/>
    <w:rsid w:val="0023343E"/>
    <w:rsid w:val="00233716"/>
    <w:rsid w:val="002347F0"/>
    <w:rsid w:val="002351ED"/>
    <w:rsid w:val="00235BEB"/>
    <w:rsid w:val="002364BE"/>
    <w:rsid w:val="002372F5"/>
    <w:rsid w:val="00237DDF"/>
    <w:rsid w:val="0024302B"/>
    <w:rsid w:val="00244AF1"/>
    <w:rsid w:val="002454B6"/>
    <w:rsid w:val="00247F79"/>
    <w:rsid w:val="00250068"/>
    <w:rsid w:val="0025149B"/>
    <w:rsid w:val="00251EBE"/>
    <w:rsid w:val="00261B40"/>
    <w:rsid w:val="002631C1"/>
    <w:rsid w:val="00264699"/>
    <w:rsid w:val="002651F2"/>
    <w:rsid w:val="00265396"/>
    <w:rsid w:val="00267F38"/>
    <w:rsid w:val="002719C0"/>
    <w:rsid w:val="00271C4F"/>
    <w:rsid w:val="00272D00"/>
    <w:rsid w:val="0027558B"/>
    <w:rsid w:val="00275728"/>
    <w:rsid w:val="00277A67"/>
    <w:rsid w:val="00280C0A"/>
    <w:rsid w:val="002913E6"/>
    <w:rsid w:val="002926D7"/>
    <w:rsid w:val="00294F79"/>
    <w:rsid w:val="00295972"/>
    <w:rsid w:val="00296279"/>
    <w:rsid w:val="002A2743"/>
    <w:rsid w:val="002A480D"/>
    <w:rsid w:val="002A666C"/>
    <w:rsid w:val="002A7567"/>
    <w:rsid w:val="002A78B6"/>
    <w:rsid w:val="002B1E4E"/>
    <w:rsid w:val="002C10A0"/>
    <w:rsid w:val="002C2C7F"/>
    <w:rsid w:val="002C58A6"/>
    <w:rsid w:val="002C5902"/>
    <w:rsid w:val="002C6947"/>
    <w:rsid w:val="002C79C2"/>
    <w:rsid w:val="002D0AF2"/>
    <w:rsid w:val="002D3488"/>
    <w:rsid w:val="002D5E0B"/>
    <w:rsid w:val="002D6438"/>
    <w:rsid w:val="002D670B"/>
    <w:rsid w:val="002E07FB"/>
    <w:rsid w:val="002E201C"/>
    <w:rsid w:val="002E6020"/>
    <w:rsid w:val="002E69C1"/>
    <w:rsid w:val="002E7345"/>
    <w:rsid w:val="002E7EA2"/>
    <w:rsid w:val="002F0492"/>
    <w:rsid w:val="002F0F16"/>
    <w:rsid w:val="002F16D5"/>
    <w:rsid w:val="002F1C30"/>
    <w:rsid w:val="002F2964"/>
    <w:rsid w:val="002F296F"/>
    <w:rsid w:val="002F45E7"/>
    <w:rsid w:val="002F7A9D"/>
    <w:rsid w:val="002F7D0D"/>
    <w:rsid w:val="0030138F"/>
    <w:rsid w:val="003041DC"/>
    <w:rsid w:val="003111D5"/>
    <w:rsid w:val="003116E4"/>
    <w:rsid w:val="003132B8"/>
    <w:rsid w:val="00316C0F"/>
    <w:rsid w:val="003175B9"/>
    <w:rsid w:val="00317E9A"/>
    <w:rsid w:val="00320407"/>
    <w:rsid w:val="0032097B"/>
    <w:rsid w:val="00321417"/>
    <w:rsid w:val="0032201D"/>
    <w:rsid w:val="00322470"/>
    <w:rsid w:val="00326A59"/>
    <w:rsid w:val="003306A5"/>
    <w:rsid w:val="003316DC"/>
    <w:rsid w:val="00331BA3"/>
    <w:rsid w:val="00332423"/>
    <w:rsid w:val="0033432B"/>
    <w:rsid w:val="00334BD0"/>
    <w:rsid w:val="00337BAE"/>
    <w:rsid w:val="00340FCD"/>
    <w:rsid w:val="003412A2"/>
    <w:rsid w:val="00341E7C"/>
    <w:rsid w:val="00342645"/>
    <w:rsid w:val="003451D4"/>
    <w:rsid w:val="0034634A"/>
    <w:rsid w:val="003530AD"/>
    <w:rsid w:val="00353E01"/>
    <w:rsid w:val="00357CFE"/>
    <w:rsid w:val="00364B0E"/>
    <w:rsid w:val="00367629"/>
    <w:rsid w:val="003761BF"/>
    <w:rsid w:val="00381383"/>
    <w:rsid w:val="00382185"/>
    <w:rsid w:val="003825E9"/>
    <w:rsid w:val="0038275F"/>
    <w:rsid w:val="00382EB5"/>
    <w:rsid w:val="0038300B"/>
    <w:rsid w:val="00383D07"/>
    <w:rsid w:val="00383F0F"/>
    <w:rsid w:val="003845C4"/>
    <w:rsid w:val="00384D0A"/>
    <w:rsid w:val="00384D59"/>
    <w:rsid w:val="00390004"/>
    <w:rsid w:val="003917A1"/>
    <w:rsid w:val="003929E8"/>
    <w:rsid w:val="00396100"/>
    <w:rsid w:val="003A1113"/>
    <w:rsid w:val="003A3AF4"/>
    <w:rsid w:val="003A5801"/>
    <w:rsid w:val="003B243C"/>
    <w:rsid w:val="003B4196"/>
    <w:rsid w:val="003B670F"/>
    <w:rsid w:val="003C1C7B"/>
    <w:rsid w:val="003D15E5"/>
    <w:rsid w:val="003D2A69"/>
    <w:rsid w:val="003D4630"/>
    <w:rsid w:val="003D570D"/>
    <w:rsid w:val="003D6D60"/>
    <w:rsid w:val="003D763B"/>
    <w:rsid w:val="003D7C71"/>
    <w:rsid w:val="003E204C"/>
    <w:rsid w:val="003E2B77"/>
    <w:rsid w:val="003E2BA0"/>
    <w:rsid w:val="003E77B8"/>
    <w:rsid w:val="003F1588"/>
    <w:rsid w:val="003F1C81"/>
    <w:rsid w:val="003F7049"/>
    <w:rsid w:val="004001DD"/>
    <w:rsid w:val="00401590"/>
    <w:rsid w:val="004030C6"/>
    <w:rsid w:val="0040638F"/>
    <w:rsid w:val="00407F3A"/>
    <w:rsid w:val="0041084B"/>
    <w:rsid w:val="0041281A"/>
    <w:rsid w:val="00413984"/>
    <w:rsid w:val="00413A84"/>
    <w:rsid w:val="00413AF9"/>
    <w:rsid w:val="00414E34"/>
    <w:rsid w:val="004153E2"/>
    <w:rsid w:val="004162D5"/>
    <w:rsid w:val="00416909"/>
    <w:rsid w:val="00416D8C"/>
    <w:rsid w:val="00417F4B"/>
    <w:rsid w:val="00420766"/>
    <w:rsid w:val="00424719"/>
    <w:rsid w:val="0043269E"/>
    <w:rsid w:val="0043323B"/>
    <w:rsid w:val="0043346B"/>
    <w:rsid w:val="004344B1"/>
    <w:rsid w:val="00440CCF"/>
    <w:rsid w:val="00440CFE"/>
    <w:rsid w:val="004414BF"/>
    <w:rsid w:val="00446FBE"/>
    <w:rsid w:val="00447168"/>
    <w:rsid w:val="00447A3B"/>
    <w:rsid w:val="00450774"/>
    <w:rsid w:val="00452A26"/>
    <w:rsid w:val="00453063"/>
    <w:rsid w:val="00455C87"/>
    <w:rsid w:val="004562AD"/>
    <w:rsid w:val="00456698"/>
    <w:rsid w:val="00456F94"/>
    <w:rsid w:val="004571FC"/>
    <w:rsid w:val="004574BB"/>
    <w:rsid w:val="004579B4"/>
    <w:rsid w:val="00457C89"/>
    <w:rsid w:val="004616BC"/>
    <w:rsid w:val="00461BB2"/>
    <w:rsid w:val="00462C2A"/>
    <w:rsid w:val="00462D6A"/>
    <w:rsid w:val="004633FA"/>
    <w:rsid w:val="00463855"/>
    <w:rsid w:val="0046493F"/>
    <w:rsid w:val="00464BFA"/>
    <w:rsid w:val="00464F1E"/>
    <w:rsid w:val="00466362"/>
    <w:rsid w:val="00466BB1"/>
    <w:rsid w:val="00467AE6"/>
    <w:rsid w:val="00471F12"/>
    <w:rsid w:val="004724FA"/>
    <w:rsid w:val="004736E9"/>
    <w:rsid w:val="004766D2"/>
    <w:rsid w:val="0047717D"/>
    <w:rsid w:val="00481EDE"/>
    <w:rsid w:val="00483047"/>
    <w:rsid w:val="0048445A"/>
    <w:rsid w:val="004854EA"/>
    <w:rsid w:val="00486A1D"/>
    <w:rsid w:val="004876B3"/>
    <w:rsid w:val="00487BE5"/>
    <w:rsid w:val="0049061E"/>
    <w:rsid w:val="00492578"/>
    <w:rsid w:val="00494027"/>
    <w:rsid w:val="004968E1"/>
    <w:rsid w:val="004A1AC4"/>
    <w:rsid w:val="004A1DC6"/>
    <w:rsid w:val="004A5232"/>
    <w:rsid w:val="004A72A2"/>
    <w:rsid w:val="004B1196"/>
    <w:rsid w:val="004B21A3"/>
    <w:rsid w:val="004B226D"/>
    <w:rsid w:val="004B2358"/>
    <w:rsid w:val="004B26D1"/>
    <w:rsid w:val="004B3267"/>
    <w:rsid w:val="004B6E0F"/>
    <w:rsid w:val="004B7BF9"/>
    <w:rsid w:val="004B7E57"/>
    <w:rsid w:val="004C1B6D"/>
    <w:rsid w:val="004C1F6B"/>
    <w:rsid w:val="004C2CD4"/>
    <w:rsid w:val="004C2DDD"/>
    <w:rsid w:val="004C39C3"/>
    <w:rsid w:val="004C3EB2"/>
    <w:rsid w:val="004C4C4A"/>
    <w:rsid w:val="004C5E60"/>
    <w:rsid w:val="004C64CF"/>
    <w:rsid w:val="004D03C6"/>
    <w:rsid w:val="004D30DD"/>
    <w:rsid w:val="004D3C68"/>
    <w:rsid w:val="004D46B0"/>
    <w:rsid w:val="004D5344"/>
    <w:rsid w:val="004D5569"/>
    <w:rsid w:val="004D5D54"/>
    <w:rsid w:val="004D65DD"/>
    <w:rsid w:val="004D6C5B"/>
    <w:rsid w:val="004D6F3D"/>
    <w:rsid w:val="004D7C30"/>
    <w:rsid w:val="004D7F7E"/>
    <w:rsid w:val="004E03BA"/>
    <w:rsid w:val="004E1404"/>
    <w:rsid w:val="004E2C0E"/>
    <w:rsid w:val="004E346F"/>
    <w:rsid w:val="004E3565"/>
    <w:rsid w:val="004E3D56"/>
    <w:rsid w:val="004E3FAE"/>
    <w:rsid w:val="004E6EF3"/>
    <w:rsid w:val="004F0679"/>
    <w:rsid w:val="004F07C1"/>
    <w:rsid w:val="004F0A1B"/>
    <w:rsid w:val="004F2F2A"/>
    <w:rsid w:val="004F39F5"/>
    <w:rsid w:val="004F5670"/>
    <w:rsid w:val="004F60BE"/>
    <w:rsid w:val="004F626A"/>
    <w:rsid w:val="004F77B8"/>
    <w:rsid w:val="0050146E"/>
    <w:rsid w:val="00501746"/>
    <w:rsid w:val="00501EF9"/>
    <w:rsid w:val="005020A7"/>
    <w:rsid w:val="0050211E"/>
    <w:rsid w:val="00502D98"/>
    <w:rsid w:val="005040E2"/>
    <w:rsid w:val="0050420C"/>
    <w:rsid w:val="005078BF"/>
    <w:rsid w:val="00513C32"/>
    <w:rsid w:val="005156AA"/>
    <w:rsid w:val="00516482"/>
    <w:rsid w:val="00516D22"/>
    <w:rsid w:val="005176DD"/>
    <w:rsid w:val="0052041C"/>
    <w:rsid w:val="005212BC"/>
    <w:rsid w:val="0052201A"/>
    <w:rsid w:val="005239FA"/>
    <w:rsid w:val="00525B08"/>
    <w:rsid w:val="00526C5E"/>
    <w:rsid w:val="00530631"/>
    <w:rsid w:val="00534A9D"/>
    <w:rsid w:val="00536910"/>
    <w:rsid w:val="00537712"/>
    <w:rsid w:val="00541888"/>
    <w:rsid w:val="005420B5"/>
    <w:rsid w:val="0054224D"/>
    <w:rsid w:val="00542E5F"/>
    <w:rsid w:val="005444D7"/>
    <w:rsid w:val="00544D0E"/>
    <w:rsid w:val="005478FA"/>
    <w:rsid w:val="00550C4B"/>
    <w:rsid w:val="00551790"/>
    <w:rsid w:val="00552C61"/>
    <w:rsid w:val="0055364C"/>
    <w:rsid w:val="00556A18"/>
    <w:rsid w:val="00556A68"/>
    <w:rsid w:val="00556F7F"/>
    <w:rsid w:val="005573E2"/>
    <w:rsid w:val="00557BBD"/>
    <w:rsid w:val="0056105C"/>
    <w:rsid w:val="00562381"/>
    <w:rsid w:val="0056378E"/>
    <w:rsid w:val="00563DE7"/>
    <w:rsid w:val="005670F7"/>
    <w:rsid w:val="0057099C"/>
    <w:rsid w:val="005720AC"/>
    <w:rsid w:val="0057264A"/>
    <w:rsid w:val="00572C75"/>
    <w:rsid w:val="00572F93"/>
    <w:rsid w:val="00573589"/>
    <w:rsid w:val="005756AE"/>
    <w:rsid w:val="00580DD8"/>
    <w:rsid w:val="00581D4E"/>
    <w:rsid w:val="00583A96"/>
    <w:rsid w:val="00584E0B"/>
    <w:rsid w:val="005875B7"/>
    <w:rsid w:val="005931F5"/>
    <w:rsid w:val="00594EFA"/>
    <w:rsid w:val="00595505"/>
    <w:rsid w:val="00596D2C"/>
    <w:rsid w:val="005975C5"/>
    <w:rsid w:val="005A4443"/>
    <w:rsid w:val="005A760E"/>
    <w:rsid w:val="005B4EF4"/>
    <w:rsid w:val="005B61B7"/>
    <w:rsid w:val="005C15C2"/>
    <w:rsid w:val="005C15C3"/>
    <w:rsid w:val="005C3ACA"/>
    <w:rsid w:val="005C78CC"/>
    <w:rsid w:val="005E2440"/>
    <w:rsid w:val="005E25C4"/>
    <w:rsid w:val="005E2671"/>
    <w:rsid w:val="005E39C9"/>
    <w:rsid w:val="005E50F2"/>
    <w:rsid w:val="005E6270"/>
    <w:rsid w:val="005E6BC4"/>
    <w:rsid w:val="005E7BD6"/>
    <w:rsid w:val="005F383B"/>
    <w:rsid w:val="005F4BA0"/>
    <w:rsid w:val="005F67B3"/>
    <w:rsid w:val="005F7731"/>
    <w:rsid w:val="00600E28"/>
    <w:rsid w:val="00606EEB"/>
    <w:rsid w:val="0061017D"/>
    <w:rsid w:val="00610540"/>
    <w:rsid w:val="00612F83"/>
    <w:rsid w:val="00613130"/>
    <w:rsid w:val="006150EB"/>
    <w:rsid w:val="00615282"/>
    <w:rsid w:val="00615953"/>
    <w:rsid w:val="006169AC"/>
    <w:rsid w:val="00617BC8"/>
    <w:rsid w:val="00621E57"/>
    <w:rsid w:val="00623A6D"/>
    <w:rsid w:val="00623A8B"/>
    <w:rsid w:val="00623FFC"/>
    <w:rsid w:val="006270E0"/>
    <w:rsid w:val="0062745F"/>
    <w:rsid w:val="00630509"/>
    <w:rsid w:val="006322C4"/>
    <w:rsid w:val="00633E28"/>
    <w:rsid w:val="006345AF"/>
    <w:rsid w:val="006347E8"/>
    <w:rsid w:val="00634B81"/>
    <w:rsid w:val="00635AA9"/>
    <w:rsid w:val="00636E0B"/>
    <w:rsid w:val="0063778D"/>
    <w:rsid w:val="006379A0"/>
    <w:rsid w:val="006442E6"/>
    <w:rsid w:val="006454F3"/>
    <w:rsid w:val="006478D4"/>
    <w:rsid w:val="0064793E"/>
    <w:rsid w:val="0065025D"/>
    <w:rsid w:val="0065175E"/>
    <w:rsid w:val="00651B56"/>
    <w:rsid w:val="006533A8"/>
    <w:rsid w:val="00653586"/>
    <w:rsid w:val="006544F7"/>
    <w:rsid w:val="00654E8D"/>
    <w:rsid w:val="00654FC0"/>
    <w:rsid w:val="006654A0"/>
    <w:rsid w:val="006655D7"/>
    <w:rsid w:val="00665988"/>
    <w:rsid w:val="0066637F"/>
    <w:rsid w:val="006678A8"/>
    <w:rsid w:val="0067328F"/>
    <w:rsid w:val="0067607A"/>
    <w:rsid w:val="006830F3"/>
    <w:rsid w:val="00684A59"/>
    <w:rsid w:val="00687553"/>
    <w:rsid w:val="006906F8"/>
    <w:rsid w:val="00692E4E"/>
    <w:rsid w:val="0069575E"/>
    <w:rsid w:val="00695770"/>
    <w:rsid w:val="00695D7B"/>
    <w:rsid w:val="00696792"/>
    <w:rsid w:val="00696AD4"/>
    <w:rsid w:val="006A272D"/>
    <w:rsid w:val="006A3563"/>
    <w:rsid w:val="006B0AD4"/>
    <w:rsid w:val="006B46C0"/>
    <w:rsid w:val="006B68DB"/>
    <w:rsid w:val="006C12CD"/>
    <w:rsid w:val="006C3C83"/>
    <w:rsid w:val="006C461A"/>
    <w:rsid w:val="006C48F2"/>
    <w:rsid w:val="006C497D"/>
    <w:rsid w:val="006C70F9"/>
    <w:rsid w:val="006D0AF3"/>
    <w:rsid w:val="006D0BC5"/>
    <w:rsid w:val="006D194D"/>
    <w:rsid w:val="006D2BC6"/>
    <w:rsid w:val="006D3A5A"/>
    <w:rsid w:val="006D6F58"/>
    <w:rsid w:val="006D752F"/>
    <w:rsid w:val="006D7EC5"/>
    <w:rsid w:val="006E1C03"/>
    <w:rsid w:val="006E295A"/>
    <w:rsid w:val="006E57AF"/>
    <w:rsid w:val="006E59E4"/>
    <w:rsid w:val="006E5D78"/>
    <w:rsid w:val="006E6AE8"/>
    <w:rsid w:val="006E7771"/>
    <w:rsid w:val="006F3B83"/>
    <w:rsid w:val="006F466E"/>
    <w:rsid w:val="006F6B88"/>
    <w:rsid w:val="006F75B5"/>
    <w:rsid w:val="006F7BB2"/>
    <w:rsid w:val="00701736"/>
    <w:rsid w:val="00702E75"/>
    <w:rsid w:val="00703EB2"/>
    <w:rsid w:val="0070796A"/>
    <w:rsid w:val="00712B52"/>
    <w:rsid w:val="0071312D"/>
    <w:rsid w:val="0071364F"/>
    <w:rsid w:val="00715016"/>
    <w:rsid w:val="00715578"/>
    <w:rsid w:val="00726011"/>
    <w:rsid w:val="007269C7"/>
    <w:rsid w:val="00727845"/>
    <w:rsid w:val="007278A3"/>
    <w:rsid w:val="0073009D"/>
    <w:rsid w:val="00730181"/>
    <w:rsid w:val="00730791"/>
    <w:rsid w:val="0073270B"/>
    <w:rsid w:val="00732C46"/>
    <w:rsid w:val="0073330B"/>
    <w:rsid w:val="00733F6A"/>
    <w:rsid w:val="00734DBA"/>
    <w:rsid w:val="0073790A"/>
    <w:rsid w:val="0073799B"/>
    <w:rsid w:val="007402E6"/>
    <w:rsid w:val="00740724"/>
    <w:rsid w:val="0074207D"/>
    <w:rsid w:val="007474AB"/>
    <w:rsid w:val="0075057C"/>
    <w:rsid w:val="00755983"/>
    <w:rsid w:val="00755B01"/>
    <w:rsid w:val="00756635"/>
    <w:rsid w:val="00762B65"/>
    <w:rsid w:val="00765981"/>
    <w:rsid w:val="00765BD3"/>
    <w:rsid w:val="00766B6C"/>
    <w:rsid w:val="0076774B"/>
    <w:rsid w:val="00767A21"/>
    <w:rsid w:val="007704DF"/>
    <w:rsid w:val="0077262D"/>
    <w:rsid w:val="0077498A"/>
    <w:rsid w:val="0077520D"/>
    <w:rsid w:val="007761EB"/>
    <w:rsid w:val="007765F0"/>
    <w:rsid w:val="00777492"/>
    <w:rsid w:val="00781994"/>
    <w:rsid w:val="00782C96"/>
    <w:rsid w:val="0078398D"/>
    <w:rsid w:val="00784F88"/>
    <w:rsid w:val="00786DE6"/>
    <w:rsid w:val="00790463"/>
    <w:rsid w:val="007926AD"/>
    <w:rsid w:val="00792DED"/>
    <w:rsid w:val="007A196D"/>
    <w:rsid w:val="007A2B77"/>
    <w:rsid w:val="007A2F60"/>
    <w:rsid w:val="007A37AC"/>
    <w:rsid w:val="007A474B"/>
    <w:rsid w:val="007B0223"/>
    <w:rsid w:val="007B1538"/>
    <w:rsid w:val="007B1903"/>
    <w:rsid w:val="007B2120"/>
    <w:rsid w:val="007B3F25"/>
    <w:rsid w:val="007B410B"/>
    <w:rsid w:val="007B59EC"/>
    <w:rsid w:val="007B7900"/>
    <w:rsid w:val="007B7F73"/>
    <w:rsid w:val="007C0A15"/>
    <w:rsid w:val="007C137C"/>
    <w:rsid w:val="007C23E4"/>
    <w:rsid w:val="007C299B"/>
    <w:rsid w:val="007C29EB"/>
    <w:rsid w:val="007C2AEB"/>
    <w:rsid w:val="007C497C"/>
    <w:rsid w:val="007C6EAE"/>
    <w:rsid w:val="007D06EC"/>
    <w:rsid w:val="007D0A04"/>
    <w:rsid w:val="007D0DAB"/>
    <w:rsid w:val="007D15DE"/>
    <w:rsid w:val="007D1BFA"/>
    <w:rsid w:val="007D28EF"/>
    <w:rsid w:val="007D2AC3"/>
    <w:rsid w:val="007D4888"/>
    <w:rsid w:val="007D4A6D"/>
    <w:rsid w:val="007D4B14"/>
    <w:rsid w:val="007D64C0"/>
    <w:rsid w:val="007D7001"/>
    <w:rsid w:val="007E0112"/>
    <w:rsid w:val="007E126D"/>
    <w:rsid w:val="007E1692"/>
    <w:rsid w:val="007E1BD4"/>
    <w:rsid w:val="007E1DBE"/>
    <w:rsid w:val="007E215A"/>
    <w:rsid w:val="007E23F7"/>
    <w:rsid w:val="007E319E"/>
    <w:rsid w:val="007E463F"/>
    <w:rsid w:val="007E48CD"/>
    <w:rsid w:val="007E73C6"/>
    <w:rsid w:val="007F3FCD"/>
    <w:rsid w:val="007F4642"/>
    <w:rsid w:val="007F4F63"/>
    <w:rsid w:val="007F792A"/>
    <w:rsid w:val="00800E93"/>
    <w:rsid w:val="0080218B"/>
    <w:rsid w:val="00806716"/>
    <w:rsid w:val="00807773"/>
    <w:rsid w:val="008077E4"/>
    <w:rsid w:val="00811AD8"/>
    <w:rsid w:val="008122F3"/>
    <w:rsid w:val="00815979"/>
    <w:rsid w:val="00816619"/>
    <w:rsid w:val="0081732B"/>
    <w:rsid w:val="00817CFE"/>
    <w:rsid w:val="00820537"/>
    <w:rsid w:val="0082053B"/>
    <w:rsid w:val="00820A5D"/>
    <w:rsid w:val="008227A9"/>
    <w:rsid w:val="00822ABF"/>
    <w:rsid w:val="00823059"/>
    <w:rsid w:val="00824B8C"/>
    <w:rsid w:val="0082589D"/>
    <w:rsid w:val="00825E7E"/>
    <w:rsid w:val="00826C12"/>
    <w:rsid w:val="0082717E"/>
    <w:rsid w:val="008327EB"/>
    <w:rsid w:val="00834481"/>
    <w:rsid w:val="00837CF6"/>
    <w:rsid w:val="008402D6"/>
    <w:rsid w:val="00841C3A"/>
    <w:rsid w:val="00842E7F"/>
    <w:rsid w:val="008441FF"/>
    <w:rsid w:val="00850479"/>
    <w:rsid w:val="0085350C"/>
    <w:rsid w:val="00855DBB"/>
    <w:rsid w:val="008577A0"/>
    <w:rsid w:val="00860A3F"/>
    <w:rsid w:val="008625C8"/>
    <w:rsid w:val="00862D7E"/>
    <w:rsid w:val="0086377C"/>
    <w:rsid w:val="008641E7"/>
    <w:rsid w:val="0086461B"/>
    <w:rsid w:val="00864E96"/>
    <w:rsid w:val="008671D3"/>
    <w:rsid w:val="008775D7"/>
    <w:rsid w:val="00883FFD"/>
    <w:rsid w:val="00890915"/>
    <w:rsid w:val="008915E7"/>
    <w:rsid w:val="00892F31"/>
    <w:rsid w:val="008941CA"/>
    <w:rsid w:val="00894C2F"/>
    <w:rsid w:val="008954BA"/>
    <w:rsid w:val="0089622D"/>
    <w:rsid w:val="00896E0B"/>
    <w:rsid w:val="00897091"/>
    <w:rsid w:val="00897D70"/>
    <w:rsid w:val="008A14F5"/>
    <w:rsid w:val="008A31A8"/>
    <w:rsid w:val="008A361D"/>
    <w:rsid w:val="008A3E00"/>
    <w:rsid w:val="008A4327"/>
    <w:rsid w:val="008A5350"/>
    <w:rsid w:val="008A5436"/>
    <w:rsid w:val="008A6089"/>
    <w:rsid w:val="008B2BF6"/>
    <w:rsid w:val="008B3B5A"/>
    <w:rsid w:val="008B480C"/>
    <w:rsid w:val="008B4E80"/>
    <w:rsid w:val="008C0D30"/>
    <w:rsid w:val="008C1ED3"/>
    <w:rsid w:val="008C5476"/>
    <w:rsid w:val="008C5B1F"/>
    <w:rsid w:val="008C7D92"/>
    <w:rsid w:val="008D0189"/>
    <w:rsid w:val="008D1062"/>
    <w:rsid w:val="008D1B45"/>
    <w:rsid w:val="008D4B36"/>
    <w:rsid w:val="008D4C18"/>
    <w:rsid w:val="008D5493"/>
    <w:rsid w:val="008E0A4E"/>
    <w:rsid w:val="008E3F30"/>
    <w:rsid w:val="008E4335"/>
    <w:rsid w:val="008E5463"/>
    <w:rsid w:val="008E7E80"/>
    <w:rsid w:val="008F38C4"/>
    <w:rsid w:val="008F3E89"/>
    <w:rsid w:val="008F4749"/>
    <w:rsid w:val="008F47B5"/>
    <w:rsid w:val="008F5D12"/>
    <w:rsid w:val="008F731E"/>
    <w:rsid w:val="008F7440"/>
    <w:rsid w:val="00900491"/>
    <w:rsid w:val="0090264D"/>
    <w:rsid w:val="00904786"/>
    <w:rsid w:val="00904DFB"/>
    <w:rsid w:val="0090733C"/>
    <w:rsid w:val="00916251"/>
    <w:rsid w:val="009165AF"/>
    <w:rsid w:val="00917F40"/>
    <w:rsid w:val="00925EFE"/>
    <w:rsid w:val="00927F6D"/>
    <w:rsid w:val="0093002D"/>
    <w:rsid w:val="00930B6A"/>
    <w:rsid w:val="00932ED1"/>
    <w:rsid w:val="0093477F"/>
    <w:rsid w:val="00934C26"/>
    <w:rsid w:val="00935E92"/>
    <w:rsid w:val="0094058C"/>
    <w:rsid w:val="0094136F"/>
    <w:rsid w:val="00942750"/>
    <w:rsid w:val="009432F2"/>
    <w:rsid w:val="00944BF1"/>
    <w:rsid w:val="00945BEF"/>
    <w:rsid w:val="00950882"/>
    <w:rsid w:val="00952999"/>
    <w:rsid w:val="0095579A"/>
    <w:rsid w:val="00956036"/>
    <w:rsid w:val="009573FE"/>
    <w:rsid w:val="00961838"/>
    <w:rsid w:val="00961C47"/>
    <w:rsid w:val="00970700"/>
    <w:rsid w:val="00970AAB"/>
    <w:rsid w:val="00970E55"/>
    <w:rsid w:val="0097321E"/>
    <w:rsid w:val="00975386"/>
    <w:rsid w:val="00975B27"/>
    <w:rsid w:val="00975E24"/>
    <w:rsid w:val="009772F9"/>
    <w:rsid w:val="00981845"/>
    <w:rsid w:val="009824A9"/>
    <w:rsid w:val="00985377"/>
    <w:rsid w:val="00986A62"/>
    <w:rsid w:val="00986B3C"/>
    <w:rsid w:val="00986C33"/>
    <w:rsid w:val="00987587"/>
    <w:rsid w:val="0099293D"/>
    <w:rsid w:val="009A01B7"/>
    <w:rsid w:val="009A0A65"/>
    <w:rsid w:val="009A0D55"/>
    <w:rsid w:val="009A0EAF"/>
    <w:rsid w:val="009A1885"/>
    <w:rsid w:val="009A3238"/>
    <w:rsid w:val="009A37A0"/>
    <w:rsid w:val="009A4505"/>
    <w:rsid w:val="009A530F"/>
    <w:rsid w:val="009B441A"/>
    <w:rsid w:val="009B6877"/>
    <w:rsid w:val="009C10B1"/>
    <w:rsid w:val="009C13C1"/>
    <w:rsid w:val="009C39B2"/>
    <w:rsid w:val="009C5F4C"/>
    <w:rsid w:val="009C7927"/>
    <w:rsid w:val="009D19A8"/>
    <w:rsid w:val="009D695E"/>
    <w:rsid w:val="009D696B"/>
    <w:rsid w:val="009D6C74"/>
    <w:rsid w:val="009D7040"/>
    <w:rsid w:val="009E24FD"/>
    <w:rsid w:val="009E2E33"/>
    <w:rsid w:val="009E3F2B"/>
    <w:rsid w:val="009E46B3"/>
    <w:rsid w:val="009F2BB6"/>
    <w:rsid w:val="009F38ED"/>
    <w:rsid w:val="009F3AC0"/>
    <w:rsid w:val="009F500B"/>
    <w:rsid w:val="009F51FF"/>
    <w:rsid w:val="009F605F"/>
    <w:rsid w:val="009F722B"/>
    <w:rsid w:val="009F74F1"/>
    <w:rsid w:val="009F7A79"/>
    <w:rsid w:val="00A00F9A"/>
    <w:rsid w:val="00A0129A"/>
    <w:rsid w:val="00A020AC"/>
    <w:rsid w:val="00A03760"/>
    <w:rsid w:val="00A03A64"/>
    <w:rsid w:val="00A04B75"/>
    <w:rsid w:val="00A04F26"/>
    <w:rsid w:val="00A0510A"/>
    <w:rsid w:val="00A05887"/>
    <w:rsid w:val="00A06B78"/>
    <w:rsid w:val="00A06CF7"/>
    <w:rsid w:val="00A07465"/>
    <w:rsid w:val="00A075A2"/>
    <w:rsid w:val="00A10FAB"/>
    <w:rsid w:val="00A14228"/>
    <w:rsid w:val="00A16740"/>
    <w:rsid w:val="00A22CC3"/>
    <w:rsid w:val="00A23FE5"/>
    <w:rsid w:val="00A24C81"/>
    <w:rsid w:val="00A27471"/>
    <w:rsid w:val="00A30AE8"/>
    <w:rsid w:val="00A32003"/>
    <w:rsid w:val="00A32FAD"/>
    <w:rsid w:val="00A33855"/>
    <w:rsid w:val="00A347BD"/>
    <w:rsid w:val="00A353B0"/>
    <w:rsid w:val="00A35681"/>
    <w:rsid w:val="00A35E78"/>
    <w:rsid w:val="00A36322"/>
    <w:rsid w:val="00A404DE"/>
    <w:rsid w:val="00A40E29"/>
    <w:rsid w:val="00A4192B"/>
    <w:rsid w:val="00A423FB"/>
    <w:rsid w:val="00A424DB"/>
    <w:rsid w:val="00A43584"/>
    <w:rsid w:val="00A45B4B"/>
    <w:rsid w:val="00A46918"/>
    <w:rsid w:val="00A46FC8"/>
    <w:rsid w:val="00A50004"/>
    <w:rsid w:val="00A5018B"/>
    <w:rsid w:val="00A50A17"/>
    <w:rsid w:val="00A50AC4"/>
    <w:rsid w:val="00A51912"/>
    <w:rsid w:val="00A51992"/>
    <w:rsid w:val="00A51E27"/>
    <w:rsid w:val="00A53429"/>
    <w:rsid w:val="00A552D6"/>
    <w:rsid w:val="00A61A5D"/>
    <w:rsid w:val="00A620AF"/>
    <w:rsid w:val="00A64C96"/>
    <w:rsid w:val="00A66B92"/>
    <w:rsid w:val="00A702D2"/>
    <w:rsid w:val="00A70862"/>
    <w:rsid w:val="00A70A28"/>
    <w:rsid w:val="00A719E4"/>
    <w:rsid w:val="00A7285A"/>
    <w:rsid w:val="00A73E7B"/>
    <w:rsid w:val="00A745C3"/>
    <w:rsid w:val="00A7775B"/>
    <w:rsid w:val="00A77F28"/>
    <w:rsid w:val="00A81D9C"/>
    <w:rsid w:val="00A82A7C"/>
    <w:rsid w:val="00A83FD4"/>
    <w:rsid w:val="00A9079A"/>
    <w:rsid w:val="00A90E89"/>
    <w:rsid w:val="00A93476"/>
    <w:rsid w:val="00A93FDF"/>
    <w:rsid w:val="00A949C5"/>
    <w:rsid w:val="00A96F3B"/>
    <w:rsid w:val="00A97DAC"/>
    <w:rsid w:val="00AA6460"/>
    <w:rsid w:val="00AB25E6"/>
    <w:rsid w:val="00AB34D7"/>
    <w:rsid w:val="00AB6E21"/>
    <w:rsid w:val="00AC062C"/>
    <w:rsid w:val="00AC069D"/>
    <w:rsid w:val="00AC06C7"/>
    <w:rsid w:val="00AC18EF"/>
    <w:rsid w:val="00AC4FA6"/>
    <w:rsid w:val="00AC542F"/>
    <w:rsid w:val="00AC7C2C"/>
    <w:rsid w:val="00AC7F1C"/>
    <w:rsid w:val="00AD0F93"/>
    <w:rsid w:val="00AD1782"/>
    <w:rsid w:val="00AD18A5"/>
    <w:rsid w:val="00AD232C"/>
    <w:rsid w:val="00AD318A"/>
    <w:rsid w:val="00AD5456"/>
    <w:rsid w:val="00AD57C9"/>
    <w:rsid w:val="00AD7208"/>
    <w:rsid w:val="00AD7C7B"/>
    <w:rsid w:val="00AE55D7"/>
    <w:rsid w:val="00AE671F"/>
    <w:rsid w:val="00AF1458"/>
    <w:rsid w:val="00AF290B"/>
    <w:rsid w:val="00AF51A9"/>
    <w:rsid w:val="00AF57D9"/>
    <w:rsid w:val="00B0044E"/>
    <w:rsid w:val="00B01823"/>
    <w:rsid w:val="00B03284"/>
    <w:rsid w:val="00B034E9"/>
    <w:rsid w:val="00B048B2"/>
    <w:rsid w:val="00B1037E"/>
    <w:rsid w:val="00B10C7D"/>
    <w:rsid w:val="00B12791"/>
    <w:rsid w:val="00B12857"/>
    <w:rsid w:val="00B1450C"/>
    <w:rsid w:val="00B178F4"/>
    <w:rsid w:val="00B17B4A"/>
    <w:rsid w:val="00B20F7F"/>
    <w:rsid w:val="00B22D9E"/>
    <w:rsid w:val="00B233C4"/>
    <w:rsid w:val="00B2399D"/>
    <w:rsid w:val="00B24C21"/>
    <w:rsid w:val="00B25025"/>
    <w:rsid w:val="00B25D08"/>
    <w:rsid w:val="00B26527"/>
    <w:rsid w:val="00B3127F"/>
    <w:rsid w:val="00B32311"/>
    <w:rsid w:val="00B336B5"/>
    <w:rsid w:val="00B33858"/>
    <w:rsid w:val="00B35BEB"/>
    <w:rsid w:val="00B35ED3"/>
    <w:rsid w:val="00B36A03"/>
    <w:rsid w:val="00B37A5E"/>
    <w:rsid w:val="00B40D32"/>
    <w:rsid w:val="00B419D7"/>
    <w:rsid w:val="00B41E1D"/>
    <w:rsid w:val="00B420F6"/>
    <w:rsid w:val="00B422C1"/>
    <w:rsid w:val="00B430BE"/>
    <w:rsid w:val="00B43D02"/>
    <w:rsid w:val="00B45C6E"/>
    <w:rsid w:val="00B506A4"/>
    <w:rsid w:val="00B51181"/>
    <w:rsid w:val="00B52585"/>
    <w:rsid w:val="00B53401"/>
    <w:rsid w:val="00B539F4"/>
    <w:rsid w:val="00B56377"/>
    <w:rsid w:val="00B56A41"/>
    <w:rsid w:val="00B619AD"/>
    <w:rsid w:val="00B63324"/>
    <w:rsid w:val="00B64BAA"/>
    <w:rsid w:val="00B670A1"/>
    <w:rsid w:val="00B7048F"/>
    <w:rsid w:val="00B7053B"/>
    <w:rsid w:val="00B70BF3"/>
    <w:rsid w:val="00B760D8"/>
    <w:rsid w:val="00B767DA"/>
    <w:rsid w:val="00B81972"/>
    <w:rsid w:val="00B82FEE"/>
    <w:rsid w:val="00B83B95"/>
    <w:rsid w:val="00B8425B"/>
    <w:rsid w:val="00B85AFE"/>
    <w:rsid w:val="00B901C8"/>
    <w:rsid w:val="00B90ACA"/>
    <w:rsid w:val="00B90D42"/>
    <w:rsid w:val="00B93F6D"/>
    <w:rsid w:val="00B9702C"/>
    <w:rsid w:val="00B9713E"/>
    <w:rsid w:val="00B979F3"/>
    <w:rsid w:val="00BA3D59"/>
    <w:rsid w:val="00BA50D0"/>
    <w:rsid w:val="00BA6C17"/>
    <w:rsid w:val="00BB280C"/>
    <w:rsid w:val="00BB4C4D"/>
    <w:rsid w:val="00BB6C5B"/>
    <w:rsid w:val="00BB7BD1"/>
    <w:rsid w:val="00BC1D9B"/>
    <w:rsid w:val="00BC2267"/>
    <w:rsid w:val="00BC2823"/>
    <w:rsid w:val="00BC3232"/>
    <w:rsid w:val="00BC38CE"/>
    <w:rsid w:val="00BC441E"/>
    <w:rsid w:val="00BC44F1"/>
    <w:rsid w:val="00BD0FFC"/>
    <w:rsid w:val="00BD2043"/>
    <w:rsid w:val="00BD319A"/>
    <w:rsid w:val="00BD43DC"/>
    <w:rsid w:val="00BD4521"/>
    <w:rsid w:val="00BD4A1F"/>
    <w:rsid w:val="00BD4D95"/>
    <w:rsid w:val="00BE04BF"/>
    <w:rsid w:val="00BE1396"/>
    <w:rsid w:val="00BE2A43"/>
    <w:rsid w:val="00BE4428"/>
    <w:rsid w:val="00BE4DB9"/>
    <w:rsid w:val="00BE61EA"/>
    <w:rsid w:val="00BF0832"/>
    <w:rsid w:val="00BF2075"/>
    <w:rsid w:val="00BF3854"/>
    <w:rsid w:val="00BF3C0D"/>
    <w:rsid w:val="00BF58D3"/>
    <w:rsid w:val="00C01BCF"/>
    <w:rsid w:val="00C01E7E"/>
    <w:rsid w:val="00C027CE"/>
    <w:rsid w:val="00C03677"/>
    <w:rsid w:val="00C03EBD"/>
    <w:rsid w:val="00C135CB"/>
    <w:rsid w:val="00C14F21"/>
    <w:rsid w:val="00C14F5E"/>
    <w:rsid w:val="00C15211"/>
    <w:rsid w:val="00C20475"/>
    <w:rsid w:val="00C21C28"/>
    <w:rsid w:val="00C21FEC"/>
    <w:rsid w:val="00C225FA"/>
    <w:rsid w:val="00C30F98"/>
    <w:rsid w:val="00C344E7"/>
    <w:rsid w:val="00C36B79"/>
    <w:rsid w:val="00C37820"/>
    <w:rsid w:val="00C37AB8"/>
    <w:rsid w:val="00C405B2"/>
    <w:rsid w:val="00C40BD9"/>
    <w:rsid w:val="00C41184"/>
    <w:rsid w:val="00C419B2"/>
    <w:rsid w:val="00C45FCF"/>
    <w:rsid w:val="00C46A6E"/>
    <w:rsid w:val="00C47FD8"/>
    <w:rsid w:val="00C501B5"/>
    <w:rsid w:val="00C517D1"/>
    <w:rsid w:val="00C52D83"/>
    <w:rsid w:val="00C5532A"/>
    <w:rsid w:val="00C5581E"/>
    <w:rsid w:val="00C56061"/>
    <w:rsid w:val="00C56DBC"/>
    <w:rsid w:val="00C6019B"/>
    <w:rsid w:val="00C61865"/>
    <w:rsid w:val="00C61BB6"/>
    <w:rsid w:val="00C63765"/>
    <w:rsid w:val="00C705E6"/>
    <w:rsid w:val="00C72103"/>
    <w:rsid w:val="00C72EA2"/>
    <w:rsid w:val="00C7368E"/>
    <w:rsid w:val="00C7424C"/>
    <w:rsid w:val="00C76406"/>
    <w:rsid w:val="00C806B1"/>
    <w:rsid w:val="00C823B1"/>
    <w:rsid w:val="00C82DF8"/>
    <w:rsid w:val="00C85228"/>
    <w:rsid w:val="00C8585E"/>
    <w:rsid w:val="00C87851"/>
    <w:rsid w:val="00C878BB"/>
    <w:rsid w:val="00C94BE0"/>
    <w:rsid w:val="00C96454"/>
    <w:rsid w:val="00CA3D5C"/>
    <w:rsid w:val="00CA5C5C"/>
    <w:rsid w:val="00CB3905"/>
    <w:rsid w:val="00CB5BE4"/>
    <w:rsid w:val="00CB775B"/>
    <w:rsid w:val="00CB7D45"/>
    <w:rsid w:val="00CB7D8E"/>
    <w:rsid w:val="00CC0F86"/>
    <w:rsid w:val="00CC1B33"/>
    <w:rsid w:val="00CC2ADF"/>
    <w:rsid w:val="00CD0B8C"/>
    <w:rsid w:val="00CD5D3E"/>
    <w:rsid w:val="00CD5EEA"/>
    <w:rsid w:val="00CD6FB6"/>
    <w:rsid w:val="00CD7948"/>
    <w:rsid w:val="00CD7CE3"/>
    <w:rsid w:val="00CE02A1"/>
    <w:rsid w:val="00CE2CE8"/>
    <w:rsid w:val="00CE514E"/>
    <w:rsid w:val="00CE5E60"/>
    <w:rsid w:val="00CE756D"/>
    <w:rsid w:val="00CE7831"/>
    <w:rsid w:val="00CF1819"/>
    <w:rsid w:val="00CF319B"/>
    <w:rsid w:val="00CF3259"/>
    <w:rsid w:val="00CF5945"/>
    <w:rsid w:val="00CF7271"/>
    <w:rsid w:val="00D016DA"/>
    <w:rsid w:val="00D023D0"/>
    <w:rsid w:val="00D02D1B"/>
    <w:rsid w:val="00D02D8C"/>
    <w:rsid w:val="00D039A8"/>
    <w:rsid w:val="00D03AB5"/>
    <w:rsid w:val="00D04ABB"/>
    <w:rsid w:val="00D05032"/>
    <w:rsid w:val="00D1067D"/>
    <w:rsid w:val="00D124DC"/>
    <w:rsid w:val="00D13AF8"/>
    <w:rsid w:val="00D14151"/>
    <w:rsid w:val="00D161D4"/>
    <w:rsid w:val="00D16ECE"/>
    <w:rsid w:val="00D21E7A"/>
    <w:rsid w:val="00D24951"/>
    <w:rsid w:val="00D24FE6"/>
    <w:rsid w:val="00D259EA"/>
    <w:rsid w:val="00D27732"/>
    <w:rsid w:val="00D312FB"/>
    <w:rsid w:val="00D31841"/>
    <w:rsid w:val="00D31B12"/>
    <w:rsid w:val="00D3238A"/>
    <w:rsid w:val="00D36AC4"/>
    <w:rsid w:val="00D37C06"/>
    <w:rsid w:val="00D37DAD"/>
    <w:rsid w:val="00D42CAB"/>
    <w:rsid w:val="00D434A3"/>
    <w:rsid w:val="00D43A06"/>
    <w:rsid w:val="00D43A3E"/>
    <w:rsid w:val="00D46038"/>
    <w:rsid w:val="00D46F1D"/>
    <w:rsid w:val="00D560FC"/>
    <w:rsid w:val="00D56556"/>
    <w:rsid w:val="00D6068C"/>
    <w:rsid w:val="00D61B14"/>
    <w:rsid w:val="00D62175"/>
    <w:rsid w:val="00D62962"/>
    <w:rsid w:val="00D63C6F"/>
    <w:rsid w:val="00D64735"/>
    <w:rsid w:val="00D66DA6"/>
    <w:rsid w:val="00D67A57"/>
    <w:rsid w:val="00D71562"/>
    <w:rsid w:val="00D71D0C"/>
    <w:rsid w:val="00D72331"/>
    <w:rsid w:val="00D72503"/>
    <w:rsid w:val="00D73BE3"/>
    <w:rsid w:val="00D74A3A"/>
    <w:rsid w:val="00D7580E"/>
    <w:rsid w:val="00D75B18"/>
    <w:rsid w:val="00D80AC3"/>
    <w:rsid w:val="00D82FBF"/>
    <w:rsid w:val="00D85E73"/>
    <w:rsid w:val="00D86C1F"/>
    <w:rsid w:val="00D87299"/>
    <w:rsid w:val="00D919DA"/>
    <w:rsid w:val="00D92398"/>
    <w:rsid w:val="00D973AA"/>
    <w:rsid w:val="00DA3E9C"/>
    <w:rsid w:val="00DA432A"/>
    <w:rsid w:val="00DA587A"/>
    <w:rsid w:val="00DA61CE"/>
    <w:rsid w:val="00DB62EB"/>
    <w:rsid w:val="00DB78F1"/>
    <w:rsid w:val="00DB7ACC"/>
    <w:rsid w:val="00DC1C57"/>
    <w:rsid w:val="00DC329D"/>
    <w:rsid w:val="00DC4D38"/>
    <w:rsid w:val="00DC4FB1"/>
    <w:rsid w:val="00DC5241"/>
    <w:rsid w:val="00DC5520"/>
    <w:rsid w:val="00DC5526"/>
    <w:rsid w:val="00DC638D"/>
    <w:rsid w:val="00DC69B5"/>
    <w:rsid w:val="00DD0F1F"/>
    <w:rsid w:val="00DD4029"/>
    <w:rsid w:val="00DD4592"/>
    <w:rsid w:val="00DD4BB2"/>
    <w:rsid w:val="00DD75BD"/>
    <w:rsid w:val="00DD763A"/>
    <w:rsid w:val="00DE2BD2"/>
    <w:rsid w:val="00DE5E6C"/>
    <w:rsid w:val="00DE601A"/>
    <w:rsid w:val="00DF252A"/>
    <w:rsid w:val="00DF4EC4"/>
    <w:rsid w:val="00DF53C1"/>
    <w:rsid w:val="00DF563B"/>
    <w:rsid w:val="00E01809"/>
    <w:rsid w:val="00E05801"/>
    <w:rsid w:val="00E06AB9"/>
    <w:rsid w:val="00E11AB1"/>
    <w:rsid w:val="00E137BA"/>
    <w:rsid w:val="00E16202"/>
    <w:rsid w:val="00E16DCB"/>
    <w:rsid w:val="00E177D3"/>
    <w:rsid w:val="00E205E2"/>
    <w:rsid w:val="00E21F47"/>
    <w:rsid w:val="00E22381"/>
    <w:rsid w:val="00E24167"/>
    <w:rsid w:val="00E25162"/>
    <w:rsid w:val="00E26865"/>
    <w:rsid w:val="00E276F8"/>
    <w:rsid w:val="00E27EED"/>
    <w:rsid w:val="00E35A97"/>
    <w:rsid w:val="00E431C8"/>
    <w:rsid w:val="00E43543"/>
    <w:rsid w:val="00E452AB"/>
    <w:rsid w:val="00E46BFF"/>
    <w:rsid w:val="00E52094"/>
    <w:rsid w:val="00E53764"/>
    <w:rsid w:val="00E553C1"/>
    <w:rsid w:val="00E61E7A"/>
    <w:rsid w:val="00E63F7B"/>
    <w:rsid w:val="00E65160"/>
    <w:rsid w:val="00E65F2D"/>
    <w:rsid w:val="00E6698C"/>
    <w:rsid w:val="00E66B21"/>
    <w:rsid w:val="00E714E8"/>
    <w:rsid w:val="00E724DE"/>
    <w:rsid w:val="00E77B35"/>
    <w:rsid w:val="00E8173F"/>
    <w:rsid w:val="00E8207F"/>
    <w:rsid w:val="00E82C8F"/>
    <w:rsid w:val="00E82DA7"/>
    <w:rsid w:val="00E8508E"/>
    <w:rsid w:val="00E854CD"/>
    <w:rsid w:val="00E860BE"/>
    <w:rsid w:val="00E9085E"/>
    <w:rsid w:val="00E91E72"/>
    <w:rsid w:val="00E92230"/>
    <w:rsid w:val="00E92B53"/>
    <w:rsid w:val="00E948AA"/>
    <w:rsid w:val="00E94D35"/>
    <w:rsid w:val="00E9658C"/>
    <w:rsid w:val="00E96E65"/>
    <w:rsid w:val="00E97C6A"/>
    <w:rsid w:val="00EA658B"/>
    <w:rsid w:val="00EA6777"/>
    <w:rsid w:val="00EB471C"/>
    <w:rsid w:val="00EB59EF"/>
    <w:rsid w:val="00EB5D50"/>
    <w:rsid w:val="00EB5EEE"/>
    <w:rsid w:val="00EC477B"/>
    <w:rsid w:val="00EC513C"/>
    <w:rsid w:val="00EC60FA"/>
    <w:rsid w:val="00ED0569"/>
    <w:rsid w:val="00ED1EFD"/>
    <w:rsid w:val="00ED2FAA"/>
    <w:rsid w:val="00ED320D"/>
    <w:rsid w:val="00ED5259"/>
    <w:rsid w:val="00EE0245"/>
    <w:rsid w:val="00EE052C"/>
    <w:rsid w:val="00EE1587"/>
    <w:rsid w:val="00EE56C4"/>
    <w:rsid w:val="00EE6573"/>
    <w:rsid w:val="00EE7BB0"/>
    <w:rsid w:val="00EF0E28"/>
    <w:rsid w:val="00EF0F00"/>
    <w:rsid w:val="00EF622C"/>
    <w:rsid w:val="00EF7595"/>
    <w:rsid w:val="00F07EC5"/>
    <w:rsid w:val="00F1031A"/>
    <w:rsid w:val="00F1311C"/>
    <w:rsid w:val="00F13255"/>
    <w:rsid w:val="00F13865"/>
    <w:rsid w:val="00F17489"/>
    <w:rsid w:val="00F17B59"/>
    <w:rsid w:val="00F204D4"/>
    <w:rsid w:val="00F217CA"/>
    <w:rsid w:val="00F226DF"/>
    <w:rsid w:val="00F2311D"/>
    <w:rsid w:val="00F23CAB"/>
    <w:rsid w:val="00F2732A"/>
    <w:rsid w:val="00F27C7B"/>
    <w:rsid w:val="00F27CC6"/>
    <w:rsid w:val="00F3027A"/>
    <w:rsid w:val="00F33A6A"/>
    <w:rsid w:val="00F34549"/>
    <w:rsid w:val="00F35B18"/>
    <w:rsid w:val="00F3730C"/>
    <w:rsid w:val="00F374C8"/>
    <w:rsid w:val="00F4029D"/>
    <w:rsid w:val="00F404CF"/>
    <w:rsid w:val="00F40795"/>
    <w:rsid w:val="00F426D8"/>
    <w:rsid w:val="00F429D7"/>
    <w:rsid w:val="00F44289"/>
    <w:rsid w:val="00F44AA2"/>
    <w:rsid w:val="00F473AB"/>
    <w:rsid w:val="00F5071C"/>
    <w:rsid w:val="00F52363"/>
    <w:rsid w:val="00F5254F"/>
    <w:rsid w:val="00F536EF"/>
    <w:rsid w:val="00F53CC3"/>
    <w:rsid w:val="00F55738"/>
    <w:rsid w:val="00F605BF"/>
    <w:rsid w:val="00F60FB1"/>
    <w:rsid w:val="00F613A7"/>
    <w:rsid w:val="00F625B9"/>
    <w:rsid w:val="00F6281D"/>
    <w:rsid w:val="00F6480C"/>
    <w:rsid w:val="00F64DE2"/>
    <w:rsid w:val="00F678A3"/>
    <w:rsid w:val="00F70058"/>
    <w:rsid w:val="00F7079A"/>
    <w:rsid w:val="00F715E5"/>
    <w:rsid w:val="00F719C3"/>
    <w:rsid w:val="00F721B2"/>
    <w:rsid w:val="00F72CC4"/>
    <w:rsid w:val="00F73416"/>
    <w:rsid w:val="00F73AB1"/>
    <w:rsid w:val="00F73E80"/>
    <w:rsid w:val="00F7434F"/>
    <w:rsid w:val="00F749CD"/>
    <w:rsid w:val="00F768BF"/>
    <w:rsid w:val="00F77BF6"/>
    <w:rsid w:val="00F800A6"/>
    <w:rsid w:val="00F811F2"/>
    <w:rsid w:val="00F8208B"/>
    <w:rsid w:val="00F82159"/>
    <w:rsid w:val="00F832D2"/>
    <w:rsid w:val="00F8466E"/>
    <w:rsid w:val="00F85113"/>
    <w:rsid w:val="00F908D0"/>
    <w:rsid w:val="00F90C7F"/>
    <w:rsid w:val="00F91F9B"/>
    <w:rsid w:val="00F9473E"/>
    <w:rsid w:val="00F95111"/>
    <w:rsid w:val="00F95B2C"/>
    <w:rsid w:val="00F9712C"/>
    <w:rsid w:val="00FA102D"/>
    <w:rsid w:val="00FA149B"/>
    <w:rsid w:val="00FA2977"/>
    <w:rsid w:val="00FA4D12"/>
    <w:rsid w:val="00FA5ECA"/>
    <w:rsid w:val="00FA65DF"/>
    <w:rsid w:val="00FA7640"/>
    <w:rsid w:val="00FB010C"/>
    <w:rsid w:val="00FB0853"/>
    <w:rsid w:val="00FB2196"/>
    <w:rsid w:val="00FB2220"/>
    <w:rsid w:val="00FB4BC3"/>
    <w:rsid w:val="00FC0508"/>
    <w:rsid w:val="00FC3B44"/>
    <w:rsid w:val="00FC54FB"/>
    <w:rsid w:val="00FC5717"/>
    <w:rsid w:val="00FC7D20"/>
    <w:rsid w:val="00FD093E"/>
    <w:rsid w:val="00FD0ED3"/>
    <w:rsid w:val="00FD2BD7"/>
    <w:rsid w:val="00FD65DC"/>
    <w:rsid w:val="00FD6DD0"/>
    <w:rsid w:val="00FD7CFB"/>
    <w:rsid w:val="00FE303A"/>
    <w:rsid w:val="00FF2183"/>
    <w:rsid w:val="00FF7938"/>
    <w:rsid w:val="098FCB15"/>
    <w:rsid w:val="0FC6AA7D"/>
    <w:rsid w:val="116E8FD7"/>
    <w:rsid w:val="2EB41B92"/>
    <w:rsid w:val="5A0F4F39"/>
    <w:rsid w:val="5EE32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936A7"/>
  <w15:chartTrackingRefBased/>
  <w15:docId w15:val="{F48B79FB-24AD-4D1C-ACAF-C60CF90E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220"/>
    <w:pPr>
      <w:spacing w:before="160" w:after="160" w:line="264" w:lineRule="auto"/>
    </w:pPr>
    <w:rPr>
      <w:rFonts w:ascii="Open Sans" w:hAnsi="Open Sans"/>
      <w:color w:val="373743" w:themeColor="text1" w:themeTint="E6"/>
      <w:sz w:val="20"/>
    </w:rPr>
  </w:style>
  <w:style w:type="paragraph" w:styleId="Heading1">
    <w:name w:val="heading 1"/>
    <w:basedOn w:val="Normal"/>
    <w:next w:val="Normal"/>
    <w:link w:val="Heading1Char"/>
    <w:uiPriority w:val="9"/>
    <w:qFormat/>
    <w:rsid w:val="005573E2"/>
    <w:pPr>
      <w:keepNext/>
      <w:keepLines/>
      <w:spacing w:before="320" w:after="320"/>
      <w:outlineLvl w:val="0"/>
    </w:pPr>
    <w:rPr>
      <w:rFonts w:ascii="Montserrat SemiBold" w:eastAsiaTheme="majorEastAsia" w:hAnsi="Montserrat SemiBold" w:cstheme="majorBidi"/>
      <w:b/>
      <w:color w:val="24242C" w:themeColor="text1"/>
      <w:sz w:val="40"/>
      <w:szCs w:val="32"/>
    </w:rPr>
  </w:style>
  <w:style w:type="paragraph" w:styleId="Heading2">
    <w:name w:val="heading 2"/>
    <w:basedOn w:val="Normal"/>
    <w:next w:val="Normal"/>
    <w:link w:val="Heading2Char"/>
    <w:uiPriority w:val="9"/>
    <w:unhideWhenUsed/>
    <w:qFormat/>
    <w:rsid w:val="005573E2"/>
    <w:pPr>
      <w:keepNext/>
      <w:keepLines/>
      <w:spacing w:before="480"/>
      <w:outlineLvl w:val="1"/>
    </w:pPr>
    <w:rPr>
      <w:rFonts w:ascii="Montserrat SemiBold" w:eastAsiaTheme="majorEastAsia" w:hAnsi="Montserrat SemiBold" w:cstheme="majorBidi"/>
      <w:b/>
      <w:color w:val="24242C" w:themeColor="text1"/>
      <w:sz w:val="28"/>
      <w:szCs w:val="26"/>
    </w:rPr>
  </w:style>
  <w:style w:type="paragraph" w:styleId="Heading3">
    <w:name w:val="heading 3"/>
    <w:basedOn w:val="Normal"/>
    <w:next w:val="Normal"/>
    <w:link w:val="Heading3Char"/>
    <w:uiPriority w:val="9"/>
    <w:unhideWhenUsed/>
    <w:qFormat/>
    <w:rsid w:val="005573E2"/>
    <w:pPr>
      <w:keepNext/>
      <w:keepLines/>
      <w:spacing w:before="320"/>
      <w:outlineLvl w:val="2"/>
    </w:pPr>
    <w:rPr>
      <w:rFonts w:ascii="Montserrat" w:eastAsiaTheme="majorEastAsia" w:hAnsi="Montserrat" w:cstheme="majorBidi"/>
      <w:color w:val="24242C" w:themeColor="text1"/>
      <w:sz w:val="24"/>
    </w:rPr>
  </w:style>
  <w:style w:type="paragraph" w:styleId="Heading4">
    <w:name w:val="heading 4"/>
    <w:aliases w:val="Old Heading 1"/>
    <w:basedOn w:val="Normal"/>
    <w:next w:val="Normal"/>
    <w:link w:val="Heading4Char"/>
    <w:uiPriority w:val="9"/>
    <w:unhideWhenUsed/>
    <w:qFormat/>
    <w:rsid w:val="005573E2"/>
    <w:pPr>
      <w:keepNext/>
      <w:keepLines/>
      <w:spacing w:before="320" w:after="320"/>
      <w:outlineLvl w:val="3"/>
    </w:pPr>
    <w:rPr>
      <w:rFonts w:ascii="Montserrat SemiBold" w:eastAsiaTheme="majorEastAsia" w:hAnsi="Montserrat SemiBold" w:cstheme="majorBidi"/>
      <w:b/>
      <w:iCs/>
      <w:color w:val="24242C" w:themeColor="text1"/>
      <w:sz w:val="22"/>
    </w:rPr>
  </w:style>
  <w:style w:type="paragraph" w:styleId="Heading5">
    <w:name w:val="heading 5"/>
    <w:aliases w:val="Old Heading 2"/>
    <w:basedOn w:val="Normal"/>
    <w:next w:val="Normal"/>
    <w:link w:val="Heading5Char"/>
    <w:autoRedefine/>
    <w:uiPriority w:val="9"/>
    <w:unhideWhenUsed/>
    <w:qFormat/>
    <w:rsid w:val="009A0A65"/>
    <w:pPr>
      <w:keepNext/>
      <w:keepLines/>
      <w:spacing w:before="40"/>
      <w:outlineLvl w:val="4"/>
    </w:pPr>
    <w:rPr>
      <w:rFonts w:ascii="Montserrat" w:eastAsiaTheme="majorEastAsia" w:hAnsi="Montserrat" w:cstheme="majorBidi"/>
      <w:color w:val="F37720" w:themeColor="accent1"/>
      <w:lang w:bidi="en-US"/>
    </w:rPr>
  </w:style>
  <w:style w:type="paragraph" w:styleId="Heading6">
    <w:name w:val="heading 6"/>
    <w:basedOn w:val="Normal"/>
    <w:next w:val="Normal"/>
    <w:link w:val="Heading6Char"/>
    <w:uiPriority w:val="9"/>
    <w:unhideWhenUsed/>
    <w:qFormat/>
    <w:rsid w:val="00FB2220"/>
    <w:pPr>
      <w:keepNext/>
      <w:keepLines/>
      <w:spacing w:before="320"/>
      <w:outlineLvl w:val="5"/>
    </w:pPr>
    <w:rPr>
      <w:rFonts w:ascii="Montserrat SemiBold" w:eastAsiaTheme="majorEastAsia" w:hAnsi="Montserrat SemiBold" w:cstheme="majorBidi"/>
      <w:b/>
      <w:color w:val="24242C" w:themeColor="text1"/>
    </w:rPr>
  </w:style>
  <w:style w:type="paragraph" w:styleId="Heading7">
    <w:name w:val="heading 7"/>
    <w:aliases w:val="Old Heading 3"/>
    <w:basedOn w:val="Normal"/>
    <w:next w:val="Normal"/>
    <w:link w:val="Heading7Char"/>
    <w:uiPriority w:val="9"/>
    <w:unhideWhenUsed/>
    <w:qFormat/>
    <w:rsid w:val="005573E2"/>
    <w:pPr>
      <w:keepNext/>
      <w:keepLines/>
      <w:spacing w:before="40" w:after="0"/>
      <w:outlineLvl w:val="6"/>
    </w:pPr>
    <w:rPr>
      <w:rFonts w:asciiTheme="majorHAnsi" w:eastAsiaTheme="majorEastAsia" w:hAnsiTheme="majorHAnsi" w:cstheme="majorBidi"/>
      <w:i/>
      <w:iCs/>
      <w:color w:val="24242C" w:themeColor="text1"/>
    </w:rPr>
  </w:style>
  <w:style w:type="paragraph" w:styleId="Heading8">
    <w:name w:val="heading 8"/>
    <w:aliases w:val="Old Heading 4"/>
    <w:basedOn w:val="Normal"/>
    <w:next w:val="Normal"/>
    <w:link w:val="Heading8Char"/>
    <w:uiPriority w:val="9"/>
    <w:qFormat/>
    <w:rsid w:val="00267F38"/>
    <w:pPr>
      <w:spacing w:before="240" w:after="60" w:line="360" w:lineRule="auto"/>
      <w:ind w:left="1440" w:hanging="1440"/>
      <w:jc w:val="both"/>
      <w:outlineLvl w:val="7"/>
    </w:pPr>
    <w:rPr>
      <w:rFonts w:ascii="Arial" w:eastAsia="Times New Roman" w:hAnsi="Arial" w:cs="Arial"/>
      <w:iCs/>
      <w:color w:val="24242C" w:themeColor="text1"/>
      <w:kern w:val="0"/>
      <w:szCs w:val="18"/>
      <w14:ligatures w14:val="none"/>
    </w:rPr>
  </w:style>
  <w:style w:type="paragraph" w:styleId="Heading9">
    <w:name w:val="heading 9"/>
    <w:basedOn w:val="Normal"/>
    <w:next w:val="Normal"/>
    <w:link w:val="Heading9Char"/>
    <w:uiPriority w:val="9"/>
    <w:semiHidden/>
    <w:unhideWhenUsed/>
    <w:qFormat/>
    <w:rsid w:val="00267F38"/>
    <w:pPr>
      <w:keepNext/>
      <w:keepLines/>
      <w:widowControl w:val="0"/>
      <w:autoSpaceDE w:val="0"/>
      <w:autoSpaceDN w:val="0"/>
      <w:spacing w:before="40" w:after="0" w:line="240" w:lineRule="auto"/>
      <w:ind w:left="1584" w:hanging="1584"/>
      <w:outlineLvl w:val="8"/>
    </w:pPr>
    <w:rPr>
      <w:rFonts w:asciiTheme="majorHAnsi" w:eastAsiaTheme="majorEastAsia" w:hAnsiTheme="majorHAnsi" w:cstheme="majorBidi"/>
      <w:i/>
      <w:iCs/>
      <w:color w:val="414150" w:themeColor="text1" w:themeTint="D8"/>
      <w:kern w:val="0"/>
      <w:sz w:val="21"/>
      <w:szCs w:val="2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3E2"/>
    <w:rPr>
      <w:rFonts w:ascii="Montserrat SemiBold" w:eastAsiaTheme="majorEastAsia" w:hAnsi="Montserrat SemiBold" w:cstheme="majorBidi"/>
      <w:b/>
      <w:color w:val="24242C" w:themeColor="text1"/>
      <w:sz w:val="40"/>
      <w:szCs w:val="32"/>
    </w:rPr>
  </w:style>
  <w:style w:type="character" w:customStyle="1" w:styleId="Heading2Char">
    <w:name w:val="Heading 2 Char"/>
    <w:basedOn w:val="DefaultParagraphFont"/>
    <w:link w:val="Heading2"/>
    <w:uiPriority w:val="9"/>
    <w:rsid w:val="005573E2"/>
    <w:rPr>
      <w:rFonts w:ascii="Montserrat SemiBold" w:eastAsiaTheme="majorEastAsia" w:hAnsi="Montserrat SemiBold" w:cstheme="majorBidi"/>
      <w:b/>
      <w:color w:val="24242C" w:themeColor="text1"/>
      <w:sz w:val="28"/>
      <w:szCs w:val="26"/>
    </w:rPr>
  </w:style>
  <w:style w:type="character" w:customStyle="1" w:styleId="Heading3Char">
    <w:name w:val="Heading 3 Char"/>
    <w:basedOn w:val="DefaultParagraphFont"/>
    <w:link w:val="Heading3"/>
    <w:uiPriority w:val="9"/>
    <w:rsid w:val="005573E2"/>
    <w:rPr>
      <w:rFonts w:ascii="Montserrat" w:eastAsiaTheme="majorEastAsia" w:hAnsi="Montserrat" w:cstheme="majorBidi"/>
      <w:color w:val="24242C" w:themeColor="text1"/>
    </w:rPr>
  </w:style>
  <w:style w:type="character" w:customStyle="1" w:styleId="Heading4Char">
    <w:name w:val="Heading 4 Char"/>
    <w:aliases w:val="Old Heading 1 Char"/>
    <w:basedOn w:val="DefaultParagraphFont"/>
    <w:link w:val="Heading4"/>
    <w:uiPriority w:val="9"/>
    <w:rsid w:val="005573E2"/>
    <w:rPr>
      <w:rFonts w:ascii="Montserrat SemiBold" w:eastAsiaTheme="majorEastAsia" w:hAnsi="Montserrat SemiBold" w:cstheme="majorBidi"/>
      <w:b/>
      <w:iCs/>
      <w:color w:val="24242C" w:themeColor="text1"/>
      <w:sz w:val="22"/>
    </w:rPr>
  </w:style>
  <w:style w:type="paragraph" w:styleId="NoSpacing">
    <w:name w:val="No Spacing"/>
    <w:link w:val="NoSpacingChar"/>
    <w:uiPriority w:val="1"/>
    <w:qFormat/>
    <w:rsid w:val="00B32311"/>
    <w:rPr>
      <w:rFonts w:ascii="Open Sans" w:hAnsi="Open Sans"/>
      <w:color w:val="373743" w:themeColor="text1" w:themeTint="E6"/>
      <w:sz w:val="20"/>
    </w:rPr>
  </w:style>
  <w:style w:type="paragraph" w:styleId="Title">
    <w:name w:val="Title"/>
    <w:basedOn w:val="Normal"/>
    <w:next w:val="Normal"/>
    <w:link w:val="TitleChar"/>
    <w:uiPriority w:val="10"/>
    <w:qFormat/>
    <w:rsid w:val="005573E2"/>
    <w:pPr>
      <w:contextualSpacing/>
    </w:pPr>
    <w:rPr>
      <w:rFonts w:ascii="Montserrat SemiBold" w:eastAsiaTheme="majorEastAsia" w:hAnsi="Montserrat SemiBold" w:cstheme="majorBidi"/>
      <w:b/>
      <w:color w:val="24242C" w:themeColor="text1"/>
      <w:spacing w:val="-10"/>
      <w:kern w:val="28"/>
      <w:sz w:val="56"/>
      <w:szCs w:val="56"/>
    </w:rPr>
  </w:style>
  <w:style w:type="character" w:customStyle="1" w:styleId="TitleChar">
    <w:name w:val="Title Char"/>
    <w:basedOn w:val="DefaultParagraphFont"/>
    <w:link w:val="Title"/>
    <w:uiPriority w:val="10"/>
    <w:rsid w:val="005573E2"/>
    <w:rPr>
      <w:rFonts w:ascii="Montserrat SemiBold" w:eastAsiaTheme="majorEastAsia" w:hAnsi="Montserrat SemiBold" w:cstheme="majorBidi"/>
      <w:b/>
      <w:color w:val="24242C" w:themeColor="text1"/>
      <w:spacing w:val="-10"/>
      <w:kern w:val="28"/>
      <w:sz w:val="56"/>
      <w:szCs w:val="56"/>
    </w:rPr>
  </w:style>
  <w:style w:type="character" w:customStyle="1" w:styleId="Heading5Char">
    <w:name w:val="Heading 5 Char"/>
    <w:aliases w:val="Old Heading 2 Char"/>
    <w:basedOn w:val="DefaultParagraphFont"/>
    <w:link w:val="Heading5"/>
    <w:uiPriority w:val="9"/>
    <w:rsid w:val="009A0A65"/>
    <w:rPr>
      <w:rFonts w:ascii="Montserrat" w:eastAsiaTheme="majorEastAsia" w:hAnsi="Montserrat" w:cstheme="majorBidi"/>
      <w:color w:val="F37720" w:themeColor="accent1"/>
      <w:sz w:val="20"/>
      <w:lang w:bidi="en-US"/>
    </w:rPr>
  </w:style>
  <w:style w:type="paragraph" w:styleId="Subtitle">
    <w:name w:val="Subtitle"/>
    <w:basedOn w:val="Normal"/>
    <w:next w:val="Normal"/>
    <w:link w:val="SubtitleChar"/>
    <w:uiPriority w:val="11"/>
    <w:qFormat/>
    <w:rsid w:val="00765BD3"/>
    <w:pPr>
      <w:numPr>
        <w:ilvl w:val="1"/>
      </w:numPr>
    </w:pPr>
    <w:rPr>
      <w:rFonts w:ascii="Montserrat" w:eastAsiaTheme="minorEastAsia" w:hAnsi="Montserrat" w:cs="Times New Roman (Body CS)"/>
      <w:sz w:val="32"/>
      <w:szCs w:val="22"/>
    </w:rPr>
  </w:style>
  <w:style w:type="character" w:customStyle="1" w:styleId="SubtitleChar">
    <w:name w:val="Subtitle Char"/>
    <w:basedOn w:val="DefaultParagraphFont"/>
    <w:link w:val="Subtitle"/>
    <w:uiPriority w:val="11"/>
    <w:rsid w:val="00765BD3"/>
    <w:rPr>
      <w:rFonts w:ascii="Montserrat" w:eastAsiaTheme="minorEastAsia" w:hAnsi="Montserrat" w:cs="Times New Roman (Body CS)"/>
      <w:b w:val="0"/>
      <w:i w:val="0"/>
      <w:color w:val="545467" w:themeColor="text1" w:themeTint="BF"/>
      <w:sz w:val="32"/>
      <w:szCs w:val="22"/>
    </w:rPr>
  </w:style>
  <w:style w:type="character" w:styleId="SubtleEmphasis">
    <w:name w:val="Subtle Emphasis"/>
    <w:basedOn w:val="DefaultParagraphFont"/>
    <w:uiPriority w:val="19"/>
    <w:qFormat/>
    <w:rsid w:val="00A07465"/>
    <w:rPr>
      <w:rFonts w:ascii="Open Sans" w:hAnsi="Open Sans"/>
      <w:b w:val="0"/>
      <w:i/>
      <w:iCs/>
      <w:color w:val="545467" w:themeColor="text1" w:themeTint="BF"/>
      <w:sz w:val="20"/>
    </w:rPr>
  </w:style>
  <w:style w:type="character" w:styleId="Emphasis">
    <w:name w:val="Emphasis"/>
    <w:basedOn w:val="DefaultParagraphFont"/>
    <w:uiPriority w:val="20"/>
    <w:qFormat/>
    <w:rsid w:val="00E8173F"/>
    <w:rPr>
      <w:rFonts w:ascii="Montserrat Medium" w:hAnsi="Montserrat Medium"/>
      <w:b w:val="0"/>
      <w:i w:val="0"/>
      <w:iCs/>
      <w:color w:val="545467" w:themeColor="text1" w:themeTint="BF"/>
      <w:sz w:val="22"/>
    </w:rPr>
  </w:style>
  <w:style w:type="character" w:styleId="IntenseEmphasis">
    <w:name w:val="Intense Emphasis"/>
    <w:basedOn w:val="DefaultParagraphFont"/>
    <w:uiPriority w:val="21"/>
    <w:qFormat/>
    <w:rsid w:val="00755B01"/>
    <w:rPr>
      <w:rFonts w:ascii="Montserrat Medium" w:hAnsi="Montserrat Medium"/>
      <w:b w:val="0"/>
      <w:i/>
      <w:iCs/>
      <w:color w:val="545467" w:themeColor="text1" w:themeTint="BF"/>
      <w:sz w:val="20"/>
    </w:rPr>
  </w:style>
  <w:style w:type="character" w:styleId="Strong">
    <w:name w:val="Strong"/>
    <w:basedOn w:val="DefaultParagraphFont"/>
    <w:uiPriority w:val="22"/>
    <w:qFormat/>
    <w:rsid w:val="00E8173F"/>
    <w:rPr>
      <w:rFonts w:ascii="Montserrat" w:hAnsi="Montserrat"/>
      <w:b/>
      <w:bCs/>
      <w:i w:val="0"/>
      <w:color w:val="24242C" w:themeColor="text1"/>
      <w:sz w:val="22"/>
    </w:rPr>
  </w:style>
  <w:style w:type="paragraph" w:styleId="Quote">
    <w:name w:val="Quote"/>
    <w:basedOn w:val="Normal"/>
    <w:next w:val="Normal"/>
    <w:link w:val="QuoteChar"/>
    <w:uiPriority w:val="29"/>
    <w:qFormat/>
    <w:rsid w:val="00755B01"/>
    <w:pPr>
      <w:spacing w:before="200"/>
      <w:ind w:left="567"/>
    </w:pPr>
    <w:rPr>
      <w:rFonts w:ascii="Open Sans Light" w:hAnsi="Open Sans Light"/>
      <w:i/>
      <w:iCs/>
      <w:sz w:val="22"/>
    </w:rPr>
  </w:style>
  <w:style w:type="character" w:customStyle="1" w:styleId="QuoteChar">
    <w:name w:val="Quote Char"/>
    <w:basedOn w:val="DefaultParagraphFont"/>
    <w:link w:val="Quote"/>
    <w:uiPriority w:val="29"/>
    <w:rsid w:val="00755B01"/>
    <w:rPr>
      <w:rFonts w:ascii="Open Sans Light" w:hAnsi="Open Sans Light"/>
      <w:b w:val="0"/>
      <w:i/>
      <w:iCs/>
      <w:color w:val="545467" w:themeColor="text1" w:themeTint="BF"/>
      <w:sz w:val="22"/>
    </w:rPr>
  </w:style>
  <w:style w:type="paragraph" w:styleId="IntenseQuote">
    <w:name w:val="Intense Quote"/>
    <w:basedOn w:val="Normal"/>
    <w:next w:val="Normal"/>
    <w:link w:val="IntenseQuoteChar"/>
    <w:uiPriority w:val="30"/>
    <w:qFormat/>
    <w:rsid w:val="00B32311"/>
    <w:pPr>
      <w:pBdr>
        <w:top w:val="single" w:sz="2" w:space="8" w:color="88889D" w:themeColor="text1" w:themeTint="80"/>
        <w:bottom w:val="single" w:sz="2" w:space="8" w:color="88889D" w:themeColor="text1" w:themeTint="80"/>
      </w:pBdr>
      <w:spacing w:before="360" w:after="360"/>
      <w:ind w:left="567"/>
    </w:pPr>
    <w:rPr>
      <w:rFonts w:ascii="Open Sans Light" w:hAnsi="Open Sans Light"/>
      <w:i/>
      <w:iCs/>
      <w:sz w:val="22"/>
    </w:rPr>
  </w:style>
  <w:style w:type="character" w:customStyle="1" w:styleId="IntenseQuoteChar">
    <w:name w:val="Intense Quote Char"/>
    <w:basedOn w:val="DefaultParagraphFont"/>
    <w:link w:val="IntenseQuote"/>
    <w:uiPriority w:val="30"/>
    <w:rsid w:val="00B32311"/>
    <w:rPr>
      <w:rFonts w:ascii="Open Sans Light" w:hAnsi="Open Sans Light"/>
      <w:i/>
      <w:iCs/>
      <w:color w:val="373743" w:themeColor="text1" w:themeTint="E6"/>
      <w:sz w:val="22"/>
    </w:rPr>
  </w:style>
  <w:style w:type="character" w:styleId="SubtleReference">
    <w:name w:val="Subtle Reference"/>
    <w:basedOn w:val="DefaultParagraphFont"/>
    <w:uiPriority w:val="31"/>
    <w:qFormat/>
    <w:rsid w:val="00B32311"/>
    <w:rPr>
      <w:rFonts w:ascii="Open Sans" w:hAnsi="Open Sans"/>
      <w:b w:val="0"/>
      <w:i w:val="0"/>
      <w:caps w:val="0"/>
      <w:smallCaps w:val="0"/>
      <w:color w:val="68687F" w:themeColor="text1" w:themeTint="A5"/>
      <w:sz w:val="20"/>
    </w:rPr>
  </w:style>
  <w:style w:type="character" w:styleId="IntenseReference">
    <w:name w:val="Intense Reference"/>
    <w:basedOn w:val="DefaultParagraphFont"/>
    <w:uiPriority w:val="32"/>
    <w:qFormat/>
    <w:rsid w:val="00B32311"/>
    <w:rPr>
      <w:rFonts w:ascii="Open Sans" w:hAnsi="Open Sans"/>
      <w:b/>
      <w:bCs/>
      <w:i w:val="0"/>
      <w:caps w:val="0"/>
      <w:smallCaps w:val="0"/>
      <w:color w:val="F1A704" w:themeColor="accent3" w:themeShade="BF"/>
      <w:spacing w:val="5"/>
      <w:sz w:val="20"/>
    </w:rPr>
  </w:style>
  <w:style w:type="character" w:styleId="BookTitle">
    <w:name w:val="Book Title"/>
    <w:basedOn w:val="DefaultParagraphFont"/>
    <w:uiPriority w:val="33"/>
    <w:qFormat/>
    <w:rsid w:val="00E8173F"/>
    <w:rPr>
      <w:rFonts w:ascii="Open Sans SemiBold" w:hAnsi="Open Sans SemiBold"/>
      <w:b/>
      <w:bCs/>
      <w:i/>
      <w:iCs/>
      <w:color w:val="545467" w:themeColor="text1" w:themeTint="BF"/>
      <w:spacing w:val="5"/>
      <w:sz w:val="20"/>
    </w:rPr>
  </w:style>
  <w:style w:type="paragraph" w:styleId="ListParagraph">
    <w:name w:val="List Paragraph"/>
    <w:basedOn w:val="Normal"/>
    <w:uiPriority w:val="34"/>
    <w:qFormat/>
    <w:rsid w:val="00E137BA"/>
    <w:pPr>
      <w:ind w:left="720"/>
      <w:contextualSpacing/>
    </w:pPr>
  </w:style>
  <w:style w:type="character" w:customStyle="1" w:styleId="NoSpacingChar">
    <w:name w:val="No Spacing Char"/>
    <w:basedOn w:val="DefaultParagraphFont"/>
    <w:link w:val="NoSpacing"/>
    <w:uiPriority w:val="1"/>
    <w:rsid w:val="00B32311"/>
    <w:rPr>
      <w:rFonts w:ascii="Open Sans" w:hAnsi="Open Sans"/>
      <w:color w:val="373743" w:themeColor="text1" w:themeTint="E6"/>
      <w:sz w:val="20"/>
    </w:rPr>
  </w:style>
  <w:style w:type="paragraph" w:styleId="Header">
    <w:name w:val="header"/>
    <w:basedOn w:val="Normal"/>
    <w:link w:val="HeaderChar"/>
    <w:uiPriority w:val="99"/>
    <w:unhideWhenUsed/>
    <w:rsid w:val="00B506A4"/>
    <w:pPr>
      <w:tabs>
        <w:tab w:val="center" w:pos="4513"/>
        <w:tab w:val="right" w:pos="9026"/>
      </w:tabs>
      <w:spacing w:after="0"/>
    </w:pPr>
  </w:style>
  <w:style w:type="character" w:customStyle="1" w:styleId="HeaderChar">
    <w:name w:val="Header Char"/>
    <w:basedOn w:val="DefaultParagraphFont"/>
    <w:link w:val="Header"/>
    <w:uiPriority w:val="99"/>
    <w:rsid w:val="00B506A4"/>
    <w:rPr>
      <w:rFonts w:ascii="Open Sans" w:hAnsi="Open Sans"/>
      <w:b w:val="0"/>
      <w:i w:val="0"/>
      <w:color w:val="545467" w:themeColor="text1" w:themeTint="BF"/>
      <w:sz w:val="18"/>
    </w:rPr>
  </w:style>
  <w:style w:type="paragraph" w:styleId="Footer">
    <w:name w:val="footer"/>
    <w:basedOn w:val="Normal"/>
    <w:link w:val="FooterChar"/>
    <w:uiPriority w:val="99"/>
    <w:unhideWhenUsed/>
    <w:rsid w:val="002C58A6"/>
    <w:pPr>
      <w:tabs>
        <w:tab w:val="center" w:pos="4513"/>
        <w:tab w:val="right" w:pos="9026"/>
      </w:tabs>
      <w:spacing w:before="0" w:after="0"/>
    </w:pPr>
    <w:rPr>
      <w:sz w:val="16"/>
    </w:rPr>
  </w:style>
  <w:style w:type="character" w:customStyle="1" w:styleId="FooterChar">
    <w:name w:val="Footer Char"/>
    <w:basedOn w:val="DefaultParagraphFont"/>
    <w:link w:val="Footer"/>
    <w:uiPriority w:val="99"/>
    <w:rsid w:val="002C58A6"/>
    <w:rPr>
      <w:rFonts w:ascii="Open Sans" w:hAnsi="Open Sans"/>
      <w:color w:val="373743" w:themeColor="text1" w:themeTint="E6"/>
      <w:sz w:val="16"/>
    </w:rPr>
  </w:style>
  <w:style w:type="character" w:customStyle="1" w:styleId="Heading6Char">
    <w:name w:val="Heading 6 Char"/>
    <w:basedOn w:val="DefaultParagraphFont"/>
    <w:link w:val="Heading6"/>
    <w:uiPriority w:val="9"/>
    <w:rsid w:val="00FB2220"/>
    <w:rPr>
      <w:rFonts w:ascii="Montserrat SemiBold" w:eastAsiaTheme="majorEastAsia" w:hAnsi="Montserrat SemiBold" w:cstheme="majorBidi"/>
      <w:b/>
      <w:color w:val="24242C" w:themeColor="text1"/>
      <w:sz w:val="20"/>
    </w:rPr>
  </w:style>
  <w:style w:type="paragraph" w:styleId="TOCHeading">
    <w:name w:val="TOC Heading"/>
    <w:basedOn w:val="Heading1"/>
    <w:next w:val="Normal"/>
    <w:uiPriority w:val="39"/>
    <w:unhideWhenUsed/>
    <w:qFormat/>
    <w:rsid w:val="007402E6"/>
    <w:pPr>
      <w:spacing w:before="480" w:after="0" w:line="276" w:lineRule="auto"/>
      <w:outlineLvl w:val="9"/>
    </w:pPr>
    <w:rPr>
      <w:bCs/>
      <w:kern w:val="0"/>
      <w:sz w:val="28"/>
      <w:szCs w:val="28"/>
      <w:lang w:val="en-US"/>
      <w14:ligatures w14:val="none"/>
    </w:rPr>
  </w:style>
  <w:style w:type="paragraph" w:styleId="TOC1">
    <w:name w:val="toc 1"/>
    <w:basedOn w:val="Normal"/>
    <w:next w:val="Normal"/>
    <w:autoRedefine/>
    <w:uiPriority w:val="39"/>
    <w:unhideWhenUsed/>
    <w:rsid w:val="00B32311"/>
    <w:pPr>
      <w:spacing w:before="120" w:after="0"/>
    </w:pPr>
    <w:rPr>
      <w:rFonts w:cstheme="minorHAnsi"/>
      <w:bCs/>
      <w:iCs/>
      <w:sz w:val="24"/>
    </w:rPr>
  </w:style>
  <w:style w:type="character" w:styleId="Hyperlink">
    <w:name w:val="Hyperlink"/>
    <w:basedOn w:val="DefaultParagraphFont"/>
    <w:uiPriority w:val="99"/>
    <w:unhideWhenUsed/>
    <w:rsid w:val="00B32311"/>
    <w:rPr>
      <w:rFonts w:ascii="Open Sans" w:hAnsi="Open Sans"/>
      <w:b w:val="0"/>
      <w:i w:val="0"/>
      <w:color w:val="2D4FB2"/>
      <w:sz w:val="20"/>
      <w:u w:val="single"/>
    </w:rPr>
  </w:style>
  <w:style w:type="paragraph" w:styleId="TOC2">
    <w:name w:val="toc 2"/>
    <w:basedOn w:val="Normal"/>
    <w:next w:val="Normal"/>
    <w:autoRedefine/>
    <w:uiPriority w:val="39"/>
    <w:unhideWhenUsed/>
    <w:rsid w:val="00B32311"/>
    <w:pPr>
      <w:spacing w:before="120" w:after="0"/>
      <w:ind w:left="200"/>
    </w:pPr>
    <w:rPr>
      <w:rFonts w:cstheme="minorHAnsi"/>
      <w:bCs/>
      <w:sz w:val="22"/>
      <w:szCs w:val="22"/>
    </w:rPr>
  </w:style>
  <w:style w:type="paragraph" w:styleId="TOC3">
    <w:name w:val="toc 3"/>
    <w:basedOn w:val="Normal"/>
    <w:next w:val="Normal"/>
    <w:autoRedefine/>
    <w:uiPriority w:val="39"/>
    <w:unhideWhenUsed/>
    <w:rsid w:val="00B32311"/>
    <w:pPr>
      <w:spacing w:after="0"/>
      <w:ind w:left="400"/>
    </w:pPr>
    <w:rPr>
      <w:rFonts w:cstheme="minorHAnsi"/>
      <w:szCs w:val="20"/>
    </w:rPr>
  </w:style>
  <w:style w:type="paragraph" w:styleId="TOC4">
    <w:name w:val="toc 4"/>
    <w:basedOn w:val="Normal"/>
    <w:next w:val="Normal"/>
    <w:autoRedefine/>
    <w:uiPriority w:val="39"/>
    <w:unhideWhenUsed/>
    <w:rsid w:val="007402E6"/>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7402E6"/>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7402E6"/>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7402E6"/>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7402E6"/>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7402E6"/>
    <w:pPr>
      <w:spacing w:after="0"/>
      <w:ind w:left="1600"/>
    </w:pPr>
    <w:rPr>
      <w:rFonts w:asciiTheme="minorHAnsi" w:hAnsiTheme="minorHAnsi" w:cstheme="minorHAnsi"/>
      <w:szCs w:val="20"/>
    </w:rPr>
  </w:style>
  <w:style w:type="paragraph" w:customStyle="1" w:styleId="Overline">
    <w:name w:val="Overline"/>
    <w:basedOn w:val="Normal"/>
    <w:qFormat/>
    <w:rsid w:val="00E8173F"/>
    <w:rPr>
      <w:rFonts w:ascii="Montserrat" w:hAnsi="Montserrat" w:cs="Times New Roman (Body CS)"/>
      <w:b/>
      <w:caps/>
      <w:color w:val="F15D22" w:themeColor="text2"/>
      <w:spacing w:val="10"/>
    </w:rPr>
  </w:style>
  <w:style w:type="paragraph" w:styleId="NormalWeb">
    <w:name w:val="Normal (Web)"/>
    <w:basedOn w:val="Normal"/>
    <w:uiPriority w:val="99"/>
    <w:semiHidden/>
    <w:unhideWhenUsed/>
    <w:rsid w:val="00E8173F"/>
    <w:pPr>
      <w:spacing w:before="100" w:beforeAutospacing="1" w:after="100" w:afterAutospacing="1"/>
    </w:pPr>
    <w:rPr>
      <w:rFonts w:ascii="Times New Roman" w:eastAsia="Times New Roman" w:hAnsi="Times New Roman" w:cs="Times New Roman"/>
      <w:color w:val="auto"/>
      <w:kern w:val="0"/>
      <w:sz w:val="24"/>
      <w:lang w:eastAsia="en-GB"/>
      <w14:ligatures w14:val="none"/>
    </w:rPr>
  </w:style>
  <w:style w:type="character" w:styleId="UnresolvedMention">
    <w:name w:val="Unresolved Mention"/>
    <w:basedOn w:val="DefaultParagraphFont"/>
    <w:uiPriority w:val="99"/>
    <w:semiHidden/>
    <w:unhideWhenUsed/>
    <w:rsid w:val="00AC7C2C"/>
    <w:rPr>
      <w:color w:val="605E5C"/>
      <w:shd w:val="clear" w:color="auto" w:fill="E1DFDD"/>
    </w:rPr>
  </w:style>
  <w:style w:type="character" w:styleId="FollowedHyperlink">
    <w:name w:val="FollowedHyperlink"/>
    <w:basedOn w:val="DefaultParagraphFont"/>
    <w:uiPriority w:val="99"/>
    <w:semiHidden/>
    <w:unhideWhenUsed/>
    <w:rsid w:val="00AC7C2C"/>
    <w:rPr>
      <w:color w:val="1F377D" w:themeColor="followedHyperlink"/>
      <w:u w:val="single"/>
    </w:rPr>
  </w:style>
  <w:style w:type="character" w:styleId="PageNumber">
    <w:name w:val="page number"/>
    <w:basedOn w:val="DefaultParagraphFont"/>
    <w:uiPriority w:val="99"/>
    <w:semiHidden/>
    <w:unhideWhenUsed/>
    <w:rsid w:val="0055364C"/>
  </w:style>
  <w:style w:type="table" w:styleId="TableGrid">
    <w:name w:val="Table Grid"/>
    <w:basedOn w:val="TableNormal"/>
    <w:uiPriority w:val="39"/>
    <w:rsid w:val="00A97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97DAC"/>
    <w:tblPr>
      <w:tblStyleRowBandSize w:val="1"/>
      <w:tblStyleColBandSize w:val="1"/>
      <w:tblBorders>
        <w:top w:val="single" w:sz="4" w:space="0" w:color="FAC8A5" w:themeColor="accent1" w:themeTint="66"/>
        <w:left w:val="single" w:sz="4" w:space="0" w:color="FAC8A5" w:themeColor="accent1" w:themeTint="66"/>
        <w:bottom w:val="single" w:sz="4" w:space="0" w:color="FAC8A5" w:themeColor="accent1" w:themeTint="66"/>
        <w:right w:val="single" w:sz="4" w:space="0" w:color="FAC8A5" w:themeColor="accent1" w:themeTint="66"/>
        <w:insideH w:val="single" w:sz="4" w:space="0" w:color="FAC8A5" w:themeColor="accent1" w:themeTint="66"/>
        <w:insideV w:val="single" w:sz="4" w:space="0" w:color="FAC8A5" w:themeColor="accent1" w:themeTint="66"/>
      </w:tblBorders>
    </w:tblPr>
    <w:tblStylePr w:type="firstRow">
      <w:rPr>
        <w:b/>
        <w:bCs/>
      </w:rPr>
      <w:tblPr/>
      <w:tcPr>
        <w:tcBorders>
          <w:bottom w:val="single" w:sz="12" w:space="0" w:color="F7AD79" w:themeColor="accent1" w:themeTint="99"/>
        </w:tcBorders>
      </w:tcPr>
    </w:tblStylePr>
    <w:tblStylePr w:type="lastRow">
      <w:rPr>
        <w:b/>
        <w:bCs/>
      </w:rPr>
      <w:tblPr/>
      <w:tcPr>
        <w:tcBorders>
          <w:top w:val="double" w:sz="2" w:space="0" w:color="F7AD79" w:themeColor="accent1"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A97DAC"/>
    <w:tblPr>
      <w:tblStyleRowBandSize w:val="1"/>
      <w:tblStyleColBandSize w:val="1"/>
      <w:tblBorders>
        <w:top w:val="single" w:sz="2" w:space="0" w:color="FFE9C3" w:themeColor="accent4" w:themeTint="99"/>
        <w:bottom w:val="single" w:sz="2" w:space="0" w:color="FFE9C3" w:themeColor="accent4" w:themeTint="99"/>
        <w:insideH w:val="single" w:sz="2" w:space="0" w:color="FFE9C3" w:themeColor="accent4" w:themeTint="99"/>
        <w:insideV w:val="single" w:sz="2" w:space="0" w:color="FFE9C3" w:themeColor="accent4" w:themeTint="99"/>
      </w:tblBorders>
    </w:tblPr>
    <w:tblStylePr w:type="firstRow">
      <w:rPr>
        <w:b/>
        <w:bCs/>
      </w:rPr>
      <w:tblPr/>
      <w:tcPr>
        <w:tcBorders>
          <w:top w:val="nil"/>
          <w:bottom w:val="single" w:sz="12" w:space="0" w:color="FFE9C3" w:themeColor="accent4" w:themeTint="99"/>
          <w:insideH w:val="nil"/>
          <w:insideV w:val="nil"/>
        </w:tcBorders>
        <w:shd w:val="clear" w:color="auto" w:fill="FFFFFF" w:themeFill="background1"/>
      </w:tcPr>
    </w:tblStylePr>
    <w:tblStylePr w:type="lastRow">
      <w:rPr>
        <w:b/>
        <w:bCs/>
      </w:rPr>
      <w:tblPr/>
      <w:tcPr>
        <w:tcBorders>
          <w:top w:val="double" w:sz="2" w:space="0" w:color="FFE9C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7EB" w:themeFill="accent4" w:themeFillTint="33"/>
      </w:tcPr>
    </w:tblStylePr>
    <w:tblStylePr w:type="band1Horz">
      <w:tblPr/>
      <w:tcPr>
        <w:shd w:val="clear" w:color="auto" w:fill="FFF7EB" w:themeFill="accent4" w:themeFillTint="33"/>
      </w:tcPr>
    </w:tblStylePr>
  </w:style>
  <w:style w:type="table" w:styleId="GridTable3-Accent1">
    <w:name w:val="Grid Table 3 Accent 1"/>
    <w:basedOn w:val="TableNormal"/>
    <w:uiPriority w:val="48"/>
    <w:rsid w:val="00A97DAC"/>
    <w:tblPr>
      <w:tblStyleRowBandSize w:val="1"/>
      <w:tblStyleColBandSize w:val="1"/>
      <w:tblBorders>
        <w:top w:val="single" w:sz="4" w:space="0" w:color="F7AD79" w:themeColor="accent1" w:themeTint="99"/>
        <w:left w:val="single" w:sz="4" w:space="0" w:color="F7AD79" w:themeColor="accent1" w:themeTint="99"/>
        <w:bottom w:val="single" w:sz="4" w:space="0" w:color="F7AD79" w:themeColor="accent1" w:themeTint="99"/>
        <w:right w:val="single" w:sz="4" w:space="0" w:color="F7AD79" w:themeColor="accent1" w:themeTint="99"/>
        <w:insideH w:val="single" w:sz="4" w:space="0" w:color="F7AD79" w:themeColor="accent1" w:themeTint="99"/>
        <w:insideV w:val="single" w:sz="4" w:space="0" w:color="F7AD7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3D2" w:themeFill="accent1" w:themeFillTint="33"/>
      </w:tcPr>
    </w:tblStylePr>
    <w:tblStylePr w:type="band1Horz">
      <w:tblPr/>
      <w:tcPr>
        <w:shd w:val="clear" w:color="auto" w:fill="FCE3D2" w:themeFill="accent1" w:themeFillTint="33"/>
      </w:tcPr>
    </w:tblStylePr>
    <w:tblStylePr w:type="neCell">
      <w:tblPr/>
      <w:tcPr>
        <w:tcBorders>
          <w:bottom w:val="single" w:sz="4" w:space="0" w:color="F7AD79" w:themeColor="accent1" w:themeTint="99"/>
        </w:tcBorders>
      </w:tcPr>
    </w:tblStylePr>
    <w:tblStylePr w:type="nwCell">
      <w:tblPr/>
      <w:tcPr>
        <w:tcBorders>
          <w:bottom w:val="single" w:sz="4" w:space="0" w:color="F7AD79" w:themeColor="accent1" w:themeTint="99"/>
        </w:tcBorders>
      </w:tcPr>
    </w:tblStylePr>
    <w:tblStylePr w:type="seCell">
      <w:tblPr/>
      <w:tcPr>
        <w:tcBorders>
          <w:top w:val="single" w:sz="4" w:space="0" w:color="F7AD79" w:themeColor="accent1" w:themeTint="99"/>
        </w:tcBorders>
      </w:tcPr>
    </w:tblStylePr>
    <w:tblStylePr w:type="swCell">
      <w:tblPr/>
      <w:tcPr>
        <w:tcBorders>
          <w:top w:val="single" w:sz="4" w:space="0" w:color="F7AD79" w:themeColor="accent1" w:themeTint="99"/>
        </w:tcBorders>
      </w:tcPr>
    </w:tblStylePr>
  </w:style>
  <w:style w:type="table" w:styleId="GridTable4-Accent3">
    <w:name w:val="Grid Table 4 Accent 3"/>
    <w:basedOn w:val="TableNormal"/>
    <w:uiPriority w:val="49"/>
    <w:rsid w:val="00A97DAC"/>
    <w:tblPr>
      <w:tblStyleRowBandSize w:val="1"/>
      <w:tblStyleColBandSize w:val="1"/>
      <w:tblBorders>
        <w:top w:val="single" w:sz="4" w:space="0" w:color="FDDC93" w:themeColor="accent3" w:themeTint="99"/>
        <w:left w:val="single" w:sz="4" w:space="0" w:color="FDDC93" w:themeColor="accent3" w:themeTint="99"/>
        <w:bottom w:val="single" w:sz="4" w:space="0" w:color="FDDC93" w:themeColor="accent3" w:themeTint="99"/>
        <w:right w:val="single" w:sz="4" w:space="0" w:color="FDDC93" w:themeColor="accent3" w:themeTint="99"/>
        <w:insideH w:val="single" w:sz="4" w:space="0" w:color="FDDC93" w:themeColor="accent3" w:themeTint="99"/>
        <w:insideV w:val="single" w:sz="4" w:space="0" w:color="FDDC93" w:themeColor="accent3" w:themeTint="99"/>
      </w:tblBorders>
    </w:tblPr>
    <w:tblStylePr w:type="firstRow">
      <w:rPr>
        <w:b/>
        <w:bCs/>
        <w:color w:val="FFFFFF" w:themeColor="background1"/>
      </w:rPr>
      <w:tblPr/>
      <w:tcPr>
        <w:tcBorders>
          <w:top w:val="single" w:sz="4" w:space="0" w:color="FCC54C" w:themeColor="accent3"/>
          <w:left w:val="single" w:sz="4" w:space="0" w:color="FCC54C" w:themeColor="accent3"/>
          <w:bottom w:val="single" w:sz="4" w:space="0" w:color="FCC54C" w:themeColor="accent3"/>
          <w:right w:val="single" w:sz="4" w:space="0" w:color="FCC54C" w:themeColor="accent3"/>
          <w:insideH w:val="nil"/>
          <w:insideV w:val="nil"/>
        </w:tcBorders>
        <w:shd w:val="clear" w:color="auto" w:fill="FCC54C" w:themeFill="accent3"/>
      </w:tcPr>
    </w:tblStylePr>
    <w:tblStylePr w:type="lastRow">
      <w:rPr>
        <w:b/>
        <w:bCs/>
      </w:rPr>
      <w:tblPr/>
      <w:tcPr>
        <w:tcBorders>
          <w:top w:val="double" w:sz="4" w:space="0" w:color="FCC54C" w:themeColor="accent3"/>
        </w:tcBorders>
      </w:tcPr>
    </w:tblStylePr>
    <w:tblStylePr w:type="firstCol">
      <w:rPr>
        <w:b/>
        <w:bCs/>
      </w:rPr>
    </w:tblStylePr>
    <w:tblStylePr w:type="lastCol">
      <w:rPr>
        <w:b/>
        <w:bCs/>
      </w:rPr>
    </w:tblStylePr>
    <w:tblStylePr w:type="band1Vert">
      <w:tblPr/>
      <w:tcPr>
        <w:shd w:val="clear" w:color="auto" w:fill="FEF3DA" w:themeFill="accent3" w:themeFillTint="33"/>
      </w:tcPr>
    </w:tblStylePr>
    <w:tblStylePr w:type="band1Horz">
      <w:tblPr/>
      <w:tcPr>
        <w:shd w:val="clear" w:color="auto" w:fill="FEF3DA" w:themeFill="accent3" w:themeFillTint="33"/>
      </w:tcPr>
    </w:tblStylePr>
  </w:style>
  <w:style w:type="table" w:styleId="GridTable4-Accent4">
    <w:name w:val="Grid Table 4 Accent 4"/>
    <w:basedOn w:val="TableNormal"/>
    <w:uiPriority w:val="49"/>
    <w:rsid w:val="00A97DAC"/>
    <w:tblPr>
      <w:tblStyleRowBandSize w:val="1"/>
      <w:tblStyleColBandSize w:val="1"/>
      <w:tblBorders>
        <w:top w:val="single" w:sz="4" w:space="0" w:color="FFE9C3" w:themeColor="accent4" w:themeTint="99"/>
        <w:left w:val="single" w:sz="4" w:space="0" w:color="FFE9C3" w:themeColor="accent4" w:themeTint="99"/>
        <w:bottom w:val="single" w:sz="4" w:space="0" w:color="FFE9C3" w:themeColor="accent4" w:themeTint="99"/>
        <w:right w:val="single" w:sz="4" w:space="0" w:color="FFE9C3" w:themeColor="accent4" w:themeTint="99"/>
        <w:insideH w:val="single" w:sz="4" w:space="0" w:color="FFE9C3" w:themeColor="accent4" w:themeTint="99"/>
        <w:insideV w:val="single" w:sz="4" w:space="0" w:color="FFE9C3" w:themeColor="accent4" w:themeTint="99"/>
      </w:tblBorders>
    </w:tblPr>
    <w:tblStylePr w:type="firstRow">
      <w:rPr>
        <w:b/>
        <w:bCs/>
        <w:color w:val="FFFFFF" w:themeColor="background1"/>
      </w:rPr>
      <w:tblPr/>
      <w:tcPr>
        <w:tcBorders>
          <w:top w:val="single" w:sz="4" w:space="0" w:color="FFDB9B" w:themeColor="accent4"/>
          <w:left w:val="single" w:sz="4" w:space="0" w:color="FFDB9B" w:themeColor="accent4"/>
          <w:bottom w:val="single" w:sz="4" w:space="0" w:color="FFDB9B" w:themeColor="accent4"/>
          <w:right w:val="single" w:sz="4" w:space="0" w:color="FFDB9B" w:themeColor="accent4"/>
          <w:insideH w:val="nil"/>
          <w:insideV w:val="nil"/>
        </w:tcBorders>
        <w:shd w:val="clear" w:color="auto" w:fill="FFDB9B" w:themeFill="accent4"/>
      </w:tcPr>
    </w:tblStylePr>
    <w:tblStylePr w:type="lastRow">
      <w:rPr>
        <w:b/>
        <w:bCs/>
      </w:rPr>
      <w:tblPr/>
      <w:tcPr>
        <w:tcBorders>
          <w:top w:val="double" w:sz="4" w:space="0" w:color="FFDB9B" w:themeColor="accent4"/>
        </w:tcBorders>
      </w:tcPr>
    </w:tblStylePr>
    <w:tblStylePr w:type="firstCol">
      <w:rPr>
        <w:b/>
        <w:bCs/>
      </w:rPr>
    </w:tblStylePr>
    <w:tblStylePr w:type="lastCol">
      <w:rPr>
        <w:b/>
        <w:bCs/>
      </w:rPr>
    </w:tblStylePr>
    <w:tblStylePr w:type="band1Vert">
      <w:tblPr/>
      <w:tcPr>
        <w:shd w:val="clear" w:color="auto" w:fill="FFF7EB" w:themeFill="accent4" w:themeFillTint="33"/>
      </w:tcPr>
    </w:tblStylePr>
    <w:tblStylePr w:type="band1Horz">
      <w:tblPr/>
      <w:tcPr>
        <w:shd w:val="clear" w:color="auto" w:fill="FFF7EB" w:themeFill="accent4" w:themeFillTint="33"/>
      </w:tcPr>
    </w:tblStylePr>
  </w:style>
  <w:style w:type="table" w:styleId="GridTable4-Accent5">
    <w:name w:val="Grid Table 4 Accent 5"/>
    <w:basedOn w:val="TableNormal"/>
    <w:uiPriority w:val="49"/>
    <w:rsid w:val="00A97DAC"/>
    <w:tblPr>
      <w:tblStyleRowBandSize w:val="1"/>
      <w:tblStyleColBandSize w:val="1"/>
      <w:tblBorders>
        <w:top w:val="single" w:sz="4" w:space="0" w:color="748FDC" w:themeColor="accent5" w:themeTint="99"/>
        <w:left w:val="single" w:sz="4" w:space="0" w:color="748FDC" w:themeColor="accent5" w:themeTint="99"/>
        <w:bottom w:val="single" w:sz="4" w:space="0" w:color="748FDC" w:themeColor="accent5" w:themeTint="99"/>
        <w:right w:val="single" w:sz="4" w:space="0" w:color="748FDC" w:themeColor="accent5" w:themeTint="99"/>
        <w:insideH w:val="single" w:sz="4" w:space="0" w:color="748FDC" w:themeColor="accent5" w:themeTint="99"/>
        <w:insideV w:val="single" w:sz="4" w:space="0" w:color="748FDC" w:themeColor="accent5" w:themeTint="99"/>
      </w:tblBorders>
    </w:tblPr>
    <w:tblStylePr w:type="firstRow">
      <w:rPr>
        <w:b/>
        <w:bCs/>
        <w:color w:val="FFFFFF" w:themeColor="background1"/>
      </w:rPr>
      <w:tblPr/>
      <w:tcPr>
        <w:tcBorders>
          <w:top w:val="single" w:sz="4" w:space="0" w:color="2C4FB2" w:themeColor="accent5"/>
          <w:left w:val="single" w:sz="4" w:space="0" w:color="2C4FB2" w:themeColor="accent5"/>
          <w:bottom w:val="single" w:sz="4" w:space="0" w:color="2C4FB2" w:themeColor="accent5"/>
          <w:right w:val="single" w:sz="4" w:space="0" w:color="2C4FB2" w:themeColor="accent5"/>
          <w:insideH w:val="nil"/>
          <w:insideV w:val="nil"/>
        </w:tcBorders>
        <w:shd w:val="clear" w:color="auto" w:fill="2C4FB2" w:themeFill="accent5"/>
      </w:tcPr>
    </w:tblStylePr>
    <w:tblStylePr w:type="lastRow">
      <w:rPr>
        <w:b/>
        <w:bCs/>
      </w:rPr>
      <w:tblPr/>
      <w:tcPr>
        <w:tcBorders>
          <w:top w:val="double" w:sz="4" w:space="0" w:color="2C4FB2" w:themeColor="accent5"/>
        </w:tcBorders>
      </w:tcPr>
    </w:tblStylePr>
    <w:tblStylePr w:type="firstCol">
      <w:rPr>
        <w:b/>
        <w:bCs/>
      </w:rPr>
    </w:tblStylePr>
    <w:tblStylePr w:type="lastCol">
      <w:rPr>
        <w:b/>
        <w:bCs/>
      </w:rPr>
    </w:tblStylePr>
    <w:tblStylePr w:type="band1Vert">
      <w:tblPr/>
      <w:tcPr>
        <w:shd w:val="clear" w:color="auto" w:fill="D0D9F3" w:themeFill="accent5" w:themeFillTint="33"/>
      </w:tcPr>
    </w:tblStylePr>
    <w:tblStylePr w:type="band1Horz">
      <w:tblPr/>
      <w:tcPr>
        <w:shd w:val="clear" w:color="auto" w:fill="D0D9F3" w:themeFill="accent5" w:themeFillTint="33"/>
      </w:tcPr>
    </w:tblStylePr>
  </w:style>
  <w:style w:type="table" w:styleId="ListTable3-Accent5">
    <w:name w:val="List Table 3 Accent 5"/>
    <w:basedOn w:val="TableNormal"/>
    <w:uiPriority w:val="48"/>
    <w:rsid w:val="00A97DAC"/>
    <w:tblPr>
      <w:tblStyleRowBandSize w:val="1"/>
      <w:tblStyleColBandSize w:val="1"/>
      <w:tblBorders>
        <w:top w:val="single" w:sz="4" w:space="0" w:color="2C4FB2" w:themeColor="accent5"/>
        <w:left w:val="single" w:sz="4" w:space="0" w:color="2C4FB2" w:themeColor="accent5"/>
        <w:bottom w:val="single" w:sz="4" w:space="0" w:color="2C4FB2" w:themeColor="accent5"/>
        <w:right w:val="single" w:sz="4" w:space="0" w:color="2C4FB2" w:themeColor="accent5"/>
      </w:tblBorders>
    </w:tblPr>
    <w:tblStylePr w:type="firstRow">
      <w:rPr>
        <w:b/>
        <w:bCs/>
        <w:color w:val="FFFFFF" w:themeColor="background1"/>
      </w:rPr>
      <w:tblPr/>
      <w:tcPr>
        <w:shd w:val="clear" w:color="auto" w:fill="2C4FB2" w:themeFill="accent5"/>
      </w:tcPr>
    </w:tblStylePr>
    <w:tblStylePr w:type="lastRow">
      <w:rPr>
        <w:b/>
        <w:bCs/>
      </w:rPr>
      <w:tblPr/>
      <w:tcPr>
        <w:tcBorders>
          <w:top w:val="double" w:sz="4" w:space="0" w:color="2C4FB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4FB2" w:themeColor="accent5"/>
          <w:right w:val="single" w:sz="4" w:space="0" w:color="2C4FB2" w:themeColor="accent5"/>
        </w:tcBorders>
      </w:tcPr>
    </w:tblStylePr>
    <w:tblStylePr w:type="band1Horz">
      <w:tblPr/>
      <w:tcPr>
        <w:tcBorders>
          <w:top w:val="single" w:sz="4" w:space="0" w:color="2C4FB2" w:themeColor="accent5"/>
          <w:bottom w:val="single" w:sz="4" w:space="0" w:color="2C4FB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4FB2" w:themeColor="accent5"/>
          <w:left w:val="nil"/>
        </w:tcBorders>
      </w:tcPr>
    </w:tblStylePr>
    <w:tblStylePr w:type="swCell">
      <w:tblPr/>
      <w:tcPr>
        <w:tcBorders>
          <w:top w:val="double" w:sz="4" w:space="0" w:color="2C4FB2" w:themeColor="accent5"/>
          <w:right w:val="nil"/>
        </w:tcBorders>
      </w:tcPr>
    </w:tblStylePr>
  </w:style>
  <w:style w:type="table" w:styleId="ListTable3-Accent4">
    <w:name w:val="List Table 3 Accent 4"/>
    <w:basedOn w:val="TableNormal"/>
    <w:uiPriority w:val="48"/>
    <w:rsid w:val="00A97DAC"/>
    <w:tblPr>
      <w:tblStyleRowBandSize w:val="1"/>
      <w:tblStyleColBandSize w:val="1"/>
      <w:tblBorders>
        <w:top w:val="single" w:sz="4" w:space="0" w:color="FFDB9B" w:themeColor="accent4"/>
        <w:left w:val="single" w:sz="4" w:space="0" w:color="FFDB9B" w:themeColor="accent4"/>
        <w:bottom w:val="single" w:sz="4" w:space="0" w:color="FFDB9B" w:themeColor="accent4"/>
        <w:right w:val="single" w:sz="4" w:space="0" w:color="FFDB9B" w:themeColor="accent4"/>
      </w:tblBorders>
    </w:tblPr>
    <w:tblStylePr w:type="firstRow">
      <w:rPr>
        <w:b/>
        <w:bCs/>
        <w:color w:val="FFFFFF" w:themeColor="background1"/>
      </w:rPr>
      <w:tblPr/>
      <w:tcPr>
        <w:shd w:val="clear" w:color="auto" w:fill="FFDB9B" w:themeFill="accent4"/>
      </w:tcPr>
    </w:tblStylePr>
    <w:tblStylePr w:type="lastRow">
      <w:rPr>
        <w:b/>
        <w:bCs/>
      </w:rPr>
      <w:tblPr/>
      <w:tcPr>
        <w:tcBorders>
          <w:top w:val="double" w:sz="4" w:space="0" w:color="FFDB9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B9B" w:themeColor="accent4"/>
          <w:right w:val="single" w:sz="4" w:space="0" w:color="FFDB9B" w:themeColor="accent4"/>
        </w:tcBorders>
      </w:tcPr>
    </w:tblStylePr>
    <w:tblStylePr w:type="band1Horz">
      <w:tblPr/>
      <w:tcPr>
        <w:tcBorders>
          <w:top w:val="single" w:sz="4" w:space="0" w:color="FFDB9B" w:themeColor="accent4"/>
          <w:bottom w:val="single" w:sz="4" w:space="0" w:color="FFDB9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B9B" w:themeColor="accent4"/>
          <w:left w:val="nil"/>
        </w:tcBorders>
      </w:tcPr>
    </w:tblStylePr>
    <w:tblStylePr w:type="swCell">
      <w:tblPr/>
      <w:tcPr>
        <w:tcBorders>
          <w:top w:val="double" w:sz="4" w:space="0" w:color="FFDB9B" w:themeColor="accent4"/>
          <w:right w:val="nil"/>
        </w:tcBorders>
      </w:tcPr>
    </w:tblStylePr>
  </w:style>
  <w:style w:type="table" w:styleId="GridTable6ColourfulAccent4">
    <w:name w:val="Grid Table 6 Colorful Accent 4"/>
    <w:basedOn w:val="TableNormal"/>
    <w:uiPriority w:val="51"/>
    <w:rsid w:val="00A97DAC"/>
    <w:rPr>
      <w:color w:val="FFB534" w:themeColor="accent4" w:themeShade="BF"/>
    </w:rPr>
    <w:tblPr>
      <w:tblStyleRowBandSize w:val="1"/>
      <w:tblStyleColBandSize w:val="1"/>
      <w:tblBorders>
        <w:top w:val="single" w:sz="4" w:space="0" w:color="FFE9C3" w:themeColor="accent4" w:themeTint="99"/>
        <w:left w:val="single" w:sz="4" w:space="0" w:color="FFE9C3" w:themeColor="accent4" w:themeTint="99"/>
        <w:bottom w:val="single" w:sz="4" w:space="0" w:color="FFE9C3" w:themeColor="accent4" w:themeTint="99"/>
        <w:right w:val="single" w:sz="4" w:space="0" w:color="FFE9C3" w:themeColor="accent4" w:themeTint="99"/>
        <w:insideH w:val="single" w:sz="4" w:space="0" w:color="FFE9C3" w:themeColor="accent4" w:themeTint="99"/>
        <w:insideV w:val="single" w:sz="4" w:space="0" w:color="FFE9C3" w:themeColor="accent4" w:themeTint="99"/>
      </w:tblBorders>
    </w:tblPr>
    <w:tblStylePr w:type="firstRow">
      <w:rPr>
        <w:b/>
        <w:bCs/>
      </w:rPr>
      <w:tblPr/>
      <w:tcPr>
        <w:tcBorders>
          <w:bottom w:val="single" w:sz="12" w:space="0" w:color="FFE9C3" w:themeColor="accent4" w:themeTint="99"/>
        </w:tcBorders>
      </w:tcPr>
    </w:tblStylePr>
    <w:tblStylePr w:type="lastRow">
      <w:rPr>
        <w:b/>
        <w:bCs/>
      </w:rPr>
      <w:tblPr/>
      <w:tcPr>
        <w:tcBorders>
          <w:top w:val="double" w:sz="4" w:space="0" w:color="FFE9C3" w:themeColor="accent4" w:themeTint="99"/>
        </w:tcBorders>
      </w:tcPr>
    </w:tblStylePr>
    <w:tblStylePr w:type="firstCol">
      <w:rPr>
        <w:b/>
        <w:bCs/>
      </w:rPr>
    </w:tblStylePr>
    <w:tblStylePr w:type="lastCol">
      <w:rPr>
        <w:b/>
        <w:bCs/>
      </w:rPr>
    </w:tblStylePr>
    <w:tblStylePr w:type="band1Vert">
      <w:tblPr/>
      <w:tcPr>
        <w:shd w:val="clear" w:color="auto" w:fill="FFF7EB" w:themeFill="accent4" w:themeFillTint="33"/>
      </w:tcPr>
    </w:tblStylePr>
    <w:tblStylePr w:type="band1Horz">
      <w:tblPr/>
      <w:tcPr>
        <w:shd w:val="clear" w:color="auto" w:fill="FFF7EB" w:themeFill="accent4" w:themeFillTint="33"/>
      </w:tcPr>
    </w:tblStylePr>
  </w:style>
  <w:style w:type="table" w:styleId="GridTable1Light-Accent3">
    <w:name w:val="Grid Table 1 Light Accent 3"/>
    <w:basedOn w:val="TableNormal"/>
    <w:uiPriority w:val="46"/>
    <w:rsid w:val="00A97DAC"/>
    <w:tblPr>
      <w:tblStyleRowBandSize w:val="1"/>
      <w:tblStyleColBandSize w:val="1"/>
      <w:tblBorders>
        <w:top w:val="single" w:sz="4" w:space="0" w:color="FDE7B7" w:themeColor="accent3" w:themeTint="66"/>
        <w:left w:val="single" w:sz="4" w:space="0" w:color="FDE7B7" w:themeColor="accent3" w:themeTint="66"/>
        <w:bottom w:val="single" w:sz="4" w:space="0" w:color="FDE7B7" w:themeColor="accent3" w:themeTint="66"/>
        <w:right w:val="single" w:sz="4" w:space="0" w:color="FDE7B7" w:themeColor="accent3" w:themeTint="66"/>
        <w:insideH w:val="single" w:sz="4" w:space="0" w:color="FDE7B7" w:themeColor="accent3" w:themeTint="66"/>
        <w:insideV w:val="single" w:sz="4" w:space="0" w:color="FDE7B7" w:themeColor="accent3" w:themeTint="66"/>
      </w:tblBorders>
    </w:tblPr>
    <w:tblStylePr w:type="firstRow">
      <w:rPr>
        <w:b/>
        <w:bCs/>
      </w:rPr>
      <w:tblPr/>
      <w:tcPr>
        <w:tcBorders>
          <w:bottom w:val="single" w:sz="12" w:space="0" w:color="FDDC93" w:themeColor="accent3" w:themeTint="99"/>
        </w:tcBorders>
      </w:tcPr>
    </w:tblStylePr>
    <w:tblStylePr w:type="lastRow">
      <w:rPr>
        <w:b/>
        <w:bCs/>
      </w:rPr>
      <w:tblPr/>
      <w:tcPr>
        <w:tcBorders>
          <w:top w:val="double" w:sz="2" w:space="0" w:color="FDDC9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97DAC"/>
    <w:tblPr>
      <w:tblStyleRowBandSize w:val="1"/>
      <w:tblStyleColBandSize w:val="1"/>
      <w:tblBorders>
        <w:top w:val="single" w:sz="4" w:space="0" w:color="FFF0D7" w:themeColor="accent4" w:themeTint="66"/>
        <w:left w:val="single" w:sz="4" w:space="0" w:color="FFF0D7" w:themeColor="accent4" w:themeTint="66"/>
        <w:bottom w:val="single" w:sz="4" w:space="0" w:color="FFF0D7" w:themeColor="accent4" w:themeTint="66"/>
        <w:right w:val="single" w:sz="4" w:space="0" w:color="FFF0D7" w:themeColor="accent4" w:themeTint="66"/>
        <w:insideH w:val="single" w:sz="4" w:space="0" w:color="FFF0D7" w:themeColor="accent4" w:themeTint="66"/>
        <w:insideV w:val="single" w:sz="4" w:space="0" w:color="FFF0D7" w:themeColor="accent4" w:themeTint="66"/>
      </w:tblBorders>
    </w:tblPr>
    <w:tblStylePr w:type="firstRow">
      <w:rPr>
        <w:b/>
        <w:bCs/>
      </w:rPr>
      <w:tblPr/>
      <w:tcPr>
        <w:tcBorders>
          <w:bottom w:val="single" w:sz="12" w:space="0" w:color="FFE9C3" w:themeColor="accent4" w:themeTint="99"/>
        </w:tcBorders>
      </w:tcPr>
    </w:tblStylePr>
    <w:tblStylePr w:type="lastRow">
      <w:rPr>
        <w:b/>
        <w:bCs/>
      </w:rPr>
      <w:tblPr/>
      <w:tcPr>
        <w:tcBorders>
          <w:top w:val="double" w:sz="2" w:space="0" w:color="FFE9C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97DAC"/>
    <w:tblPr>
      <w:tblStyleRowBandSize w:val="1"/>
      <w:tblStyleColBandSize w:val="1"/>
      <w:tblBorders>
        <w:top w:val="single" w:sz="4" w:space="0" w:color="A2B4E8" w:themeColor="accent5" w:themeTint="66"/>
        <w:left w:val="single" w:sz="4" w:space="0" w:color="A2B4E8" w:themeColor="accent5" w:themeTint="66"/>
        <w:bottom w:val="single" w:sz="4" w:space="0" w:color="A2B4E8" w:themeColor="accent5" w:themeTint="66"/>
        <w:right w:val="single" w:sz="4" w:space="0" w:color="A2B4E8" w:themeColor="accent5" w:themeTint="66"/>
        <w:insideH w:val="single" w:sz="4" w:space="0" w:color="A2B4E8" w:themeColor="accent5" w:themeTint="66"/>
        <w:insideV w:val="single" w:sz="4" w:space="0" w:color="A2B4E8" w:themeColor="accent5" w:themeTint="66"/>
      </w:tblBorders>
    </w:tblPr>
    <w:tblStylePr w:type="firstRow">
      <w:rPr>
        <w:b/>
        <w:bCs/>
      </w:rPr>
      <w:tblPr/>
      <w:tcPr>
        <w:tcBorders>
          <w:bottom w:val="single" w:sz="12" w:space="0" w:color="748FDC" w:themeColor="accent5" w:themeTint="99"/>
        </w:tcBorders>
      </w:tcPr>
    </w:tblStylePr>
    <w:tblStylePr w:type="lastRow">
      <w:rPr>
        <w:b/>
        <w:bCs/>
      </w:rPr>
      <w:tblPr/>
      <w:tcPr>
        <w:tcBorders>
          <w:top w:val="double" w:sz="2" w:space="0" w:color="748F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97DAC"/>
    <w:tblPr>
      <w:tblStyleRowBandSize w:val="1"/>
      <w:tblStyleColBandSize w:val="1"/>
      <w:tblBorders>
        <w:top w:val="single" w:sz="4" w:space="0" w:color="A0A0B1" w:themeColor="accent6" w:themeTint="66"/>
        <w:left w:val="single" w:sz="4" w:space="0" w:color="A0A0B1" w:themeColor="accent6" w:themeTint="66"/>
        <w:bottom w:val="single" w:sz="4" w:space="0" w:color="A0A0B1" w:themeColor="accent6" w:themeTint="66"/>
        <w:right w:val="single" w:sz="4" w:space="0" w:color="A0A0B1" w:themeColor="accent6" w:themeTint="66"/>
        <w:insideH w:val="single" w:sz="4" w:space="0" w:color="A0A0B1" w:themeColor="accent6" w:themeTint="66"/>
        <w:insideV w:val="single" w:sz="4" w:space="0" w:color="A0A0B1" w:themeColor="accent6" w:themeTint="66"/>
      </w:tblBorders>
    </w:tblPr>
    <w:tblStylePr w:type="firstRow">
      <w:rPr>
        <w:b/>
        <w:bCs/>
      </w:rPr>
      <w:tblPr/>
      <w:tcPr>
        <w:tcBorders>
          <w:bottom w:val="single" w:sz="12" w:space="0" w:color="71718A" w:themeColor="accent6" w:themeTint="99"/>
        </w:tcBorders>
      </w:tcPr>
    </w:tblStylePr>
    <w:tblStylePr w:type="lastRow">
      <w:rPr>
        <w:b/>
        <w:bCs/>
      </w:rPr>
      <w:tblPr/>
      <w:tcPr>
        <w:tcBorders>
          <w:top w:val="double" w:sz="2" w:space="0" w:color="71718A"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97DAC"/>
    <w:tblPr>
      <w:tblStyleRowBandSize w:val="1"/>
      <w:tblStyleColBandSize w:val="1"/>
      <w:tblBorders>
        <w:top w:val="single" w:sz="4" w:space="0" w:color="FBD2A4" w:themeColor="accent2" w:themeTint="66"/>
        <w:left w:val="single" w:sz="4" w:space="0" w:color="FBD2A4" w:themeColor="accent2" w:themeTint="66"/>
        <w:bottom w:val="single" w:sz="4" w:space="0" w:color="FBD2A4" w:themeColor="accent2" w:themeTint="66"/>
        <w:right w:val="single" w:sz="4" w:space="0" w:color="FBD2A4" w:themeColor="accent2" w:themeTint="66"/>
        <w:insideH w:val="single" w:sz="4" w:space="0" w:color="FBD2A4" w:themeColor="accent2" w:themeTint="66"/>
        <w:insideV w:val="single" w:sz="4" w:space="0" w:color="FBD2A4" w:themeColor="accent2" w:themeTint="66"/>
      </w:tblBorders>
    </w:tblPr>
    <w:tblStylePr w:type="firstRow">
      <w:rPr>
        <w:b/>
        <w:bCs/>
      </w:rPr>
      <w:tblPr/>
      <w:tcPr>
        <w:tcBorders>
          <w:bottom w:val="single" w:sz="12" w:space="0" w:color="F9BC77" w:themeColor="accent2" w:themeTint="99"/>
        </w:tcBorders>
      </w:tcPr>
    </w:tblStylePr>
    <w:tblStylePr w:type="lastRow">
      <w:rPr>
        <w:b/>
        <w:bCs/>
      </w:rPr>
      <w:tblPr/>
      <w:tcPr>
        <w:tcBorders>
          <w:top w:val="double" w:sz="2" w:space="0" w:color="F9BC77"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A97DAC"/>
    <w:tblPr>
      <w:tblStyleRowBandSize w:val="1"/>
      <w:tblStyleColBandSize w:val="1"/>
      <w:tblBorders>
        <w:top w:val="single" w:sz="2" w:space="0" w:color="71718A" w:themeColor="text1" w:themeTint="99"/>
        <w:bottom w:val="single" w:sz="2" w:space="0" w:color="71718A" w:themeColor="text1" w:themeTint="99"/>
        <w:insideH w:val="single" w:sz="2" w:space="0" w:color="71718A" w:themeColor="text1" w:themeTint="99"/>
        <w:insideV w:val="single" w:sz="2" w:space="0" w:color="71718A" w:themeColor="text1" w:themeTint="99"/>
      </w:tblBorders>
    </w:tblPr>
    <w:tblStylePr w:type="firstRow">
      <w:rPr>
        <w:b/>
        <w:bCs/>
      </w:rPr>
      <w:tblPr/>
      <w:tcPr>
        <w:tcBorders>
          <w:top w:val="nil"/>
          <w:bottom w:val="single" w:sz="12" w:space="0" w:color="71718A" w:themeColor="text1" w:themeTint="99"/>
          <w:insideH w:val="nil"/>
          <w:insideV w:val="nil"/>
        </w:tcBorders>
        <w:shd w:val="clear" w:color="auto" w:fill="FFFFFF" w:themeFill="background1"/>
      </w:tcPr>
    </w:tblStylePr>
    <w:tblStylePr w:type="lastRow">
      <w:rPr>
        <w:b/>
        <w:bCs/>
      </w:rPr>
      <w:tblPr/>
      <w:tcPr>
        <w:tcBorders>
          <w:top w:val="double" w:sz="2" w:space="0" w:color="71718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CFD8" w:themeFill="text1" w:themeFillTint="33"/>
      </w:tcPr>
    </w:tblStylePr>
    <w:tblStylePr w:type="band1Horz">
      <w:tblPr/>
      <w:tcPr>
        <w:shd w:val="clear" w:color="auto" w:fill="CFCFD8" w:themeFill="text1" w:themeFillTint="33"/>
      </w:tcPr>
    </w:tblStylePr>
  </w:style>
  <w:style w:type="table" w:styleId="GridTable2-Accent1">
    <w:name w:val="Grid Table 2 Accent 1"/>
    <w:basedOn w:val="TableNormal"/>
    <w:uiPriority w:val="47"/>
    <w:rsid w:val="00A97DAC"/>
    <w:tblPr>
      <w:tblStyleRowBandSize w:val="1"/>
      <w:tblStyleColBandSize w:val="1"/>
      <w:tblBorders>
        <w:top w:val="single" w:sz="2" w:space="0" w:color="F7AD79" w:themeColor="accent1" w:themeTint="99"/>
        <w:bottom w:val="single" w:sz="2" w:space="0" w:color="F7AD79" w:themeColor="accent1" w:themeTint="99"/>
        <w:insideH w:val="single" w:sz="2" w:space="0" w:color="F7AD79" w:themeColor="accent1" w:themeTint="99"/>
        <w:insideV w:val="single" w:sz="2" w:space="0" w:color="F7AD79" w:themeColor="accent1" w:themeTint="99"/>
      </w:tblBorders>
    </w:tblPr>
    <w:tblStylePr w:type="firstRow">
      <w:rPr>
        <w:b/>
        <w:bCs/>
      </w:rPr>
      <w:tblPr/>
      <w:tcPr>
        <w:tcBorders>
          <w:top w:val="nil"/>
          <w:bottom w:val="single" w:sz="12" w:space="0" w:color="F7AD79" w:themeColor="accent1" w:themeTint="99"/>
          <w:insideH w:val="nil"/>
          <w:insideV w:val="nil"/>
        </w:tcBorders>
        <w:shd w:val="clear" w:color="auto" w:fill="FFFFFF" w:themeFill="background1"/>
      </w:tcPr>
    </w:tblStylePr>
    <w:tblStylePr w:type="lastRow">
      <w:rPr>
        <w:b/>
        <w:bCs/>
      </w:rPr>
      <w:tblPr/>
      <w:tcPr>
        <w:tcBorders>
          <w:top w:val="double" w:sz="2" w:space="0" w:color="F7AD7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3D2" w:themeFill="accent1" w:themeFillTint="33"/>
      </w:tcPr>
    </w:tblStylePr>
    <w:tblStylePr w:type="band1Horz">
      <w:tblPr/>
      <w:tcPr>
        <w:shd w:val="clear" w:color="auto" w:fill="FCE3D2" w:themeFill="accent1" w:themeFillTint="33"/>
      </w:tcPr>
    </w:tblStylePr>
  </w:style>
  <w:style w:type="table" w:styleId="GridTable2-Accent2">
    <w:name w:val="Grid Table 2 Accent 2"/>
    <w:basedOn w:val="TableNormal"/>
    <w:uiPriority w:val="47"/>
    <w:rsid w:val="00A97DAC"/>
    <w:tblPr>
      <w:tblStyleRowBandSize w:val="1"/>
      <w:tblStyleColBandSize w:val="1"/>
      <w:tblBorders>
        <w:top w:val="single" w:sz="2" w:space="0" w:color="F9BC77" w:themeColor="accent2" w:themeTint="99"/>
        <w:bottom w:val="single" w:sz="2" w:space="0" w:color="F9BC77" w:themeColor="accent2" w:themeTint="99"/>
        <w:insideH w:val="single" w:sz="2" w:space="0" w:color="F9BC77" w:themeColor="accent2" w:themeTint="99"/>
        <w:insideV w:val="single" w:sz="2" w:space="0" w:color="F9BC77" w:themeColor="accent2" w:themeTint="99"/>
      </w:tblBorders>
    </w:tblPr>
    <w:tblStylePr w:type="firstRow">
      <w:rPr>
        <w:b/>
        <w:bCs/>
      </w:rPr>
      <w:tblPr/>
      <w:tcPr>
        <w:tcBorders>
          <w:top w:val="nil"/>
          <w:bottom w:val="single" w:sz="12" w:space="0" w:color="F9BC77" w:themeColor="accent2" w:themeTint="99"/>
          <w:insideH w:val="nil"/>
          <w:insideV w:val="nil"/>
        </w:tcBorders>
        <w:shd w:val="clear" w:color="auto" w:fill="FFFFFF" w:themeFill="background1"/>
      </w:tcPr>
    </w:tblStylePr>
    <w:tblStylePr w:type="lastRow">
      <w:rPr>
        <w:b/>
        <w:bCs/>
      </w:rPr>
      <w:tblPr/>
      <w:tcPr>
        <w:tcBorders>
          <w:top w:val="double" w:sz="2" w:space="0" w:color="F9BC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8D1" w:themeFill="accent2" w:themeFillTint="33"/>
      </w:tcPr>
    </w:tblStylePr>
    <w:tblStylePr w:type="band1Horz">
      <w:tblPr/>
      <w:tcPr>
        <w:shd w:val="clear" w:color="auto" w:fill="FDE8D1" w:themeFill="accent2" w:themeFillTint="33"/>
      </w:tcPr>
    </w:tblStylePr>
  </w:style>
  <w:style w:type="table" w:styleId="GridTable2-Accent3">
    <w:name w:val="Grid Table 2 Accent 3"/>
    <w:basedOn w:val="TableNormal"/>
    <w:uiPriority w:val="47"/>
    <w:rsid w:val="00A97DAC"/>
    <w:tblPr>
      <w:tblStyleRowBandSize w:val="1"/>
      <w:tblStyleColBandSize w:val="1"/>
      <w:tblBorders>
        <w:top w:val="single" w:sz="2" w:space="0" w:color="FDDC93" w:themeColor="accent3" w:themeTint="99"/>
        <w:bottom w:val="single" w:sz="2" w:space="0" w:color="FDDC93" w:themeColor="accent3" w:themeTint="99"/>
        <w:insideH w:val="single" w:sz="2" w:space="0" w:color="FDDC93" w:themeColor="accent3" w:themeTint="99"/>
        <w:insideV w:val="single" w:sz="2" w:space="0" w:color="FDDC93" w:themeColor="accent3" w:themeTint="99"/>
      </w:tblBorders>
    </w:tblPr>
    <w:tblStylePr w:type="firstRow">
      <w:rPr>
        <w:b/>
        <w:bCs/>
      </w:rPr>
      <w:tblPr/>
      <w:tcPr>
        <w:tcBorders>
          <w:top w:val="nil"/>
          <w:bottom w:val="single" w:sz="12" w:space="0" w:color="FDDC93" w:themeColor="accent3" w:themeTint="99"/>
          <w:insideH w:val="nil"/>
          <w:insideV w:val="nil"/>
        </w:tcBorders>
        <w:shd w:val="clear" w:color="auto" w:fill="FFFFFF" w:themeFill="background1"/>
      </w:tcPr>
    </w:tblStylePr>
    <w:tblStylePr w:type="lastRow">
      <w:rPr>
        <w:b/>
        <w:bCs/>
      </w:rPr>
      <w:tblPr/>
      <w:tcPr>
        <w:tcBorders>
          <w:top w:val="double" w:sz="2" w:space="0" w:color="FDDC9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3DA" w:themeFill="accent3" w:themeFillTint="33"/>
      </w:tcPr>
    </w:tblStylePr>
    <w:tblStylePr w:type="band1Horz">
      <w:tblPr/>
      <w:tcPr>
        <w:shd w:val="clear" w:color="auto" w:fill="FEF3DA" w:themeFill="accent3" w:themeFillTint="33"/>
      </w:tcPr>
    </w:tblStylePr>
  </w:style>
  <w:style w:type="table" w:styleId="GridTable2-Accent5">
    <w:name w:val="Grid Table 2 Accent 5"/>
    <w:basedOn w:val="TableNormal"/>
    <w:uiPriority w:val="47"/>
    <w:rsid w:val="00A97DAC"/>
    <w:tblPr>
      <w:tblStyleRowBandSize w:val="1"/>
      <w:tblStyleColBandSize w:val="1"/>
      <w:tblBorders>
        <w:top w:val="single" w:sz="2" w:space="0" w:color="748FDC" w:themeColor="accent5" w:themeTint="99"/>
        <w:bottom w:val="single" w:sz="2" w:space="0" w:color="748FDC" w:themeColor="accent5" w:themeTint="99"/>
        <w:insideH w:val="single" w:sz="2" w:space="0" w:color="748FDC" w:themeColor="accent5" w:themeTint="99"/>
        <w:insideV w:val="single" w:sz="2" w:space="0" w:color="748FDC" w:themeColor="accent5" w:themeTint="99"/>
      </w:tblBorders>
    </w:tblPr>
    <w:tblStylePr w:type="firstRow">
      <w:rPr>
        <w:b/>
        <w:bCs/>
      </w:rPr>
      <w:tblPr/>
      <w:tcPr>
        <w:tcBorders>
          <w:top w:val="nil"/>
          <w:bottom w:val="single" w:sz="12" w:space="0" w:color="748FDC" w:themeColor="accent5" w:themeTint="99"/>
          <w:insideH w:val="nil"/>
          <w:insideV w:val="nil"/>
        </w:tcBorders>
        <w:shd w:val="clear" w:color="auto" w:fill="FFFFFF" w:themeFill="background1"/>
      </w:tcPr>
    </w:tblStylePr>
    <w:tblStylePr w:type="lastRow">
      <w:rPr>
        <w:b/>
        <w:bCs/>
      </w:rPr>
      <w:tblPr/>
      <w:tcPr>
        <w:tcBorders>
          <w:top w:val="double" w:sz="2" w:space="0" w:color="748F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9F3" w:themeFill="accent5" w:themeFillTint="33"/>
      </w:tcPr>
    </w:tblStylePr>
    <w:tblStylePr w:type="band1Horz">
      <w:tblPr/>
      <w:tcPr>
        <w:shd w:val="clear" w:color="auto" w:fill="D0D9F3" w:themeFill="accent5" w:themeFillTint="33"/>
      </w:tcPr>
    </w:tblStylePr>
  </w:style>
  <w:style w:type="table" w:styleId="GridTable5Dark-Accent1">
    <w:name w:val="Grid Table 5 Dark Accent 1"/>
    <w:basedOn w:val="TableNormal"/>
    <w:uiPriority w:val="50"/>
    <w:rsid w:val="00A97D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3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772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772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772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7720" w:themeFill="accent1"/>
      </w:tcPr>
    </w:tblStylePr>
    <w:tblStylePr w:type="band1Vert">
      <w:tblPr/>
      <w:tcPr>
        <w:shd w:val="clear" w:color="auto" w:fill="FAC8A5" w:themeFill="accent1" w:themeFillTint="66"/>
      </w:tcPr>
    </w:tblStylePr>
    <w:tblStylePr w:type="band1Horz">
      <w:tblPr/>
      <w:tcPr>
        <w:shd w:val="clear" w:color="auto" w:fill="FAC8A5" w:themeFill="accent1" w:themeFillTint="66"/>
      </w:tcPr>
    </w:tblStylePr>
  </w:style>
  <w:style w:type="table" w:styleId="GridTable5Dark-Accent3">
    <w:name w:val="Grid Table 5 Dark Accent 3"/>
    <w:basedOn w:val="TableNormal"/>
    <w:uiPriority w:val="50"/>
    <w:rsid w:val="00A97D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3D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CC54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CC54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CC54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CC54C" w:themeFill="accent3"/>
      </w:tcPr>
    </w:tblStylePr>
    <w:tblStylePr w:type="band1Vert">
      <w:tblPr/>
      <w:tcPr>
        <w:shd w:val="clear" w:color="auto" w:fill="FDE7B7" w:themeFill="accent3" w:themeFillTint="66"/>
      </w:tcPr>
    </w:tblStylePr>
    <w:tblStylePr w:type="band1Horz">
      <w:tblPr/>
      <w:tcPr>
        <w:shd w:val="clear" w:color="auto" w:fill="FDE7B7" w:themeFill="accent3" w:themeFillTint="66"/>
      </w:tcPr>
    </w:tblStylePr>
  </w:style>
  <w:style w:type="table" w:styleId="GridTable6ColourfulAccent2">
    <w:name w:val="Grid Table 6 Colorful Accent 2"/>
    <w:basedOn w:val="TableNormal"/>
    <w:uiPriority w:val="51"/>
    <w:rsid w:val="00A97DAC"/>
    <w:rPr>
      <w:color w:val="C66C08" w:themeColor="accent2" w:themeShade="BF"/>
    </w:rPr>
    <w:tblPr>
      <w:tblStyleRowBandSize w:val="1"/>
      <w:tblStyleColBandSize w:val="1"/>
      <w:tblBorders>
        <w:top w:val="single" w:sz="4" w:space="0" w:color="F9BC77" w:themeColor="accent2" w:themeTint="99"/>
        <w:left w:val="single" w:sz="4" w:space="0" w:color="F9BC77" w:themeColor="accent2" w:themeTint="99"/>
        <w:bottom w:val="single" w:sz="4" w:space="0" w:color="F9BC77" w:themeColor="accent2" w:themeTint="99"/>
        <w:right w:val="single" w:sz="4" w:space="0" w:color="F9BC77" w:themeColor="accent2" w:themeTint="99"/>
        <w:insideH w:val="single" w:sz="4" w:space="0" w:color="F9BC77" w:themeColor="accent2" w:themeTint="99"/>
        <w:insideV w:val="single" w:sz="4" w:space="0" w:color="F9BC77" w:themeColor="accent2" w:themeTint="99"/>
      </w:tblBorders>
    </w:tblPr>
    <w:tblStylePr w:type="firstRow">
      <w:rPr>
        <w:b/>
        <w:bCs/>
      </w:rPr>
      <w:tblPr/>
      <w:tcPr>
        <w:tcBorders>
          <w:bottom w:val="single" w:sz="12" w:space="0" w:color="F9BC77" w:themeColor="accent2" w:themeTint="99"/>
        </w:tcBorders>
      </w:tcPr>
    </w:tblStylePr>
    <w:tblStylePr w:type="lastRow">
      <w:rPr>
        <w:b/>
        <w:bCs/>
      </w:rPr>
      <w:tblPr/>
      <w:tcPr>
        <w:tcBorders>
          <w:top w:val="double" w:sz="4" w:space="0" w:color="F9BC77" w:themeColor="accent2" w:themeTint="99"/>
        </w:tcBorders>
      </w:tcPr>
    </w:tblStylePr>
    <w:tblStylePr w:type="firstCol">
      <w:rPr>
        <w:b/>
        <w:bCs/>
      </w:rPr>
    </w:tblStylePr>
    <w:tblStylePr w:type="lastCol">
      <w:rPr>
        <w:b/>
        <w:bCs/>
      </w:rPr>
    </w:tblStylePr>
    <w:tblStylePr w:type="band1Vert">
      <w:tblPr/>
      <w:tcPr>
        <w:shd w:val="clear" w:color="auto" w:fill="FDE8D1" w:themeFill="accent2" w:themeFillTint="33"/>
      </w:tcPr>
    </w:tblStylePr>
    <w:tblStylePr w:type="band1Horz">
      <w:tblPr/>
      <w:tcPr>
        <w:shd w:val="clear" w:color="auto" w:fill="FDE8D1" w:themeFill="accent2" w:themeFillTint="33"/>
      </w:tcPr>
    </w:tblStylePr>
  </w:style>
  <w:style w:type="paragraph" w:customStyle="1" w:styleId="BulletRound">
    <w:name w:val="Bullet Round"/>
    <w:basedOn w:val="ListBullet"/>
    <w:qFormat/>
    <w:rsid w:val="00F2311D"/>
    <w:pPr>
      <w:spacing w:before="80" w:after="80"/>
      <w:contextualSpacing w:val="0"/>
    </w:pPr>
    <w:rPr>
      <w:rFonts w:cs="Open Sans"/>
      <w:kern w:val="0"/>
      <w:szCs w:val="22"/>
      <w14:ligatures w14:val="none"/>
    </w:rPr>
  </w:style>
  <w:style w:type="paragraph" w:styleId="ListBullet">
    <w:name w:val="List Bullet"/>
    <w:basedOn w:val="Normal"/>
    <w:uiPriority w:val="99"/>
    <w:semiHidden/>
    <w:unhideWhenUsed/>
    <w:rsid w:val="00F2311D"/>
    <w:pPr>
      <w:numPr>
        <w:numId w:val="1"/>
      </w:numPr>
      <w:contextualSpacing/>
    </w:pPr>
  </w:style>
  <w:style w:type="numbering" w:customStyle="1" w:styleId="CurrentList1">
    <w:name w:val="Current List1"/>
    <w:uiPriority w:val="99"/>
    <w:rsid w:val="00F2311D"/>
    <w:pPr>
      <w:numPr>
        <w:numId w:val="3"/>
      </w:numPr>
    </w:pPr>
  </w:style>
  <w:style w:type="paragraph" w:styleId="BodyText">
    <w:name w:val="Body Text"/>
    <w:basedOn w:val="Normal"/>
    <w:link w:val="BodyTextChar"/>
    <w:unhideWhenUsed/>
    <w:rsid w:val="00A90E89"/>
    <w:pPr>
      <w:spacing w:after="120"/>
    </w:pPr>
  </w:style>
  <w:style w:type="character" w:customStyle="1" w:styleId="BodyTextChar">
    <w:name w:val="Body Text Char"/>
    <w:basedOn w:val="DefaultParagraphFont"/>
    <w:link w:val="BodyText"/>
    <w:rsid w:val="00A90E89"/>
    <w:rPr>
      <w:rFonts w:ascii="Open Sans" w:hAnsi="Open Sans"/>
      <w:color w:val="373743" w:themeColor="text1" w:themeTint="E6"/>
      <w:sz w:val="20"/>
    </w:rPr>
  </w:style>
  <w:style w:type="table" w:styleId="ListTable7ColourfulAccent6">
    <w:name w:val="List Table 7 Colorful Accent 6"/>
    <w:basedOn w:val="TableNormal"/>
    <w:uiPriority w:val="52"/>
    <w:rsid w:val="00573589"/>
    <w:rPr>
      <w:color w:val="1B1B2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4242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4242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4242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4242C" w:themeColor="accent6"/>
        </w:tcBorders>
        <w:shd w:val="clear" w:color="auto" w:fill="FFFFFF" w:themeFill="background1"/>
      </w:tcPr>
    </w:tblStylePr>
    <w:tblStylePr w:type="band1Vert">
      <w:tblPr/>
      <w:tcPr>
        <w:shd w:val="clear" w:color="auto" w:fill="CFCFD8" w:themeFill="accent6" w:themeFillTint="33"/>
      </w:tcPr>
    </w:tblStylePr>
    <w:tblStylePr w:type="band1Horz">
      <w:tblPr/>
      <w:tcPr>
        <w:shd w:val="clear" w:color="auto" w:fill="CFCF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573589"/>
    <w:rPr>
      <w:color w:val="C66C0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911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911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911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911E" w:themeColor="accent2"/>
        </w:tcBorders>
        <w:shd w:val="clear" w:color="auto" w:fill="FFFFFF" w:themeFill="background1"/>
      </w:tcPr>
    </w:tblStylePr>
    <w:tblStylePr w:type="band1Vert">
      <w:tblPr/>
      <w:tcPr>
        <w:shd w:val="clear" w:color="auto" w:fill="FDE8D1" w:themeFill="accent2" w:themeFillTint="33"/>
      </w:tcPr>
    </w:tblStylePr>
    <w:tblStylePr w:type="band1Horz">
      <w:tblPr/>
      <w:tcPr>
        <w:shd w:val="clear" w:color="auto" w:fill="FDE8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6">
    <w:name w:val="List Table 6 Colorful Accent 6"/>
    <w:basedOn w:val="TableNormal"/>
    <w:uiPriority w:val="51"/>
    <w:rsid w:val="00573589"/>
    <w:rPr>
      <w:color w:val="1B1B20" w:themeColor="accent6" w:themeShade="BF"/>
    </w:rPr>
    <w:tblPr>
      <w:tblStyleRowBandSize w:val="1"/>
      <w:tblStyleColBandSize w:val="1"/>
      <w:tblBorders>
        <w:top w:val="single" w:sz="4" w:space="0" w:color="24242C" w:themeColor="accent6"/>
        <w:bottom w:val="single" w:sz="4" w:space="0" w:color="24242C" w:themeColor="accent6"/>
      </w:tblBorders>
    </w:tblPr>
    <w:tblStylePr w:type="firstRow">
      <w:rPr>
        <w:b/>
        <w:bCs/>
      </w:rPr>
      <w:tblPr/>
      <w:tcPr>
        <w:tcBorders>
          <w:bottom w:val="single" w:sz="4" w:space="0" w:color="24242C" w:themeColor="accent6"/>
        </w:tcBorders>
      </w:tcPr>
    </w:tblStylePr>
    <w:tblStylePr w:type="lastRow">
      <w:rPr>
        <w:b/>
        <w:bCs/>
      </w:rPr>
      <w:tblPr/>
      <w:tcPr>
        <w:tcBorders>
          <w:top w:val="double" w:sz="4" w:space="0" w:color="24242C" w:themeColor="accent6"/>
        </w:tcBorders>
      </w:tcPr>
    </w:tblStylePr>
    <w:tblStylePr w:type="firstCol">
      <w:rPr>
        <w:b/>
        <w:bCs/>
      </w:rPr>
    </w:tblStylePr>
    <w:tblStylePr w:type="lastCol">
      <w:rPr>
        <w:b/>
        <w:bCs/>
      </w:rPr>
    </w:tblStylePr>
    <w:tblStylePr w:type="band1Vert">
      <w:tblPr/>
      <w:tcPr>
        <w:shd w:val="clear" w:color="auto" w:fill="CFCFD8" w:themeFill="accent6" w:themeFillTint="33"/>
      </w:tcPr>
    </w:tblStylePr>
    <w:tblStylePr w:type="band1Horz">
      <w:tblPr/>
      <w:tcPr>
        <w:shd w:val="clear" w:color="auto" w:fill="CFCFD8" w:themeFill="accent6" w:themeFillTint="33"/>
      </w:tcPr>
    </w:tblStylePr>
  </w:style>
  <w:style w:type="table" w:styleId="GridTable4">
    <w:name w:val="Grid Table 4"/>
    <w:basedOn w:val="TableNormal"/>
    <w:uiPriority w:val="49"/>
    <w:rsid w:val="00573589"/>
    <w:tblPr>
      <w:tblStyleRowBandSize w:val="1"/>
      <w:tblStyleColBandSize w:val="1"/>
      <w:tblBorders>
        <w:top w:val="single" w:sz="4" w:space="0" w:color="71718A" w:themeColor="text1" w:themeTint="99"/>
        <w:left w:val="single" w:sz="4" w:space="0" w:color="71718A" w:themeColor="text1" w:themeTint="99"/>
        <w:bottom w:val="single" w:sz="4" w:space="0" w:color="71718A" w:themeColor="text1" w:themeTint="99"/>
        <w:right w:val="single" w:sz="4" w:space="0" w:color="71718A" w:themeColor="text1" w:themeTint="99"/>
        <w:insideH w:val="single" w:sz="4" w:space="0" w:color="71718A" w:themeColor="text1" w:themeTint="99"/>
        <w:insideV w:val="single" w:sz="4" w:space="0" w:color="71718A" w:themeColor="text1" w:themeTint="99"/>
      </w:tblBorders>
    </w:tblPr>
    <w:tblStylePr w:type="firstRow">
      <w:rPr>
        <w:b/>
        <w:bCs/>
        <w:color w:val="FFFFFF" w:themeColor="background1"/>
      </w:rPr>
      <w:tblPr/>
      <w:tcPr>
        <w:tcBorders>
          <w:top w:val="single" w:sz="4" w:space="0" w:color="24242C" w:themeColor="text1"/>
          <w:left w:val="single" w:sz="4" w:space="0" w:color="24242C" w:themeColor="text1"/>
          <w:bottom w:val="single" w:sz="4" w:space="0" w:color="24242C" w:themeColor="text1"/>
          <w:right w:val="single" w:sz="4" w:space="0" w:color="24242C" w:themeColor="text1"/>
          <w:insideH w:val="nil"/>
          <w:insideV w:val="nil"/>
        </w:tcBorders>
        <w:shd w:val="clear" w:color="auto" w:fill="24242C" w:themeFill="text1"/>
      </w:tcPr>
    </w:tblStylePr>
    <w:tblStylePr w:type="lastRow">
      <w:rPr>
        <w:b/>
        <w:bCs/>
      </w:rPr>
      <w:tblPr/>
      <w:tcPr>
        <w:tcBorders>
          <w:top w:val="double" w:sz="4" w:space="0" w:color="24242C" w:themeColor="text1"/>
        </w:tcBorders>
      </w:tcPr>
    </w:tblStylePr>
    <w:tblStylePr w:type="firstCol">
      <w:rPr>
        <w:b/>
        <w:bCs/>
      </w:rPr>
    </w:tblStylePr>
    <w:tblStylePr w:type="lastCol">
      <w:rPr>
        <w:b/>
        <w:bCs/>
      </w:rPr>
    </w:tblStylePr>
    <w:tblStylePr w:type="band1Vert">
      <w:tblPr/>
      <w:tcPr>
        <w:shd w:val="clear" w:color="auto" w:fill="CFCFD8" w:themeFill="text1" w:themeFillTint="33"/>
      </w:tcPr>
    </w:tblStylePr>
    <w:tblStylePr w:type="band1Horz">
      <w:tblPr/>
      <w:tcPr>
        <w:shd w:val="clear" w:color="auto" w:fill="CFCFD8" w:themeFill="text1" w:themeFillTint="33"/>
      </w:tcPr>
    </w:tblStylePr>
  </w:style>
  <w:style w:type="table" w:styleId="GridTable4-Accent1">
    <w:name w:val="Grid Table 4 Accent 1"/>
    <w:basedOn w:val="TableNormal"/>
    <w:uiPriority w:val="49"/>
    <w:rsid w:val="00573589"/>
    <w:tblPr>
      <w:tblStyleRowBandSize w:val="1"/>
      <w:tblStyleColBandSize w:val="1"/>
      <w:tblBorders>
        <w:top w:val="single" w:sz="4" w:space="0" w:color="F7AD79" w:themeColor="accent1" w:themeTint="99"/>
        <w:left w:val="single" w:sz="4" w:space="0" w:color="F7AD79" w:themeColor="accent1" w:themeTint="99"/>
        <w:bottom w:val="single" w:sz="4" w:space="0" w:color="F7AD79" w:themeColor="accent1" w:themeTint="99"/>
        <w:right w:val="single" w:sz="4" w:space="0" w:color="F7AD79" w:themeColor="accent1" w:themeTint="99"/>
        <w:insideH w:val="single" w:sz="4" w:space="0" w:color="F7AD79" w:themeColor="accent1" w:themeTint="99"/>
        <w:insideV w:val="single" w:sz="4" w:space="0" w:color="F7AD79" w:themeColor="accent1" w:themeTint="99"/>
      </w:tblBorders>
    </w:tblPr>
    <w:tblStylePr w:type="firstRow">
      <w:rPr>
        <w:b/>
        <w:bCs/>
        <w:color w:val="FFFFFF" w:themeColor="background1"/>
      </w:rPr>
      <w:tblPr/>
      <w:tcPr>
        <w:tcBorders>
          <w:top w:val="single" w:sz="4" w:space="0" w:color="F37720" w:themeColor="accent1"/>
          <w:left w:val="single" w:sz="4" w:space="0" w:color="F37720" w:themeColor="accent1"/>
          <w:bottom w:val="single" w:sz="4" w:space="0" w:color="F37720" w:themeColor="accent1"/>
          <w:right w:val="single" w:sz="4" w:space="0" w:color="F37720" w:themeColor="accent1"/>
          <w:insideH w:val="nil"/>
          <w:insideV w:val="nil"/>
        </w:tcBorders>
        <w:shd w:val="clear" w:color="auto" w:fill="F37720" w:themeFill="accent1"/>
      </w:tcPr>
    </w:tblStylePr>
    <w:tblStylePr w:type="lastRow">
      <w:rPr>
        <w:b/>
        <w:bCs/>
      </w:rPr>
      <w:tblPr/>
      <w:tcPr>
        <w:tcBorders>
          <w:top w:val="double" w:sz="4" w:space="0" w:color="F37720" w:themeColor="accent1"/>
        </w:tcBorders>
      </w:tcPr>
    </w:tblStylePr>
    <w:tblStylePr w:type="firstCol">
      <w:rPr>
        <w:b/>
        <w:bCs/>
      </w:rPr>
    </w:tblStylePr>
    <w:tblStylePr w:type="lastCol">
      <w:rPr>
        <w:b/>
        <w:bCs/>
      </w:rPr>
    </w:tblStylePr>
    <w:tblStylePr w:type="band1Vert">
      <w:tblPr/>
      <w:tcPr>
        <w:shd w:val="clear" w:color="auto" w:fill="FCE3D2" w:themeFill="accent1" w:themeFillTint="33"/>
      </w:tcPr>
    </w:tblStylePr>
    <w:tblStylePr w:type="band1Horz">
      <w:tblPr/>
      <w:tcPr>
        <w:shd w:val="clear" w:color="auto" w:fill="FCE3D2" w:themeFill="accent1" w:themeFillTint="33"/>
      </w:tcPr>
    </w:tblStylePr>
  </w:style>
  <w:style w:type="table" w:styleId="GridTable4-Accent6">
    <w:name w:val="Grid Table 4 Accent 6"/>
    <w:basedOn w:val="TableNormal"/>
    <w:uiPriority w:val="49"/>
    <w:rsid w:val="00573589"/>
    <w:tblPr>
      <w:tblStyleRowBandSize w:val="1"/>
      <w:tblStyleColBandSize w:val="1"/>
      <w:tblBorders>
        <w:top w:val="single" w:sz="4" w:space="0" w:color="71718A" w:themeColor="accent6" w:themeTint="99"/>
        <w:left w:val="single" w:sz="4" w:space="0" w:color="71718A" w:themeColor="accent6" w:themeTint="99"/>
        <w:bottom w:val="single" w:sz="4" w:space="0" w:color="71718A" w:themeColor="accent6" w:themeTint="99"/>
        <w:right w:val="single" w:sz="4" w:space="0" w:color="71718A" w:themeColor="accent6" w:themeTint="99"/>
        <w:insideH w:val="single" w:sz="4" w:space="0" w:color="71718A" w:themeColor="accent6" w:themeTint="99"/>
        <w:insideV w:val="single" w:sz="4" w:space="0" w:color="71718A" w:themeColor="accent6" w:themeTint="99"/>
      </w:tblBorders>
    </w:tblPr>
    <w:tblStylePr w:type="firstRow">
      <w:rPr>
        <w:b/>
        <w:bCs/>
        <w:color w:val="FFFFFF" w:themeColor="background1"/>
      </w:rPr>
      <w:tblPr/>
      <w:tcPr>
        <w:tcBorders>
          <w:top w:val="single" w:sz="4" w:space="0" w:color="24242C" w:themeColor="accent6"/>
          <w:left w:val="single" w:sz="4" w:space="0" w:color="24242C" w:themeColor="accent6"/>
          <w:bottom w:val="single" w:sz="4" w:space="0" w:color="24242C" w:themeColor="accent6"/>
          <w:right w:val="single" w:sz="4" w:space="0" w:color="24242C" w:themeColor="accent6"/>
          <w:insideH w:val="nil"/>
          <w:insideV w:val="nil"/>
        </w:tcBorders>
        <w:shd w:val="clear" w:color="auto" w:fill="24242C" w:themeFill="accent6"/>
      </w:tcPr>
    </w:tblStylePr>
    <w:tblStylePr w:type="lastRow">
      <w:rPr>
        <w:b/>
        <w:bCs/>
      </w:rPr>
      <w:tblPr/>
      <w:tcPr>
        <w:tcBorders>
          <w:top w:val="double" w:sz="4" w:space="0" w:color="24242C" w:themeColor="accent6"/>
        </w:tcBorders>
      </w:tcPr>
    </w:tblStylePr>
    <w:tblStylePr w:type="firstCol">
      <w:rPr>
        <w:b/>
        <w:bCs/>
      </w:rPr>
    </w:tblStylePr>
    <w:tblStylePr w:type="lastCol">
      <w:rPr>
        <w:b/>
        <w:bCs/>
      </w:rPr>
    </w:tblStylePr>
    <w:tblStylePr w:type="band1Vert">
      <w:tblPr/>
      <w:tcPr>
        <w:shd w:val="clear" w:color="auto" w:fill="CFCFD8" w:themeFill="accent6" w:themeFillTint="33"/>
      </w:tcPr>
    </w:tblStylePr>
    <w:tblStylePr w:type="band1Horz">
      <w:tblPr/>
      <w:tcPr>
        <w:shd w:val="clear" w:color="auto" w:fill="CFCFD8" w:themeFill="accent6" w:themeFillTint="33"/>
      </w:tcPr>
    </w:tblStylePr>
  </w:style>
  <w:style w:type="table" w:styleId="GridTable6ColourfulAccent6">
    <w:name w:val="Grid Table 6 Colorful Accent 6"/>
    <w:basedOn w:val="TableNormal"/>
    <w:uiPriority w:val="51"/>
    <w:rsid w:val="00573589"/>
    <w:rPr>
      <w:color w:val="1B1B20" w:themeColor="accent6" w:themeShade="BF"/>
    </w:rPr>
    <w:tblPr>
      <w:tblStyleRowBandSize w:val="1"/>
      <w:tblStyleColBandSize w:val="1"/>
      <w:tblBorders>
        <w:top w:val="single" w:sz="4" w:space="0" w:color="71718A" w:themeColor="accent6" w:themeTint="99"/>
        <w:left w:val="single" w:sz="4" w:space="0" w:color="71718A" w:themeColor="accent6" w:themeTint="99"/>
        <w:bottom w:val="single" w:sz="4" w:space="0" w:color="71718A" w:themeColor="accent6" w:themeTint="99"/>
        <w:right w:val="single" w:sz="4" w:space="0" w:color="71718A" w:themeColor="accent6" w:themeTint="99"/>
        <w:insideH w:val="single" w:sz="4" w:space="0" w:color="71718A" w:themeColor="accent6" w:themeTint="99"/>
        <w:insideV w:val="single" w:sz="4" w:space="0" w:color="71718A" w:themeColor="accent6" w:themeTint="99"/>
      </w:tblBorders>
    </w:tblPr>
    <w:tblStylePr w:type="firstRow">
      <w:rPr>
        <w:b/>
        <w:bCs/>
      </w:rPr>
      <w:tblPr/>
      <w:tcPr>
        <w:tcBorders>
          <w:bottom w:val="single" w:sz="12" w:space="0" w:color="71718A" w:themeColor="accent6" w:themeTint="99"/>
        </w:tcBorders>
      </w:tcPr>
    </w:tblStylePr>
    <w:tblStylePr w:type="lastRow">
      <w:rPr>
        <w:b/>
        <w:bCs/>
      </w:rPr>
      <w:tblPr/>
      <w:tcPr>
        <w:tcBorders>
          <w:top w:val="double" w:sz="4" w:space="0" w:color="71718A" w:themeColor="accent6" w:themeTint="99"/>
        </w:tcBorders>
      </w:tcPr>
    </w:tblStylePr>
    <w:tblStylePr w:type="firstCol">
      <w:rPr>
        <w:b/>
        <w:bCs/>
      </w:rPr>
    </w:tblStylePr>
    <w:tblStylePr w:type="lastCol">
      <w:rPr>
        <w:b/>
        <w:bCs/>
      </w:rPr>
    </w:tblStylePr>
    <w:tblStylePr w:type="band1Vert">
      <w:tblPr/>
      <w:tcPr>
        <w:shd w:val="clear" w:color="auto" w:fill="CFCFD8" w:themeFill="accent6" w:themeFillTint="33"/>
      </w:tcPr>
    </w:tblStylePr>
    <w:tblStylePr w:type="band1Horz">
      <w:tblPr/>
      <w:tcPr>
        <w:shd w:val="clear" w:color="auto" w:fill="CFCFD8" w:themeFill="accent6" w:themeFillTint="33"/>
      </w:tcPr>
    </w:tblStylePr>
  </w:style>
  <w:style w:type="table" w:styleId="ListTable7ColourfulAccent3">
    <w:name w:val="List Table 7 Colorful Accent 3"/>
    <w:basedOn w:val="TableNormal"/>
    <w:uiPriority w:val="52"/>
    <w:rsid w:val="00573589"/>
    <w:rPr>
      <w:color w:val="F1A70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CC54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CC54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CC54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CC54C" w:themeColor="accent3"/>
        </w:tcBorders>
        <w:shd w:val="clear" w:color="auto" w:fill="FFFFFF" w:themeFill="background1"/>
      </w:tcPr>
    </w:tblStylePr>
    <w:tblStylePr w:type="band1Vert">
      <w:tblPr/>
      <w:tcPr>
        <w:shd w:val="clear" w:color="auto" w:fill="FEF3DA" w:themeFill="accent3" w:themeFillTint="33"/>
      </w:tcPr>
    </w:tblStylePr>
    <w:tblStylePr w:type="band1Horz">
      <w:tblPr/>
      <w:tcPr>
        <w:shd w:val="clear" w:color="auto" w:fill="FEF3D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2">
    <w:name w:val="List Table 6 Colorful Accent 2"/>
    <w:basedOn w:val="TableNormal"/>
    <w:uiPriority w:val="51"/>
    <w:rsid w:val="00573589"/>
    <w:rPr>
      <w:color w:val="C66C08" w:themeColor="accent2" w:themeShade="BF"/>
    </w:rPr>
    <w:tblPr>
      <w:tblStyleRowBandSize w:val="1"/>
      <w:tblStyleColBandSize w:val="1"/>
      <w:tblBorders>
        <w:top w:val="single" w:sz="4" w:space="0" w:color="F6911E" w:themeColor="accent2"/>
        <w:bottom w:val="single" w:sz="4" w:space="0" w:color="F6911E" w:themeColor="accent2"/>
      </w:tblBorders>
    </w:tblPr>
    <w:tblStylePr w:type="firstRow">
      <w:rPr>
        <w:b/>
        <w:bCs/>
      </w:rPr>
      <w:tblPr/>
      <w:tcPr>
        <w:tcBorders>
          <w:bottom w:val="single" w:sz="4" w:space="0" w:color="F6911E" w:themeColor="accent2"/>
        </w:tcBorders>
      </w:tcPr>
    </w:tblStylePr>
    <w:tblStylePr w:type="lastRow">
      <w:rPr>
        <w:b/>
        <w:bCs/>
      </w:rPr>
      <w:tblPr/>
      <w:tcPr>
        <w:tcBorders>
          <w:top w:val="double" w:sz="4" w:space="0" w:color="F6911E" w:themeColor="accent2"/>
        </w:tcBorders>
      </w:tcPr>
    </w:tblStylePr>
    <w:tblStylePr w:type="firstCol">
      <w:rPr>
        <w:b/>
        <w:bCs/>
      </w:rPr>
    </w:tblStylePr>
    <w:tblStylePr w:type="lastCol">
      <w:rPr>
        <w:b/>
        <w:bCs/>
      </w:rPr>
    </w:tblStylePr>
    <w:tblStylePr w:type="band1Vert">
      <w:tblPr/>
      <w:tcPr>
        <w:shd w:val="clear" w:color="auto" w:fill="FDE8D1" w:themeFill="accent2" w:themeFillTint="33"/>
      </w:tcPr>
    </w:tblStylePr>
    <w:tblStylePr w:type="band1Horz">
      <w:tblPr/>
      <w:tcPr>
        <w:shd w:val="clear" w:color="auto" w:fill="FDE8D1" w:themeFill="accent2" w:themeFillTint="33"/>
      </w:tcPr>
    </w:tblStylePr>
  </w:style>
  <w:style w:type="character" w:customStyle="1" w:styleId="Heading7Char">
    <w:name w:val="Heading 7 Char"/>
    <w:aliases w:val="Old Heading 3 Char"/>
    <w:basedOn w:val="DefaultParagraphFont"/>
    <w:link w:val="Heading7"/>
    <w:uiPriority w:val="9"/>
    <w:semiHidden/>
    <w:rsid w:val="005573E2"/>
    <w:rPr>
      <w:rFonts w:asciiTheme="majorHAnsi" w:eastAsiaTheme="majorEastAsia" w:hAnsiTheme="majorHAnsi" w:cstheme="majorBidi"/>
      <w:i/>
      <w:iCs/>
      <w:color w:val="24242C" w:themeColor="text1"/>
      <w:sz w:val="20"/>
    </w:rPr>
  </w:style>
  <w:style w:type="paragraph" w:styleId="Revision">
    <w:name w:val="Revision"/>
    <w:hidden/>
    <w:uiPriority w:val="99"/>
    <w:semiHidden/>
    <w:rsid w:val="007B0223"/>
    <w:rPr>
      <w:rFonts w:ascii="Open Sans" w:hAnsi="Open Sans"/>
      <w:color w:val="373743" w:themeColor="text1" w:themeTint="E6"/>
      <w:sz w:val="20"/>
    </w:rPr>
  </w:style>
  <w:style w:type="character" w:customStyle="1" w:styleId="Heading8Char">
    <w:name w:val="Heading 8 Char"/>
    <w:aliases w:val="Old Heading 4 Char"/>
    <w:basedOn w:val="DefaultParagraphFont"/>
    <w:link w:val="Heading8"/>
    <w:uiPriority w:val="9"/>
    <w:rsid w:val="00267F38"/>
    <w:rPr>
      <w:rFonts w:ascii="Arial" w:eastAsia="Times New Roman" w:hAnsi="Arial" w:cs="Arial"/>
      <w:iCs/>
      <w:color w:val="24242C" w:themeColor="text1"/>
      <w:kern w:val="0"/>
      <w:sz w:val="20"/>
      <w:szCs w:val="18"/>
      <w14:ligatures w14:val="none"/>
    </w:rPr>
  </w:style>
  <w:style w:type="character" w:customStyle="1" w:styleId="Heading9Char">
    <w:name w:val="Heading 9 Char"/>
    <w:basedOn w:val="DefaultParagraphFont"/>
    <w:link w:val="Heading9"/>
    <w:uiPriority w:val="9"/>
    <w:semiHidden/>
    <w:rsid w:val="00267F38"/>
    <w:rPr>
      <w:rFonts w:asciiTheme="majorHAnsi" w:eastAsiaTheme="majorEastAsia" w:hAnsiTheme="majorHAnsi" w:cstheme="majorBidi"/>
      <w:i/>
      <w:iCs/>
      <w:color w:val="414150" w:themeColor="text1" w:themeTint="D8"/>
      <w:kern w:val="0"/>
      <w:sz w:val="21"/>
      <w:szCs w:val="21"/>
      <w:lang w:val="en-US"/>
      <w14:ligatures w14:val="none"/>
    </w:rPr>
  </w:style>
  <w:style w:type="character" w:styleId="CommentReference">
    <w:name w:val="annotation reference"/>
    <w:basedOn w:val="DefaultParagraphFont"/>
    <w:uiPriority w:val="99"/>
    <w:semiHidden/>
    <w:unhideWhenUsed/>
    <w:rsid w:val="001D7E50"/>
    <w:rPr>
      <w:sz w:val="16"/>
      <w:szCs w:val="16"/>
    </w:rPr>
  </w:style>
  <w:style w:type="paragraph" w:styleId="CommentText">
    <w:name w:val="annotation text"/>
    <w:basedOn w:val="Normal"/>
    <w:link w:val="CommentTextChar"/>
    <w:uiPriority w:val="99"/>
    <w:unhideWhenUsed/>
    <w:rsid w:val="001D7E50"/>
    <w:pPr>
      <w:spacing w:line="240" w:lineRule="auto"/>
    </w:pPr>
    <w:rPr>
      <w:szCs w:val="20"/>
    </w:rPr>
  </w:style>
  <w:style w:type="character" w:customStyle="1" w:styleId="CommentTextChar">
    <w:name w:val="Comment Text Char"/>
    <w:basedOn w:val="DefaultParagraphFont"/>
    <w:link w:val="CommentText"/>
    <w:uiPriority w:val="99"/>
    <w:rsid w:val="001D7E50"/>
    <w:rPr>
      <w:rFonts w:ascii="Open Sans" w:hAnsi="Open Sans"/>
      <w:color w:val="373743" w:themeColor="text1" w:themeTint="E6"/>
      <w:sz w:val="20"/>
      <w:szCs w:val="20"/>
    </w:rPr>
  </w:style>
  <w:style w:type="paragraph" w:styleId="CommentSubject">
    <w:name w:val="annotation subject"/>
    <w:basedOn w:val="CommentText"/>
    <w:next w:val="CommentText"/>
    <w:link w:val="CommentSubjectChar"/>
    <w:uiPriority w:val="99"/>
    <w:semiHidden/>
    <w:unhideWhenUsed/>
    <w:rsid w:val="001D7E50"/>
    <w:rPr>
      <w:b/>
      <w:bCs/>
    </w:rPr>
  </w:style>
  <w:style w:type="character" w:customStyle="1" w:styleId="CommentSubjectChar">
    <w:name w:val="Comment Subject Char"/>
    <w:basedOn w:val="CommentTextChar"/>
    <w:link w:val="CommentSubject"/>
    <w:uiPriority w:val="99"/>
    <w:semiHidden/>
    <w:rsid w:val="001D7E50"/>
    <w:rPr>
      <w:rFonts w:ascii="Open Sans" w:hAnsi="Open Sans"/>
      <w:b/>
      <w:bCs/>
      <w:color w:val="373743" w:themeColor="text1" w:themeTint="E6"/>
      <w:sz w:val="20"/>
      <w:szCs w:val="20"/>
    </w:rPr>
  </w:style>
  <w:style w:type="paragraph" w:styleId="Caption">
    <w:name w:val="caption"/>
    <w:basedOn w:val="Normal"/>
    <w:next w:val="Normal"/>
    <w:uiPriority w:val="35"/>
    <w:unhideWhenUsed/>
    <w:qFormat/>
    <w:rsid w:val="001E77BE"/>
    <w:pPr>
      <w:spacing w:before="0" w:after="200" w:line="240" w:lineRule="auto"/>
    </w:pPr>
    <w:rPr>
      <w:rFonts w:asciiTheme="minorHAnsi" w:hAnsiTheme="minorHAnsi"/>
      <w:i/>
      <w:iCs/>
      <w:color w:val="F15D22" w:themeColor="text2"/>
      <w:sz w:val="18"/>
      <w:szCs w:val="18"/>
    </w:rPr>
  </w:style>
  <w:style w:type="character" w:styleId="HTMLCode">
    <w:name w:val="HTML Code"/>
    <w:basedOn w:val="DefaultParagraphFont"/>
    <w:uiPriority w:val="99"/>
    <w:semiHidden/>
    <w:unhideWhenUsed/>
    <w:rsid w:val="001E77BE"/>
    <w:rPr>
      <w:rFonts w:ascii="Consolas" w:hAnsi="Consolas"/>
      <w:sz w:val="20"/>
      <w:szCs w:val="20"/>
    </w:rPr>
  </w:style>
  <w:style w:type="numbering" w:customStyle="1" w:styleId="WWOutlineListStyle1">
    <w:name w:val="WW_OutlineListStyle_1"/>
    <w:basedOn w:val="NoList"/>
    <w:rsid w:val="001E77BE"/>
    <w:pPr>
      <w:numPr>
        <w:numId w:val="27"/>
      </w:numPr>
    </w:pPr>
  </w:style>
  <w:style w:type="paragraph" w:customStyle="1" w:styleId="1ABodyTextLevel1">
    <w:name w:val="1A Body Text Level 1"/>
    <w:basedOn w:val="Normal"/>
    <w:autoRedefine/>
    <w:qFormat/>
    <w:rsid w:val="00BF58D3"/>
    <w:pPr>
      <w:spacing w:before="120" w:after="240" w:line="278" w:lineRule="auto"/>
      <w:ind w:left="425"/>
      <w:contextualSpacing/>
    </w:pPr>
    <w:rPr>
      <w:color w:val="auto"/>
      <w:lang w:bidi="en-US"/>
    </w:rPr>
  </w:style>
  <w:style w:type="table" w:styleId="GridTable4-Accent2">
    <w:name w:val="Grid Table 4 Accent 2"/>
    <w:basedOn w:val="TableNormal"/>
    <w:uiPriority w:val="49"/>
    <w:rsid w:val="001E77BE"/>
    <w:tblPr>
      <w:tblStyleRowBandSize w:val="1"/>
      <w:tblStyleColBandSize w:val="1"/>
      <w:tblBorders>
        <w:top w:val="single" w:sz="4" w:space="0" w:color="F9BC77" w:themeColor="accent2" w:themeTint="99"/>
        <w:left w:val="single" w:sz="4" w:space="0" w:color="F9BC77" w:themeColor="accent2" w:themeTint="99"/>
        <w:bottom w:val="single" w:sz="4" w:space="0" w:color="F9BC77" w:themeColor="accent2" w:themeTint="99"/>
        <w:right w:val="single" w:sz="4" w:space="0" w:color="F9BC77" w:themeColor="accent2" w:themeTint="99"/>
        <w:insideH w:val="single" w:sz="4" w:space="0" w:color="F9BC77" w:themeColor="accent2" w:themeTint="99"/>
        <w:insideV w:val="single" w:sz="4" w:space="0" w:color="F9BC77" w:themeColor="accent2" w:themeTint="99"/>
      </w:tblBorders>
    </w:tblPr>
    <w:tblStylePr w:type="firstRow">
      <w:rPr>
        <w:b/>
        <w:bCs/>
        <w:color w:val="FFFFFF" w:themeColor="background1"/>
      </w:rPr>
      <w:tblPr/>
      <w:tcPr>
        <w:tcBorders>
          <w:top w:val="single" w:sz="4" w:space="0" w:color="F6911E" w:themeColor="accent2"/>
          <w:left w:val="single" w:sz="4" w:space="0" w:color="F6911E" w:themeColor="accent2"/>
          <w:bottom w:val="single" w:sz="4" w:space="0" w:color="F6911E" w:themeColor="accent2"/>
          <w:right w:val="single" w:sz="4" w:space="0" w:color="F6911E" w:themeColor="accent2"/>
          <w:insideH w:val="nil"/>
          <w:insideV w:val="nil"/>
        </w:tcBorders>
        <w:shd w:val="clear" w:color="auto" w:fill="F6911E" w:themeFill="accent2"/>
      </w:tcPr>
    </w:tblStylePr>
    <w:tblStylePr w:type="lastRow">
      <w:rPr>
        <w:b/>
        <w:bCs/>
      </w:rPr>
      <w:tblPr/>
      <w:tcPr>
        <w:tcBorders>
          <w:top w:val="double" w:sz="4" w:space="0" w:color="F6911E" w:themeColor="accent2"/>
        </w:tcBorders>
      </w:tcPr>
    </w:tblStylePr>
    <w:tblStylePr w:type="firstCol">
      <w:rPr>
        <w:b/>
        <w:bCs/>
      </w:rPr>
    </w:tblStylePr>
    <w:tblStylePr w:type="lastCol">
      <w:rPr>
        <w:b/>
        <w:bCs/>
      </w:rPr>
    </w:tblStylePr>
    <w:tblStylePr w:type="band1Vert">
      <w:tblPr/>
      <w:tcPr>
        <w:shd w:val="clear" w:color="auto" w:fill="FDE8D1" w:themeFill="accent2" w:themeFillTint="33"/>
      </w:tcPr>
    </w:tblStylePr>
    <w:tblStylePr w:type="band1Horz">
      <w:tblPr/>
      <w:tcPr>
        <w:shd w:val="clear" w:color="auto" w:fill="FDE8D1" w:themeFill="accent2" w:themeFillTint="33"/>
      </w:tcPr>
    </w:tblStylePr>
  </w:style>
  <w:style w:type="paragraph" w:customStyle="1" w:styleId="1ANumberedHeading1">
    <w:name w:val="1A Numbered Heading 1"/>
    <w:basedOn w:val="Heading1"/>
    <w:next w:val="1ABodyTextLevel1"/>
    <w:autoRedefine/>
    <w:qFormat/>
    <w:rsid w:val="00B40D32"/>
    <w:pPr>
      <w:numPr>
        <w:numId w:val="34"/>
      </w:numPr>
      <w:spacing w:before="120" w:after="240" w:line="240" w:lineRule="auto"/>
      <w:ind w:left="284" w:hanging="568"/>
      <w:contextualSpacing/>
    </w:pPr>
    <w:rPr>
      <w:rFonts w:ascii="Montserrat" w:eastAsia="Arial" w:hAnsi="Montserrat" w:cs="Arial"/>
      <w:b w:val="0"/>
      <w:color w:val="F37720"/>
      <w:kern w:val="0"/>
      <w:sz w:val="32"/>
      <w:szCs w:val="28"/>
      <w:lang w:bidi="en-US"/>
      <w14:ligatures w14:val="none"/>
    </w:rPr>
  </w:style>
  <w:style w:type="paragraph" w:customStyle="1" w:styleId="1ANumberedHeading2">
    <w:name w:val="1A Numbered Heading 2"/>
    <w:basedOn w:val="Heading2"/>
    <w:next w:val="1ABodyTextLevel2"/>
    <w:autoRedefine/>
    <w:qFormat/>
    <w:rsid w:val="00E82C8F"/>
    <w:pPr>
      <w:numPr>
        <w:ilvl w:val="1"/>
        <w:numId w:val="34"/>
      </w:numPr>
      <w:spacing w:before="160" w:after="240" w:line="240" w:lineRule="auto"/>
      <w:ind w:left="567" w:hanging="709"/>
      <w:contextualSpacing/>
    </w:pPr>
    <w:rPr>
      <w:rFonts w:ascii="Montserrat" w:eastAsia="Calibri" w:hAnsi="Montserrat" w:cs="Arial"/>
      <w:b w:val="0"/>
      <w:color w:val="F37720"/>
      <w:kern w:val="0"/>
      <w:lang w:bidi="en-US"/>
      <w14:ligatures w14:val="none"/>
    </w:rPr>
  </w:style>
  <w:style w:type="paragraph" w:customStyle="1" w:styleId="1ANumberedHeading3">
    <w:name w:val="1A Numbered Heading 3"/>
    <w:basedOn w:val="1ANumberedHeading2"/>
    <w:next w:val="1ABodyTextLevel3"/>
    <w:autoRedefine/>
    <w:qFormat/>
    <w:rsid w:val="002719C0"/>
    <w:pPr>
      <w:numPr>
        <w:ilvl w:val="2"/>
      </w:numPr>
      <w:spacing w:before="240" w:after="120"/>
      <w:ind w:left="709" w:hanging="787"/>
      <w:contextualSpacing w:val="0"/>
    </w:pPr>
    <w:rPr>
      <w:rFonts w:eastAsia="Arial"/>
      <w:bCs/>
      <w:sz w:val="24"/>
      <w:szCs w:val="24"/>
    </w:rPr>
  </w:style>
  <w:style w:type="paragraph" w:customStyle="1" w:styleId="1ANumberedHeading4">
    <w:name w:val="1A Numbered Heading 4"/>
    <w:basedOn w:val="1ANumberedHeading3"/>
    <w:next w:val="Normal"/>
    <w:autoRedefine/>
    <w:qFormat/>
    <w:rsid w:val="00A10FAB"/>
    <w:pPr>
      <w:numPr>
        <w:ilvl w:val="3"/>
      </w:numPr>
      <w:ind w:left="851" w:hanging="851"/>
    </w:pPr>
  </w:style>
  <w:style w:type="paragraph" w:customStyle="1" w:styleId="1ABodyTextLevel3">
    <w:name w:val="1A Body Text Level 3"/>
    <w:basedOn w:val="Normal"/>
    <w:autoRedefine/>
    <w:qFormat/>
    <w:rsid w:val="0073799B"/>
    <w:pPr>
      <w:spacing w:before="0" w:line="278" w:lineRule="auto"/>
      <w:ind w:left="709"/>
    </w:pPr>
    <w:rPr>
      <w:rFonts w:cs="Open Sans"/>
      <w:color w:val="auto"/>
      <w:szCs w:val="20"/>
    </w:rPr>
  </w:style>
  <w:style w:type="paragraph" w:customStyle="1" w:styleId="1ABodyTextLevel2">
    <w:name w:val="1A Body Text Level 2"/>
    <w:basedOn w:val="1ABodyTextLevel3"/>
    <w:autoRedefine/>
    <w:qFormat/>
    <w:rsid w:val="001D2029"/>
    <w:pPr>
      <w:spacing w:before="120" w:after="240"/>
      <w:ind w:left="720"/>
      <w:contextualSpacing/>
    </w:pPr>
    <w:rPr>
      <w:lang w:bidi="en-US"/>
    </w:rPr>
  </w:style>
  <w:style w:type="character" w:styleId="PlaceholderText">
    <w:name w:val="Placeholder Text"/>
    <w:basedOn w:val="DefaultParagraphFont"/>
    <w:uiPriority w:val="99"/>
    <w:semiHidden/>
    <w:rsid w:val="001E77BE"/>
    <w:rPr>
      <w:color w:val="666666"/>
    </w:rPr>
  </w:style>
  <w:style w:type="paragraph" w:customStyle="1" w:styleId="tabletext">
    <w:name w:val="table text"/>
    <w:basedOn w:val="Normal"/>
    <w:rsid w:val="001E77BE"/>
    <w:pPr>
      <w:tabs>
        <w:tab w:val="left" w:pos="851"/>
      </w:tabs>
      <w:suppressAutoHyphens/>
      <w:autoSpaceDN w:val="0"/>
      <w:spacing w:before="0" w:after="0" w:line="240" w:lineRule="auto"/>
    </w:pPr>
    <w:rPr>
      <w:rFonts w:ascii="Verdana" w:eastAsia="Times New Roman" w:hAnsi="Verdana" w:cs="Arial"/>
      <w:color w:val="auto"/>
      <w:kern w:val="0"/>
      <w:sz w:val="18"/>
      <w:szCs w:val="20"/>
      <w:lang w:eastAsia="en-GB"/>
      <w14:ligatures w14:val="none"/>
    </w:rPr>
  </w:style>
  <w:style w:type="paragraph" w:styleId="Index1">
    <w:name w:val="index 1"/>
    <w:basedOn w:val="Normal"/>
    <w:next w:val="Normal"/>
    <w:autoRedefine/>
    <w:uiPriority w:val="99"/>
    <w:semiHidden/>
    <w:unhideWhenUsed/>
    <w:rsid w:val="001E77BE"/>
    <w:pPr>
      <w:spacing w:before="0" w:after="0" w:line="240" w:lineRule="auto"/>
      <w:ind w:left="240" w:hanging="240"/>
    </w:pPr>
    <w:rPr>
      <w:rFonts w:asciiTheme="minorHAnsi" w:hAnsiTheme="minorHAnsi"/>
      <w:color w:val="auto"/>
      <w:sz w:val="24"/>
    </w:rPr>
  </w:style>
  <w:style w:type="paragraph" w:styleId="IndexHeading">
    <w:name w:val="index heading"/>
    <w:basedOn w:val="Normal"/>
    <w:next w:val="Index1"/>
    <w:rsid w:val="001E77BE"/>
    <w:pPr>
      <w:suppressAutoHyphens/>
      <w:autoSpaceDN w:val="0"/>
      <w:spacing w:before="0" w:after="120" w:line="240" w:lineRule="auto"/>
    </w:pPr>
    <w:rPr>
      <w:rFonts w:ascii="Verdana" w:eastAsia="Times New Roman" w:hAnsi="Verdana" w:cs="Arial"/>
      <w:color w:val="auto"/>
      <w:kern w:val="0"/>
      <w:sz w:val="18"/>
      <w:szCs w:val="18"/>
      <w:lang w:eastAsia="en-GB"/>
      <w14:ligatures w14:val="none"/>
    </w:rPr>
  </w:style>
  <w:style w:type="paragraph" w:customStyle="1" w:styleId="signofftext">
    <w:name w:val="sign off text"/>
    <w:basedOn w:val="Normal"/>
    <w:rsid w:val="001E77BE"/>
    <w:pPr>
      <w:tabs>
        <w:tab w:val="left" w:pos="9216"/>
      </w:tabs>
      <w:suppressAutoHyphens/>
      <w:autoSpaceDN w:val="0"/>
      <w:spacing w:before="0" w:after="120" w:line="360" w:lineRule="auto"/>
      <w:jc w:val="both"/>
    </w:pPr>
    <w:rPr>
      <w:rFonts w:ascii="Tahoma" w:eastAsia="Times New Roman" w:hAnsi="Tahoma" w:cs="Arial"/>
      <w:i/>
      <w:color w:val="auto"/>
      <w:kern w:val="0"/>
      <w:sz w:val="18"/>
      <w:szCs w:val="20"/>
      <w:lang w:eastAsia="en-GB"/>
      <w14:ligatures w14:val="none"/>
    </w:rPr>
  </w:style>
  <w:style w:type="paragraph" w:customStyle="1" w:styleId="TableHeaders">
    <w:name w:val="Table Headers"/>
    <w:basedOn w:val="Normal"/>
    <w:rsid w:val="001E77BE"/>
    <w:pPr>
      <w:suppressAutoHyphens/>
      <w:autoSpaceDN w:val="0"/>
      <w:spacing w:before="60" w:after="60" w:line="300" w:lineRule="exact"/>
    </w:pPr>
    <w:rPr>
      <w:rFonts w:ascii="Verdana" w:eastAsia="Times New Roman" w:hAnsi="Verdana" w:cs="Arial"/>
      <w:color w:val="FFFFFF"/>
      <w:kern w:val="0"/>
      <w:sz w:val="18"/>
      <w:szCs w:val="20"/>
      <w:lang w:eastAsia="en-GB"/>
      <w14:ligatures w14:val="none"/>
    </w:rPr>
  </w:style>
  <w:style w:type="paragraph" w:customStyle="1" w:styleId="1APageNumberFooter">
    <w:name w:val="1A Page Number Footer"/>
    <w:basedOn w:val="Normal"/>
    <w:autoRedefine/>
    <w:qFormat/>
    <w:rsid w:val="001E77BE"/>
    <w:pPr>
      <w:spacing w:before="0" w:after="0" w:line="240" w:lineRule="auto"/>
      <w:jc w:val="center"/>
    </w:pPr>
    <w:rPr>
      <w:rFonts w:asciiTheme="minorHAnsi" w:hAnsiTheme="minorHAnsi"/>
      <w:color w:val="auto"/>
      <w:sz w:val="18"/>
      <w:szCs w:val="18"/>
    </w:rPr>
  </w:style>
  <w:style w:type="paragraph" w:customStyle="1" w:styleId="1AApprovalsTableHeader">
    <w:name w:val="1A Approvals Table Header"/>
    <w:basedOn w:val="TableHeaders"/>
    <w:autoRedefine/>
    <w:qFormat/>
    <w:rsid w:val="001E77BE"/>
    <w:pPr>
      <w:framePr w:hSpace="180" w:wrap="around" w:vAnchor="page" w:hAnchor="margin" w:xAlign="center" w:y="1921"/>
    </w:pPr>
    <w:rPr>
      <w:rFonts w:ascii="Montserrat" w:hAnsi="Montserrat"/>
      <w:b/>
    </w:rPr>
  </w:style>
  <w:style w:type="paragraph" w:customStyle="1" w:styleId="1ATableHeaderBold">
    <w:name w:val="1A Table Header Bold"/>
    <w:basedOn w:val="Normal"/>
    <w:autoRedefine/>
    <w:qFormat/>
    <w:rsid w:val="001E77BE"/>
    <w:pPr>
      <w:spacing w:before="0" w:after="0" w:line="240" w:lineRule="auto"/>
    </w:pPr>
    <w:rPr>
      <w:rFonts w:ascii="Montserrat" w:hAnsi="Montserrat"/>
      <w:b/>
      <w:bCs/>
      <w:color w:val="FFFFFF" w:themeColor="background1"/>
      <w:sz w:val="24"/>
    </w:rPr>
  </w:style>
  <w:style w:type="paragraph" w:customStyle="1" w:styleId="1ATableTextStyle">
    <w:name w:val="1A Table Text Style"/>
    <w:basedOn w:val="Normal"/>
    <w:autoRedefine/>
    <w:qFormat/>
    <w:rsid w:val="001E77BE"/>
    <w:pPr>
      <w:spacing w:before="0" w:after="0" w:line="240" w:lineRule="auto"/>
    </w:pPr>
    <w:rPr>
      <w:rFonts w:asciiTheme="minorHAnsi" w:hAnsiTheme="minorHAnsi"/>
      <w:color w:val="auto"/>
      <w:sz w:val="24"/>
    </w:rPr>
  </w:style>
  <w:style w:type="paragraph" w:customStyle="1" w:styleId="1ATableCategoryHeaderRowBold">
    <w:name w:val="1A Table Category Header Row Bold"/>
    <w:basedOn w:val="Normal"/>
    <w:autoRedefine/>
    <w:qFormat/>
    <w:rsid w:val="001E77BE"/>
    <w:pPr>
      <w:spacing w:before="0" w:after="0" w:line="240" w:lineRule="auto"/>
    </w:pPr>
    <w:rPr>
      <w:rFonts w:asciiTheme="minorHAnsi" w:hAnsiTheme="minorHAnsi"/>
      <w:b/>
      <w:bCs/>
      <w:i/>
      <w:color w:val="auto"/>
      <w:sz w:val="28"/>
    </w:rPr>
  </w:style>
  <w:style w:type="paragraph" w:customStyle="1" w:styleId="1ATableSub-CategoryHeaderColumn">
    <w:name w:val="1A Table Sub-Category Header Column"/>
    <w:basedOn w:val="Normal"/>
    <w:autoRedefine/>
    <w:qFormat/>
    <w:rsid w:val="001E77BE"/>
    <w:pPr>
      <w:spacing w:before="0" w:after="0" w:line="240" w:lineRule="auto"/>
    </w:pPr>
    <w:rPr>
      <w:rFonts w:asciiTheme="minorHAnsi" w:hAnsiTheme="minorHAnsi"/>
      <w:b/>
      <w:bCs/>
      <w:color w:val="auto"/>
      <w:sz w:val="24"/>
    </w:rPr>
  </w:style>
  <w:style w:type="paragraph" w:customStyle="1" w:styleId="1ABulletTextLevel1">
    <w:name w:val="1A Bullet Text Level 1"/>
    <w:basedOn w:val="BulletRound"/>
    <w:autoRedefine/>
    <w:qFormat/>
    <w:rsid w:val="00BF58D3"/>
    <w:pPr>
      <w:spacing w:before="120" w:after="120" w:line="278" w:lineRule="auto"/>
      <w:ind w:left="714" w:hanging="357"/>
    </w:pPr>
    <w:rPr>
      <w:lang w:bidi="en-US"/>
    </w:rPr>
  </w:style>
  <w:style w:type="paragraph" w:customStyle="1" w:styleId="1ABulletTextLevel4">
    <w:name w:val="1A Bullet Text Level 4"/>
    <w:basedOn w:val="1ABodyTextLevel3"/>
    <w:autoRedefine/>
    <w:qFormat/>
    <w:rsid w:val="006C12CD"/>
    <w:pPr>
      <w:numPr>
        <w:numId w:val="37"/>
      </w:numPr>
    </w:pPr>
    <w:rPr>
      <w:bCs/>
      <w:lang w:bidi="en-US"/>
    </w:rPr>
  </w:style>
  <w:style w:type="paragraph" w:customStyle="1" w:styleId="1ABulletTextLevel3">
    <w:name w:val="1A Bullet Text Level 3"/>
    <w:basedOn w:val="1ABulletTextLevel4"/>
    <w:autoRedefine/>
    <w:qFormat/>
    <w:rsid w:val="00F678A3"/>
    <w:pPr>
      <w:numPr>
        <w:numId w:val="38"/>
      </w:numPr>
      <w:ind w:left="1134"/>
    </w:pPr>
  </w:style>
  <w:style w:type="paragraph" w:customStyle="1" w:styleId="1ABulletTextLevel2">
    <w:name w:val="1A Bullet Text Level 2"/>
    <w:basedOn w:val="1ABulletTextLevel1"/>
    <w:autoRedefine/>
    <w:qFormat/>
    <w:rsid w:val="00BF58D3"/>
  </w:style>
  <w:style w:type="paragraph" w:customStyle="1" w:styleId="p1">
    <w:name w:val="p1"/>
    <w:basedOn w:val="Normal"/>
    <w:rsid w:val="00021D42"/>
    <w:pPr>
      <w:spacing w:before="100" w:beforeAutospacing="1" w:after="100" w:afterAutospacing="1" w:line="240" w:lineRule="auto"/>
    </w:pPr>
    <w:rPr>
      <w:rFonts w:ascii="Times New Roman" w:eastAsia="Times New Roman" w:hAnsi="Times New Roman" w:cs="Times New Roman"/>
      <w:color w:val="auto"/>
      <w:kern w:val="0"/>
      <w:sz w:val="24"/>
      <w:lang w:eastAsia="en-GB"/>
      <w14:ligatures w14:val="none"/>
    </w:rPr>
  </w:style>
  <w:style w:type="character" w:customStyle="1" w:styleId="s1">
    <w:name w:val="s1"/>
    <w:basedOn w:val="DefaultParagraphFont"/>
    <w:rsid w:val="00021D42"/>
  </w:style>
  <w:style w:type="character" w:customStyle="1" w:styleId="s2">
    <w:name w:val="s2"/>
    <w:basedOn w:val="DefaultParagraphFont"/>
    <w:rsid w:val="001D2029"/>
  </w:style>
  <w:style w:type="paragraph" w:customStyle="1" w:styleId="p3">
    <w:name w:val="p3"/>
    <w:basedOn w:val="Normal"/>
    <w:rsid w:val="001D2029"/>
    <w:pPr>
      <w:spacing w:before="100" w:beforeAutospacing="1" w:after="100" w:afterAutospacing="1" w:line="240" w:lineRule="auto"/>
    </w:pPr>
    <w:rPr>
      <w:rFonts w:ascii="Times New Roman" w:eastAsia="Times New Roman" w:hAnsi="Times New Roman" w:cs="Times New Roman"/>
      <w:color w:val="auto"/>
      <w:kern w:val="0"/>
      <w:sz w:val="24"/>
      <w:lang w:eastAsia="en-GB"/>
      <w14:ligatures w14:val="none"/>
    </w:rPr>
  </w:style>
  <w:style w:type="paragraph" w:customStyle="1" w:styleId="p2">
    <w:name w:val="p2"/>
    <w:basedOn w:val="Normal"/>
    <w:rsid w:val="001D2029"/>
    <w:pPr>
      <w:spacing w:before="100" w:beforeAutospacing="1" w:after="100" w:afterAutospacing="1" w:line="240" w:lineRule="auto"/>
    </w:pPr>
    <w:rPr>
      <w:rFonts w:ascii="Times New Roman" w:eastAsia="Times New Roman" w:hAnsi="Times New Roman" w:cs="Times New Roman"/>
      <w:color w:val="auto"/>
      <w:kern w:val="0"/>
      <w:sz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0337">
      <w:bodyDiv w:val="1"/>
      <w:marLeft w:val="0"/>
      <w:marRight w:val="0"/>
      <w:marTop w:val="0"/>
      <w:marBottom w:val="0"/>
      <w:divBdr>
        <w:top w:val="none" w:sz="0" w:space="0" w:color="auto"/>
        <w:left w:val="none" w:sz="0" w:space="0" w:color="auto"/>
        <w:bottom w:val="none" w:sz="0" w:space="0" w:color="auto"/>
        <w:right w:val="none" w:sz="0" w:space="0" w:color="auto"/>
      </w:divBdr>
      <w:divsChild>
        <w:div w:id="1578127055">
          <w:marLeft w:val="0"/>
          <w:marRight w:val="0"/>
          <w:marTop w:val="0"/>
          <w:marBottom w:val="0"/>
          <w:divBdr>
            <w:top w:val="none" w:sz="0" w:space="0" w:color="auto"/>
            <w:left w:val="none" w:sz="0" w:space="0" w:color="auto"/>
            <w:bottom w:val="none" w:sz="0" w:space="0" w:color="auto"/>
            <w:right w:val="none" w:sz="0" w:space="0" w:color="auto"/>
          </w:divBdr>
        </w:div>
      </w:divsChild>
    </w:div>
    <w:div w:id="31538884">
      <w:bodyDiv w:val="1"/>
      <w:marLeft w:val="0"/>
      <w:marRight w:val="0"/>
      <w:marTop w:val="0"/>
      <w:marBottom w:val="0"/>
      <w:divBdr>
        <w:top w:val="none" w:sz="0" w:space="0" w:color="auto"/>
        <w:left w:val="none" w:sz="0" w:space="0" w:color="auto"/>
        <w:bottom w:val="none" w:sz="0" w:space="0" w:color="auto"/>
        <w:right w:val="none" w:sz="0" w:space="0" w:color="auto"/>
      </w:divBdr>
    </w:div>
    <w:div w:id="68312711">
      <w:bodyDiv w:val="1"/>
      <w:marLeft w:val="0"/>
      <w:marRight w:val="0"/>
      <w:marTop w:val="0"/>
      <w:marBottom w:val="0"/>
      <w:divBdr>
        <w:top w:val="none" w:sz="0" w:space="0" w:color="auto"/>
        <w:left w:val="none" w:sz="0" w:space="0" w:color="auto"/>
        <w:bottom w:val="none" w:sz="0" w:space="0" w:color="auto"/>
        <w:right w:val="none" w:sz="0" w:space="0" w:color="auto"/>
      </w:divBdr>
      <w:divsChild>
        <w:div w:id="962612029">
          <w:marLeft w:val="0"/>
          <w:marRight w:val="0"/>
          <w:marTop w:val="0"/>
          <w:marBottom w:val="0"/>
          <w:divBdr>
            <w:top w:val="none" w:sz="0" w:space="0" w:color="auto"/>
            <w:left w:val="none" w:sz="0" w:space="0" w:color="auto"/>
            <w:bottom w:val="none" w:sz="0" w:space="0" w:color="auto"/>
            <w:right w:val="none" w:sz="0" w:space="0" w:color="auto"/>
          </w:divBdr>
          <w:divsChild>
            <w:div w:id="105321395">
              <w:marLeft w:val="0"/>
              <w:marRight w:val="0"/>
              <w:marTop w:val="0"/>
              <w:marBottom w:val="0"/>
              <w:divBdr>
                <w:top w:val="none" w:sz="0" w:space="0" w:color="auto"/>
                <w:left w:val="none" w:sz="0" w:space="0" w:color="auto"/>
                <w:bottom w:val="none" w:sz="0" w:space="0" w:color="auto"/>
                <w:right w:val="none" w:sz="0" w:space="0" w:color="auto"/>
              </w:divBdr>
              <w:divsChild>
                <w:div w:id="828137289">
                  <w:marLeft w:val="0"/>
                  <w:marRight w:val="0"/>
                  <w:marTop w:val="0"/>
                  <w:marBottom w:val="0"/>
                  <w:divBdr>
                    <w:top w:val="none" w:sz="0" w:space="0" w:color="auto"/>
                    <w:left w:val="none" w:sz="0" w:space="0" w:color="auto"/>
                    <w:bottom w:val="none" w:sz="0" w:space="0" w:color="auto"/>
                    <w:right w:val="none" w:sz="0" w:space="0" w:color="auto"/>
                  </w:divBdr>
                </w:div>
                <w:div w:id="12508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7995">
      <w:bodyDiv w:val="1"/>
      <w:marLeft w:val="0"/>
      <w:marRight w:val="0"/>
      <w:marTop w:val="0"/>
      <w:marBottom w:val="0"/>
      <w:divBdr>
        <w:top w:val="none" w:sz="0" w:space="0" w:color="auto"/>
        <w:left w:val="none" w:sz="0" w:space="0" w:color="auto"/>
        <w:bottom w:val="none" w:sz="0" w:space="0" w:color="auto"/>
        <w:right w:val="none" w:sz="0" w:space="0" w:color="auto"/>
      </w:divBdr>
    </w:div>
    <w:div w:id="190270088">
      <w:bodyDiv w:val="1"/>
      <w:marLeft w:val="0"/>
      <w:marRight w:val="0"/>
      <w:marTop w:val="0"/>
      <w:marBottom w:val="0"/>
      <w:divBdr>
        <w:top w:val="none" w:sz="0" w:space="0" w:color="auto"/>
        <w:left w:val="none" w:sz="0" w:space="0" w:color="auto"/>
        <w:bottom w:val="none" w:sz="0" w:space="0" w:color="auto"/>
        <w:right w:val="none" w:sz="0" w:space="0" w:color="auto"/>
      </w:divBdr>
    </w:div>
    <w:div w:id="207106685">
      <w:bodyDiv w:val="1"/>
      <w:marLeft w:val="0"/>
      <w:marRight w:val="0"/>
      <w:marTop w:val="0"/>
      <w:marBottom w:val="0"/>
      <w:divBdr>
        <w:top w:val="none" w:sz="0" w:space="0" w:color="auto"/>
        <w:left w:val="none" w:sz="0" w:space="0" w:color="auto"/>
        <w:bottom w:val="none" w:sz="0" w:space="0" w:color="auto"/>
        <w:right w:val="none" w:sz="0" w:space="0" w:color="auto"/>
      </w:divBdr>
    </w:div>
    <w:div w:id="221216554">
      <w:bodyDiv w:val="1"/>
      <w:marLeft w:val="0"/>
      <w:marRight w:val="0"/>
      <w:marTop w:val="0"/>
      <w:marBottom w:val="0"/>
      <w:divBdr>
        <w:top w:val="none" w:sz="0" w:space="0" w:color="auto"/>
        <w:left w:val="none" w:sz="0" w:space="0" w:color="auto"/>
        <w:bottom w:val="none" w:sz="0" w:space="0" w:color="auto"/>
        <w:right w:val="none" w:sz="0" w:space="0" w:color="auto"/>
      </w:divBdr>
    </w:div>
    <w:div w:id="377901173">
      <w:bodyDiv w:val="1"/>
      <w:marLeft w:val="0"/>
      <w:marRight w:val="0"/>
      <w:marTop w:val="0"/>
      <w:marBottom w:val="0"/>
      <w:divBdr>
        <w:top w:val="none" w:sz="0" w:space="0" w:color="auto"/>
        <w:left w:val="none" w:sz="0" w:space="0" w:color="auto"/>
        <w:bottom w:val="none" w:sz="0" w:space="0" w:color="auto"/>
        <w:right w:val="none" w:sz="0" w:space="0" w:color="auto"/>
      </w:divBdr>
    </w:div>
    <w:div w:id="393940636">
      <w:bodyDiv w:val="1"/>
      <w:marLeft w:val="0"/>
      <w:marRight w:val="0"/>
      <w:marTop w:val="0"/>
      <w:marBottom w:val="0"/>
      <w:divBdr>
        <w:top w:val="none" w:sz="0" w:space="0" w:color="auto"/>
        <w:left w:val="none" w:sz="0" w:space="0" w:color="auto"/>
        <w:bottom w:val="none" w:sz="0" w:space="0" w:color="auto"/>
        <w:right w:val="none" w:sz="0" w:space="0" w:color="auto"/>
      </w:divBdr>
    </w:div>
    <w:div w:id="484202895">
      <w:bodyDiv w:val="1"/>
      <w:marLeft w:val="0"/>
      <w:marRight w:val="0"/>
      <w:marTop w:val="0"/>
      <w:marBottom w:val="0"/>
      <w:divBdr>
        <w:top w:val="none" w:sz="0" w:space="0" w:color="auto"/>
        <w:left w:val="none" w:sz="0" w:space="0" w:color="auto"/>
        <w:bottom w:val="none" w:sz="0" w:space="0" w:color="auto"/>
        <w:right w:val="none" w:sz="0" w:space="0" w:color="auto"/>
      </w:divBdr>
    </w:div>
    <w:div w:id="495650910">
      <w:bodyDiv w:val="1"/>
      <w:marLeft w:val="0"/>
      <w:marRight w:val="0"/>
      <w:marTop w:val="0"/>
      <w:marBottom w:val="0"/>
      <w:divBdr>
        <w:top w:val="none" w:sz="0" w:space="0" w:color="auto"/>
        <w:left w:val="none" w:sz="0" w:space="0" w:color="auto"/>
        <w:bottom w:val="none" w:sz="0" w:space="0" w:color="auto"/>
        <w:right w:val="none" w:sz="0" w:space="0" w:color="auto"/>
      </w:divBdr>
    </w:div>
    <w:div w:id="558176680">
      <w:bodyDiv w:val="1"/>
      <w:marLeft w:val="0"/>
      <w:marRight w:val="0"/>
      <w:marTop w:val="0"/>
      <w:marBottom w:val="0"/>
      <w:divBdr>
        <w:top w:val="none" w:sz="0" w:space="0" w:color="auto"/>
        <w:left w:val="none" w:sz="0" w:space="0" w:color="auto"/>
        <w:bottom w:val="none" w:sz="0" w:space="0" w:color="auto"/>
        <w:right w:val="none" w:sz="0" w:space="0" w:color="auto"/>
      </w:divBdr>
    </w:div>
    <w:div w:id="567691525">
      <w:bodyDiv w:val="1"/>
      <w:marLeft w:val="0"/>
      <w:marRight w:val="0"/>
      <w:marTop w:val="0"/>
      <w:marBottom w:val="0"/>
      <w:divBdr>
        <w:top w:val="none" w:sz="0" w:space="0" w:color="auto"/>
        <w:left w:val="none" w:sz="0" w:space="0" w:color="auto"/>
        <w:bottom w:val="none" w:sz="0" w:space="0" w:color="auto"/>
        <w:right w:val="none" w:sz="0" w:space="0" w:color="auto"/>
      </w:divBdr>
    </w:div>
    <w:div w:id="573394948">
      <w:bodyDiv w:val="1"/>
      <w:marLeft w:val="0"/>
      <w:marRight w:val="0"/>
      <w:marTop w:val="0"/>
      <w:marBottom w:val="0"/>
      <w:divBdr>
        <w:top w:val="none" w:sz="0" w:space="0" w:color="auto"/>
        <w:left w:val="none" w:sz="0" w:space="0" w:color="auto"/>
        <w:bottom w:val="none" w:sz="0" w:space="0" w:color="auto"/>
        <w:right w:val="none" w:sz="0" w:space="0" w:color="auto"/>
      </w:divBdr>
    </w:div>
    <w:div w:id="614287373">
      <w:bodyDiv w:val="1"/>
      <w:marLeft w:val="0"/>
      <w:marRight w:val="0"/>
      <w:marTop w:val="0"/>
      <w:marBottom w:val="0"/>
      <w:divBdr>
        <w:top w:val="none" w:sz="0" w:space="0" w:color="auto"/>
        <w:left w:val="none" w:sz="0" w:space="0" w:color="auto"/>
        <w:bottom w:val="none" w:sz="0" w:space="0" w:color="auto"/>
        <w:right w:val="none" w:sz="0" w:space="0" w:color="auto"/>
      </w:divBdr>
    </w:div>
    <w:div w:id="632905280">
      <w:bodyDiv w:val="1"/>
      <w:marLeft w:val="0"/>
      <w:marRight w:val="0"/>
      <w:marTop w:val="0"/>
      <w:marBottom w:val="0"/>
      <w:divBdr>
        <w:top w:val="none" w:sz="0" w:space="0" w:color="auto"/>
        <w:left w:val="none" w:sz="0" w:space="0" w:color="auto"/>
        <w:bottom w:val="none" w:sz="0" w:space="0" w:color="auto"/>
        <w:right w:val="none" w:sz="0" w:space="0" w:color="auto"/>
      </w:divBdr>
    </w:div>
    <w:div w:id="650017413">
      <w:bodyDiv w:val="1"/>
      <w:marLeft w:val="0"/>
      <w:marRight w:val="0"/>
      <w:marTop w:val="0"/>
      <w:marBottom w:val="0"/>
      <w:divBdr>
        <w:top w:val="none" w:sz="0" w:space="0" w:color="auto"/>
        <w:left w:val="none" w:sz="0" w:space="0" w:color="auto"/>
        <w:bottom w:val="none" w:sz="0" w:space="0" w:color="auto"/>
        <w:right w:val="none" w:sz="0" w:space="0" w:color="auto"/>
      </w:divBdr>
    </w:div>
    <w:div w:id="682783810">
      <w:bodyDiv w:val="1"/>
      <w:marLeft w:val="0"/>
      <w:marRight w:val="0"/>
      <w:marTop w:val="0"/>
      <w:marBottom w:val="0"/>
      <w:divBdr>
        <w:top w:val="none" w:sz="0" w:space="0" w:color="auto"/>
        <w:left w:val="none" w:sz="0" w:space="0" w:color="auto"/>
        <w:bottom w:val="none" w:sz="0" w:space="0" w:color="auto"/>
        <w:right w:val="none" w:sz="0" w:space="0" w:color="auto"/>
      </w:divBdr>
      <w:divsChild>
        <w:div w:id="987592787">
          <w:marLeft w:val="0"/>
          <w:marRight w:val="0"/>
          <w:marTop w:val="0"/>
          <w:marBottom w:val="0"/>
          <w:divBdr>
            <w:top w:val="none" w:sz="0" w:space="0" w:color="auto"/>
            <w:left w:val="none" w:sz="0" w:space="0" w:color="auto"/>
            <w:bottom w:val="none" w:sz="0" w:space="0" w:color="auto"/>
            <w:right w:val="none" w:sz="0" w:space="0" w:color="auto"/>
          </w:divBdr>
          <w:divsChild>
            <w:div w:id="604769929">
              <w:marLeft w:val="0"/>
              <w:marRight w:val="0"/>
              <w:marTop w:val="0"/>
              <w:marBottom w:val="0"/>
              <w:divBdr>
                <w:top w:val="none" w:sz="0" w:space="0" w:color="auto"/>
                <w:left w:val="none" w:sz="0" w:space="0" w:color="auto"/>
                <w:bottom w:val="none" w:sz="0" w:space="0" w:color="auto"/>
                <w:right w:val="none" w:sz="0" w:space="0" w:color="auto"/>
              </w:divBdr>
              <w:divsChild>
                <w:div w:id="366298865">
                  <w:marLeft w:val="0"/>
                  <w:marRight w:val="0"/>
                  <w:marTop w:val="0"/>
                  <w:marBottom w:val="0"/>
                  <w:divBdr>
                    <w:top w:val="none" w:sz="0" w:space="0" w:color="auto"/>
                    <w:left w:val="none" w:sz="0" w:space="0" w:color="auto"/>
                    <w:bottom w:val="none" w:sz="0" w:space="0" w:color="auto"/>
                    <w:right w:val="none" w:sz="0" w:space="0" w:color="auto"/>
                  </w:divBdr>
                </w:div>
                <w:div w:id="13836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1978">
      <w:bodyDiv w:val="1"/>
      <w:marLeft w:val="0"/>
      <w:marRight w:val="0"/>
      <w:marTop w:val="0"/>
      <w:marBottom w:val="0"/>
      <w:divBdr>
        <w:top w:val="none" w:sz="0" w:space="0" w:color="auto"/>
        <w:left w:val="none" w:sz="0" w:space="0" w:color="auto"/>
        <w:bottom w:val="none" w:sz="0" w:space="0" w:color="auto"/>
        <w:right w:val="none" w:sz="0" w:space="0" w:color="auto"/>
      </w:divBdr>
    </w:div>
    <w:div w:id="752698833">
      <w:bodyDiv w:val="1"/>
      <w:marLeft w:val="0"/>
      <w:marRight w:val="0"/>
      <w:marTop w:val="0"/>
      <w:marBottom w:val="0"/>
      <w:divBdr>
        <w:top w:val="none" w:sz="0" w:space="0" w:color="auto"/>
        <w:left w:val="none" w:sz="0" w:space="0" w:color="auto"/>
        <w:bottom w:val="none" w:sz="0" w:space="0" w:color="auto"/>
        <w:right w:val="none" w:sz="0" w:space="0" w:color="auto"/>
      </w:divBdr>
    </w:div>
    <w:div w:id="754209091">
      <w:bodyDiv w:val="1"/>
      <w:marLeft w:val="0"/>
      <w:marRight w:val="0"/>
      <w:marTop w:val="0"/>
      <w:marBottom w:val="0"/>
      <w:divBdr>
        <w:top w:val="none" w:sz="0" w:space="0" w:color="auto"/>
        <w:left w:val="none" w:sz="0" w:space="0" w:color="auto"/>
        <w:bottom w:val="none" w:sz="0" w:space="0" w:color="auto"/>
        <w:right w:val="none" w:sz="0" w:space="0" w:color="auto"/>
      </w:divBdr>
    </w:div>
    <w:div w:id="782919192">
      <w:bodyDiv w:val="1"/>
      <w:marLeft w:val="0"/>
      <w:marRight w:val="0"/>
      <w:marTop w:val="0"/>
      <w:marBottom w:val="0"/>
      <w:divBdr>
        <w:top w:val="none" w:sz="0" w:space="0" w:color="auto"/>
        <w:left w:val="none" w:sz="0" w:space="0" w:color="auto"/>
        <w:bottom w:val="none" w:sz="0" w:space="0" w:color="auto"/>
        <w:right w:val="none" w:sz="0" w:space="0" w:color="auto"/>
      </w:divBdr>
    </w:div>
    <w:div w:id="828248549">
      <w:bodyDiv w:val="1"/>
      <w:marLeft w:val="0"/>
      <w:marRight w:val="0"/>
      <w:marTop w:val="0"/>
      <w:marBottom w:val="0"/>
      <w:divBdr>
        <w:top w:val="none" w:sz="0" w:space="0" w:color="auto"/>
        <w:left w:val="none" w:sz="0" w:space="0" w:color="auto"/>
        <w:bottom w:val="none" w:sz="0" w:space="0" w:color="auto"/>
        <w:right w:val="none" w:sz="0" w:space="0" w:color="auto"/>
      </w:divBdr>
    </w:div>
    <w:div w:id="828835130">
      <w:bodyDiv w:val="1"/>
      <w:marLeft w:val="0"/>
      <w:marRight w:val="0"/>
      <w:marTop w:val="0"/>
      <w:marBottom w:val="0"/>
      <w:divBdr>
        <w:top w:val="none" w:sz="0" w:space="0" w:color="auto"/>
        <w:left w:val="none" w:sz="0" w:space="0" w:color="auto"/>
        <w:bottom w:val="none" w:sz="0" w:space="0" w:color="auto"/>
        <w:right w:val="none" w:sz="0" w:space="0" w:color="auto"/>
      </w:divBdr>
    </w:div>
    <w:div w:id="863250350">
      <w:bodyDiv w:val="1"/>
      <w:marLeft w:val="0"/>
      <w:marRight w:val="0"/>
      <w:marTop w:val="0"/>
      <w:marBottom w:val="0"/>
      <w:divBdr>
        <w:top w:val="none" w:sz="0" w:space="0" w:color="auto"/>
        <w:left w:val="none" w:sz="0" w:space="0" w:color="auto"/>
        <w:bottom w:val="none" w:sz="0" w:space="0" w:color="auto"/>
        <w:right w:val="none" w:sz="0" w:space="0" w:color="auto"/>
      </w:divBdr>
    </w:div>
    <w:div w:id="868298759">
      <w:bodyDiv w:val="1"/>
      <w:marLeft w:val="0"/>
      <w:marRight w:val="0"/>
      <w:marTop w:val="0"/>
      <w:marBottom w:val="0"/>
      <w:divBdr>
        <w:top w:val="none" w:sz="0" w:space="0" w:color="auto"/>
        <w:left w:val="none" w:sz="0" w:space="0" w:color="auto"/>
        <w:bottom w:val="none" w:sz="0" w:space="0" w:color="auto"/>
        <w:right w:val="none" w:sz="0" w:space="0" w:color="auto"/>
      </w:divBdr>
    </w:div>
    <w:div w:id="939486859">
      <w:bodyDiv w:val="1"/>
      <w:marLeft w:val="0"/>
      <w:marRight w:val="0"/>
      <w:marTop w:val="0"/>
      <w:marBottom w:val="0"/>
      <w:divBdr>
        <w:top w:val="none" w:sz="0" w:space="0" w:color="auto"/>
        <w:left w:val="none" w:sz="0" w:space="0" w:color="auto"/>
        <w:bottom w:val="none" w:sz="0" w:space="0" w:color="auto"/>
        <w:right w:val="none" w:sz="0" w:space="0" w:color="auto"/>
      </w:divBdr>
    </w:div>
    <w:div w:id="939801658">
      <w:bodyDiv w:val="1"/>
      <w:marLeft w:val="0"/>
      <w:marRight w:val="0"/>
      <w:marTop w:val="0"/>
      <w:marBottom w:val="0"/>
      <w:divBdr>
        <w:top w:val="none" w:sz="0" w:space="0" w:color="auto"/>
        <w:left w:val="none" w:sz="0" w:space="0" w:color="auto"/>
        <w:bottom w:val="none" w:sz="0" w:space="0" w:color="auto"/>
        <w:right w:val="none" w:sz="0" w:space="0" w:color="auto"/>
      </w:divBdr>
      <w:divsChild>
        <w:div w:id="309754376">
          <w:marLeft w:val="0"/>
          <w:marRight w:val="0"/>
          <w:marTop w:val="0"/>
          <w:marBottom w:val="0"/>
          <w:divBdr>
            <w:top w:val="none" w:sz="0" w:space="0" w:color="auto"/>
            <w:left w:val="none" w:sz="0" w:space="0" w:color="auto"/>
            <w:bottom w:val="none" w:sz="0" w:space="0" w:color="auto"/>
            <w:right w:val="none" w:sz="0" w:space="0" w:color="auto"/>
          </w:divBdr>
          <w:divsChild>
            <w:div w:id="789470705">
              <w:marLeft w:val="0"/>
              <w:marRight w:val="0"/>
              <w:marTop w:val="0"/>
              <w:marBottom w:val="0"/>
              <w:divBdr>
                <w:top w:val="none" w:sz="0" w:space="0" w:color="auto"/>
                <w:left w:val="none" w:sz="0" w:space="0" w:color="auto"/>
                <w:bottom w:val="none" w:sz="0" w:space="0" w:color="auto"/>
                <w:right w:val="none" w:sz="0" w:space="0" w:color="auto"/>
              </w:divBdr>
              <w:divsChild>
                <w:div w:id="14116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3124">
      <w:bodyDiv w:val="1"/>
      <w:marLeft w:val="0"/>
      <w:marRight w:val="0"/>
      <w:marTop w:val="0"/>
      <w:marBottom w:val="0"/>
      <w:divBdr>
        <w:top w:val="none" w:sz="0" w:space="0" w:color="auto"/>
        <w:left w:val="none" w:sz="0" w:space="0" w:color="auto"/>
        <w:bottom w:val="none" w:sz="0" w:space="0" w:color="auto"/>
        <w:right w:val="none" w:sz="0" w:space="0" w:color="auto"/>
      </w:divBdr>
    </w:div>
    <w:div w:id="972951899">
      <w:bodyDiv w:val="1"/>
      <w:marLeft w:val="0"/>
      <w:marRight w:val="0"/>
      <w:marTop w:val="0"/>
      <w:marBottom w:val="0"/>
      <w:divBdr>
        <w:top w:val="none" w:sz="0" w:space="0" w:color="auto"/>
        <w:left w:val="none" w:sz="0" w:space="0" w:color="auto"/>
        <w:bottom w:val="none" w:sz="0" w:space="0" w:color="auto"/>
        <w:right w:val="none" w:sz="0" w:space="0" w:color="auto"/>
      </w:divBdr>
      <w:divsChild>
        <w:div w:id="2012445716">
          <w:marLeft w:val="0"/>
          <w:marRight w:val="0"/>
          <w:marTop w:val="0"/>
          <w:marBottom w:val="0"/>
          <w:divBdr>
            <w:top w:val="none" w:sz="0" w:space="0" w:color="auto"/>
            <w:left w:val="none" w:sz="0" w:space="0" w:color="auto"/>
            <w:bottom w:val="none" w:sz="0" w:space="0" w:color="auto"/>
            <w:right w:val="none" w:sz="0" w:space="0" w:color="auto"/>
          </w:divBdr>
        </w:div>
      </w:divsChild>
    </w:div>
    <w:div w:id="996688706">
      <w:bodyDiv w:val="1"/>
      <w:marLeft w:val="0"/>
      <w:marRight w:val="0"/>
      <w:marTop w:val="0"/>
      <w:marBottom w:val="0"/>
      <w:divBdr>
        <w:top w:val="none" w:sz="0" w:space="0" w:color="auto"/>
        <w:left w:val="none" w:sz="0" w:space="0" w:color="auto"/>
        <w:bottom w:val="none" w:sz="0" w:space="0" w:color="auto"/>
        <w:right w:val="none" w:sz="0" w:space="0" w:color="auto"/>
      </w:divBdr>
      <w:divsChild>
        <w:div w:id="168559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80444">
      <w:bodyDiv w:val="1"/>
      <w:marLeft w:val="0"/>
      <w:marRight w:val="0"/>
      <w:marTop w:val="0"/>
      <w:marBottom w:val="0"/>
      <w:divBdr>
        <w:top w:val="none" w:sz="0" w:space="0" w:color="auto"/>
        <w:left w:val="none" w:sz="0" w:space="0" w:color="auto"/>
        <w:bottom w:val="none" w:sz="0" w:space="0" w:color="auto"/>
        <w:right w:val="none" w:sz="0" w:space="0" w:color="auto"/>
      </w:divBdr>
      <w:divsChild>
        <w:div w:id="365831402">
          <w:marLeft w:val="0"/>
          <w:marRight w:val="0"/>
          <w:marTop w:val="0"/>
          <w:marBottom w:val="0"/>
          <w:divBdr>
            <w:top w:val="none" w:sz="0" w:space="0" w:color="auto"/>
            <w:left w:val="none" w:sz="0" w:space="0" w:color="auto"/>
            <w:bottom w:val="none" w:sz="0" w:space="0" w:color="auto"/>
            <w:right w:val="none" w:sz="0" w:space="0" w:color="auto"/>
          </w:divBdr>
        </w:div>
      </w:divsChild>
    </w:div>
    <w:div w:id="1069764571">
      <w:bodyDiv w:val="1"/>
      <w:marLeft w:val="0"/>
      <w:marRight w:val="0"/>
      <w:marTop w:val="0"/>
      <w:marBottom w:val="0"/>
      <w:divBdr>
        <w:top w:val="none" w:sz="0" w:space="0" w:color="auto"/>
        <w:left w:val="none" w:sz="0" w:space="0" w:color="auto"/>
        <w:bottom w:val="none" w:sz="0" w:space="0" w:color="auto"/>
        <w:right w:val="none" w:sz="0" w:space="0" w:color="auto"/>
      </w:divBdr>
    </w:div>
    <w:div w:id="1099527307">
      <w:bodyDiv w:val="1"/>
      <w:marLeft w:val="0"/>
      <w:marRight w:val="0"/>
      <w:marTop w:val="0"/>
      <w:marBottom w:val="0"/>
      <w:divBdr>
        <w:top w:val="none" w:sz="0" w:space="0" w:color="auto"/>
        <w:left w:val="none" w:sz="0" w:space="0" w:color="auto"/>
        <w:bottom w:val="none" w:sz="0" w:space="0" w:color="auto"/>
        <w:right w:val="none" w:sz="0" w:space="0" w:color="auto"/>
      </w:divBdr>
      <w:divsChild>
        <w:div w:id="863979193">
          <w:marLeft w:val="0"/>
          <w:marRight w:val="0"/>
          <w:marTop w:val="0"/>
          <w:marBottom w:val="0"/>
          <w:divBdr>
            <w:top w:val="none" w:sz="0" w:space="0" w:color="auto"/>
            <w:left w:val="none" w:sz="0" w:space="0" w:color="auto"/>
            <w:bottom w:val="none" w:sz="0" w:space="0" w:color="auto"/>
            <w:right w:val="none" w:sz="0" w:space="0" w:color="auto"/>
          </w:divBdr>
        </w:div>
      </w:divsChild>
    </w:div>
    <w:div w:id="1138960121">
      <w:bodyDiv w:val="1"/>
      <w:marLeft w:val="0"/>
      <w:marRight w:val="0"/>
      <w:marTop w:val="0"/>
      <w:marBottom w:val="0"/>
      <w:divBdr>
        <w:top w:val="none" w:sz="0" w:space="0" w:color="auto"/>
        <w:left w:val="none" w:sz="0" w:space="0" w:color="auto"/>
        <w:bottom w:val="none" w:sz="0" w:space="0" w:color="auto"/>
        <w:right w:val="none" w:sz="0" w:space="0" w:color="auto"/>
      </w:divBdr>
    </w:div>
    <w:div w:id="1144010429">
      <w:bodyDiv w:val="1"/>
      <w:marLeft w:val="0"/>
      <w:marRight w:val="0"/>
      <w:marTop w:val="0"/>
      <w:marBottom w:val="0"/>
      <w:divBdr>
        <w:top w:val="none" w:sz="0" w:space="0" w:color="auto"/>
        <w:left w:val="none" w:sz="0" w:space="0" w:color="auto"/>
        <w:bottom w:val="none" w:sz="0" w:space="0" w:color="auto"/>
        <w:right w:val="none" w:sz="0" w:space="0" w:color="auto"/>
      </w:divBdr>
    </w:div>
    <w:div w:id="1157459136">
      <w:bodyDiv w:val="1"/>
      <w:marLeft w:val="0"/>
      <w:marRight w:val="0"/>
      <w:marTop w:val="0"/>
      <w:marBottom w:val="0"/>
      <w:divBdr>
        <w:top w:val="none" w:sz="0" w:space="0" w:color="auto"/>
        <w:left w:val="none" w:sz="0" w:space="0" w:color="auto"/>
        <w:bottom w:val="none" w:sz="0" w:space="0" w:color="auto"/>
        <w:right w:val="none" w:sz="0" w:space="0" w:color="auto"/>
      </w:divBdr>
    </w:div>
    <w:div w:id="1165242302">
      <w:bodyDiv w:val="1"/>
      <w:marLeft w:val="0"/>
      <w:marRight w:val="0"/>
      <w:marTop w:val="0"/>
      <w:marBottom w:val="0"/>
      <w:divBdr>
        <w:top w:val="none" w:sz="0" w:space="0" w:color="auto"/>
        <w:left w:val="none" w:sz="0" w:space="0" w:color="auto"/>
        <w:bottom w:val="none" w:sz="0" w:space="0" w:color="auto"/>
        <w:right w:val="none" w:sz="0" w:space="0" w:color="auto"/>
      </w:divBdr>
    </w:div>
    <w:div w:id="1170170219">
      <w:bodyDiv w:val="1"/>
      <w:marLeft w:val="0"/>
      <w:marRight w:val="0"/>
      <w:marTop w:val="0"/>
      <w:marBottom w:val="0"/>
      <w:divBdr>
        <w:top w:val="none" w:sz="0" w:space="0" w:color="auto"/>
        <w:left w:val="none" w:sz="0" w:space="0" w:color="auto"/>
        <w:bottom w:val="none" w:sz="0" w:space="0" w:color="auto"/>
        <w:right w:val="none" w:sz="0" w:space="0" w:color="auto"/>
      </w:divBdr>
    </w:div>
    <w:div w:id="1179810703">
      <w:bodyDiv w:val="1"/>
      <w:marLeft w:val="0"/>
      <w:marRight w:val="0"/>
      <w:marTop w:val="0"/>
      <w:marBottom w:val="0"/>
      <w:divBdr>
        <w:top w:val="none" w:sz="0" w:space="0" w:color="auto"/>
        <w:left w:val="none" w:sz="0" w:space="0" w:color="auto"/>
        <w:bottom w:val="none" w:sz="0" w:space="0" w:color="auto"/>
        <w:right w:val="none" w:sz="0" w:space="0" w:color="auto"/>
      </w:divBdr>
    </w:div>
    <w:div w:id="1205210873">
      <w:bodyDiv w:val="1"/>
      <w:marLeft w:val="0"/>
      <w:marRight w:val="0"/>
      <w:marTop w:val="0"/>
      <w:marBottom w:val="0"/>
      <w:divBdr>
        <w:top w:val="none" w:sz="0" w:space="0" w:color="auto"/>
        <w:left w:val="none" w:sz="0" w:space="0" w:color="auto"/>
        <w:bottom w:val="none" w:sz="0" w:space="0" w:color="auto"/>
        <w:right w:val="none" w:sz="0" w:space="0" w:color="auto"/>
      </w:divBdr>
    </w:div>
    <w:div w:id="1206216205">
      <w:bodyDiv w:val="1"/>
      <w:marLeft w:val="0"/>
      <w:marRight w:val="0"/>
      <w:marTop w:val="0"/>
      <w:marBottom w:val="0"/>
      <w:divBdr>
        <w:top w:val="none" w:sz="0" w:space="0" w:color="auto"/>
        <w:left w:val="none" w:sz="0" w:space="0" w:color="auto"/>
        <w:bottom w:val="none" w:sz="0" w:space="0" w:color="auto"/>
        <w:right w:val="none" w:sz="0" w:space="0" w:color="auto"/>
      </w:divBdr>
      <w:divsChild>
        <w:div w:id="1883638853">
          <w:marLeft w:val="0"/>
          <w:marRight w:val="0"/>
          <w:marTop w:val="0"/>
          <w:marBottom w:val="0"/>
          <w:divBdr>
            <w:top w:val="none" w:sz="0" w:space="0" w:color="auto"/>
            <w:left w:val="none" w:sz="0" w:space="0" w:color="auto"/>
            <w:bottom w:val="none" w:sz="0" w:space="0" w:color="auto"/>
            <w:right w:val="none" w:sz="0" w:space="0" w:color="auto"/>
          </w:divBdr>
        </w:div>
      </w:divsChild>
    </w:div>
    <w:div w:id="1327392563">
      <w:bodyDiv w:val="1"/>
      <w:marLeft w:val="0"/>
      <w:marRight w:val="0"/>
      <w:marTop w:val="0"/>
      <w:marBottom w:val="0"/>
      <w:divBdr>
        <w:top w:val="none" w:sz="0" w:space="0" w:color="auto"/>
        <w:left w:val="none" w:sz="0" w:space="0" w:color="auto"/>
        <w:bottom w:val="none" w:sz="0" w:space="0" w:color="auto"/>
        <w:right w:val="none" w:sz="0" w:space="0" w:color="auto"/>
      </w:divBdr>
    </w:div>
    <w:div w:id="1356495029">
      <w:bodyDiv w:val="1"/>
      <w:marLeft w:val="0"/>
      <w:marRight w:val="0"/>
      <w:marTop w:val="0"/>
      <w:marBottom w:val="0"/>
      <w:divBdr>
        <w:top w:val="none" w:sz="0" w:space="0" w:color="auto"/>
        <w:left w:val="none" w:sz="0" w:space="0" w:color="auto"/>
        <w:bottom w:val="none" w:sz="0" w:space="0" w:color="auto"/>
        <w:right w:val="none" w:sz="0" w:space="0" w:color="auto"/>
      </w:divBdr>
    </w:div>
    <w:div w:id="1470200944">
      <w:bodyDiv w:val="1"/>
      <w:marLeft w:val="0"/>
      <w:marRight w:val="0"/>
      <w:marTop w:val="0"/>
      <w:marBottom w:val="0"/>
      <w:divBdr>
        <w:top w:val="none" w:sz="0" w:space="0" w:color="auto"/>
        <w:left w:val="none" w:sz="0" w:space="0" w:color="auto"/>
        <w:bottom w:val="none" w:sz="0" w:space="0" w:color="auto"/>
        <w:right w:val="none" w:sz="0" w:space="0" w:color="auto"/>
      </w:divBdr>
      <w:divsChild>
        <w:div w:id="1546523972">
          <w:marLeft w:val="0"/>
          <w:marRight w:val="0"/>
          <w:marTop w:val="0"/>
          <w:marBottom w:val="0"/>
          <w:divBdr>
            <w:top w:val="none" w:sz="0" w:space="0" w:color="auto"/>
            <w:left w:val="none" w:sz="0" w:space="0" w:color="auto"/>
            <w:bottom w:val="none" w:sz="0" w:space="0" w:color="auto"/>
            <w:right w:val="none" w:sz="0" w:space="0" w:color="auto"/>
          </w:divBdr>
        </w:div>
      </w:divsChild>
    </w:div>
    <w:div w:id="1488017511">
      <w:bodyDiv w:val="1"/>
      <w:marLeft w:val="0"/>
      <w:marRight w:val="0"/>
      <w:marTop w:val="0"/>
      <w:marBottom w:val="0"/>
      <w:divBdr>
        <w:top w:val="none" w:sz="0" w:space="0" w:color="auto"/>
        <w:left w:val="none" w:sz="0" w:space="0" w:color="auto"/>
        <w:bottom w:val="none" w:sz="0" w:space="0" w:color="auto"/>
        <w:right w:val="none" w:sz="0" w:space="0" w:color="auto"/>
      </w:divBdr>
    </w:div>
    <w:div w:id="1618292826">
      <w:bodyDiv w:val="1"/>
      <w:marLeft w:val="0"/>
      <w:marRight w:val="0"/>
      <w:marTop w:val="0"/>
      <w:marBottom w:val="0"/>
      <w:divBdr>
        <w:top w:val="none" w:sz="0" w:space="0" w:color="auto"/>
        <w:left w:val="none" w:sz="0" w:space="0" w:color="auto"/>
        <w:bottom w:val="none" w:sz="0" w:space="0" w:color="auto"/>
        <w:right w:val="none" w:sz="0" w:space="0" w:color="auto"/>
      </w:divBdr>
    </w:div>
    <w:div w:id="1624073417">
      <w:bodyDiv w:val="1"/>
      <w:marLeft w:val="0"/>
      <w:marRight w:val="0"/>
      <w:marTop w:val="0"/>
      <w:marBottom w:val="0"/>
      <w:divBdr>
        <w:top w:val="none" w:sz="0" w:space="0" w:color="auto"/>
        <w:left w:val="none" w:sz="0" w:space="0" w:color="auto"/>
        <w:bottom w:val="none" w:sz="0" w:space="0" w:color="auto"/>
        <w:right w:val="none" w:sz="0" w:space="0" w:color="auto"/>
      </w:divBdr>
      <w:divsChild>
        <w:div w:id="589394818">
          <w:marLeft w:val="0"/>
          <w:marRight w:val="0"/>
          <w:marTop w:val="0"/>
          <w:marBottom w:val="0"/>
          <w:divBdr>
            <w:top w:val="none" w:sz="0" w:space="0" w:color="auto"/>
            <w:left w:val="none" w:sz="0" w:space="0" w:color="auto"/>
            <w:bottom w:val="none" w:sz="0" w:space="0" w:color="auto"/>
            <w:right w:val="none" w:sz="0" w:space="0" w:color="auto"/>
          </w:divBdr>
          <w:divsChild>
            <w:div w:id="224027262">
              <w:marLeft w:val="0"/>
              <w:marRight w:val="0"/>
              <w:marTop w:val="0"/>
              <w:marBottom w:val="0"/>
              <w:divBdr>
                <w:top w:val="none" w:sz="0" w:space="0" w:color="auto"/>
                <w:left w:val="none" w:sz="0" w:space="0" w:color="auto"/>
                <w:bottom w:val="none" w:sz="0" w:space="0" w:color="auto"/>
                <w:right w:val="none" w:sz="0" w:space="0" w:color="auto"/>
              </w:divBdr>
              <w:divsChild>
                <w:div w:id="6340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3949">
      <w:bodyDiv w:val="1"/>
      <w:marLeft w:val="0"/>
      <w:marRight w:val="0"/>
      <w:marTop w:val="0"/>
      <w:marBottom w:val="0"/>
      <w:divBdr>
        <w:top w:val="none" w:sz="0" w:space="0" w:color="auto"/>
        <w:left w:val="none" w:sz="0" w:space="0" w:color="auto"/>
        <w:bottom w:val="none" w:sz="0" w:space="0" w:color="auto"/>
        <w:right w:val="none" w:sz="0" w:space="0" w:color="auto"/>
      </w:divBdr>
      <w:divsChild>
        <w:div w:id="903032120">
          <w:marLeft w:val="0"/>
          <w:marRight w:val="0"/>
          <w:marTop w:val="0"/>
          <w:marBottom w:val="0"/>
          <w:divBdr>
            <w:top w:val="none" w:sz="0" w:space="0" w:color="auto"/>
            <w:left w:val="none" w:sz="0" w:space="0" w:color="auto"/>
            <w:bottom w:val="none" w:sz="0" w:space="0" w:color="auto"/>
            <w:right w:val="none" w:sz="0" w:space="0" w:color="auto"/>
          </w:divBdr>
        </w:div>
      </w:divsChild>
    </w:div>
    <w:div w:id="1650280181">
      <w:bodyDiv w:val="1"/>
      <w:marLeft w:val="0"/>
      <w:marRight w:val="0"/>
      <w:marTop w:val="0"/>
      <w:marBottom w:val="0"/>
      <w:divBdr>
        <w:top w:val="none" w:sz="0" w:space="0" w:color="auto"/>
        <w:left w:val="none" w:sz="0" w:space="0" w:color="auto"/>
        <w:bottom w:val="none" w:sz="0" w:space="0" w:color="auto"/>
        <w:right w:val="none" w:sz="0" w:space="0" w:color="auto"/>
      </w:divBdr>
    </w:div>
    <w:div w:id="1796412797">
      <w:bodyDiv w:val="1"/>
      <w:marLeft w:val="0"/>
      <w:marRight w:val="0"/>
      <w:marTop w:val="0"/>
      <w:marBottom w:val="0"/>
      <w:divBdr>
        <w:top w:val="none" w:sz="0" w:space="0" w:color="auto"/>
        <w:left w:val="none" w:sz="0" w:space="0" w:color="auto"/>
        <w:bottom w:val="none" w:sz="0" w:space="0" w:color="auto"/>
        <w:right w:val="none" w:sz="0" w:space="0" w:color="auto"/>
      </w:divBdr>
      <w:divsChild>
        <w:div w:id="1894734497">
          <w:marLeft w:val="0"/>
          <w:marRight w:val="0"/>
          <w:marTop w:val="0"/>
          <w:marBottom w:val="0"/>
          <w:divBdr>
            <w:top w:val="none" w:sz="0" w:space="0" w:color="auto"/>
            <w:left w:val="none" w:sz="0" w:space="0" w:color="auto"/>
            <w:bottom w:val="none" w:sz="0" w:space="0" w:color="auto"/>
            <w:right w:val="none" w:sz="0" w:space="0" w:color="auto"/>
          </w:divBdr>
          <w:divsChild>
            <w:div w:id="1576159006">
              <w:marLeft w:val="0"/>
              <w:marRight w:val="0"/>
              <w:marTop w:val="0"/>
              <w:marBottom w:val="0"/>
              <w:divBdr>
                <w:top w:val="none" w:sz="0" w:space="0" w:color="auto"/>
                <w:left w:val="none" w:sz="0" w:space="0" w:color="auto"/>
                <w:bottom w:val="none" w:sz="0" w:space="0" w:color="auto"/>
                <w:right w:val="none" w:sz="0" w:space="0" w:color="auto"/>
              </w:divBdr>
              <w:divsChild>
                <w:div w:id="16298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5271">
      <w:bodyDiv w:val="1"/>
      <w:marLeft w:val="0"/>
      <w:marRight w:val="0"/>
      <w:marTop w:val="0"/>
      <w:marBottom w:val="0"/>
      <w:divBdr>
        <w:top w:val="none" w:sz="0" w:space="0" w:color="auto"/>
        <w:left w:val="none" w:sz="0" w:space="0" w:color="auto"/>
        <w:bottom w:val="none" w:sz="0" w:space="0" w:color="auto"/>
        <w:right w:val="none" w:sz="0" w:space="0" w:color="auto"/>
      </w:divBdr>
    </w:div>
    <w:div w:id="1876191759">
      <w:bodyDiv w:val="1"/>
      <w:marLeft w:val="0"/>
      <w:marRight w:val="0"/>
      <w:marTop w:val="0"/>
      <w:marBottom w:val="0"/>
      <w:divBdr>
        <w:top w:val="none" w:sz="0" w:space="0" w:color="auto"/>
        <w:left w:val="none" w:sz="0" w:space="0" w:color="auto"/>
        <w:bottom w:val="none" w:sz="0" w:space="0" w:color="auto"/>
        <w:right w:val="none" w:sz="0" w:space="0" w:color="auto"/>
      </w:divBdr>
      <w:divsChild>
        <w:div w:id="38988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941201">
      <w:bodyDiv w:val="1"/>
      <w:marLeft w:val="0"/>
      <w:marRight w:val="0"/>
      <w:marTop w:val="0"/>
      <w:marBottom w:val="0"/>
      <w:divBdr>
        <w:top w:val="none" w:sz="0" w:space="0" w:color="auto"/>
        <w:left w:val="none" w:sz="0" w:space="0" w:color="auto"/>
        <w:bottom w:val="none" w:sz="0" w:space="0" w:color="auto"/>
        <w:right w:val="none" w:sz="0" w:space="0" w:color="auto"/>
      </w:divBdr>
      <w:divsChild>
        <w:div w:id="1738429889">
          <w:marLeft w:val="0"/>
          <w:marRight w:val="0"/>
          <w:marTop w:val="0"/>
          <w:marBottom w:val="0"/>
          <w:divBdr>
            <w:top w:val="none" w:sz="0" w:space="0" w:color="auto"/>
            <w:left w:val="none" w:sz="0" w:space="0" w:color="auto"/>
            <w:bottom w:val="none" w:sz="0" w:space="0" w:color="auto"/>
            <w:right w:val="none" w:sz="0" w:space="0" w:color="auto"/>
          </w:divBdr>
        </w:div>
      </w:divsChild>
    </w:div>
    <w:div w:id="1948921588">
      <w:bodyDiv w:val="1"/>
      <w:marLeft w:val="0"/>
      <w:marRight w:val="0"/>
      <w:marTop w:val="0"/>
      <w:marBottom w:val="0"/>
      <w:divBdr>
        <w:top w:val="none" w:sz="0" w:space="0" w:color="auto"/>
        <w:left w:val="none" w:sz="0" w:space="0" w:color="auto"/>
        <w:bottom w:val="none" w:sz="0" w:space="0" w:color="auto"/>
        <w:right w:val="none" w:sz="0" w:space="0" w:color="auto"/>
      </w:divBdr>
    </w:div>
    <w:div w:id="1971280088">
      <w:bodyDiv w:val="1"/>
      <w:marLeft w:val="0"/>
      <w:marRight w:val="0"/>
      <w:marTop w:val="0"/>
      <w:marBottom w:val="0"/>
      <w:divBdr>
        <w:top w:val="none" w:sz="0" w:space="0" w:color="auto"/>
        <w:left w:val="none" w:sz="0" w:space="0" w:color="auto"/>
        <w:bottom w:val="none" w:sz="0" w:space="0" w:color="auto"/>
        <w:right w:val="none" w:sz="0" w:space="0" w:color="auto"/>
      </w:divBdr>
    </w:div>
    <w:div w:id="1997802904">
      <w:bodyDiv w:val="1"/>
      <w:marLeft w:val="0"/>
      <w:marRight w:val="0"/>
      <w:marTop w:val="0"/>
      <w:marBottom w:val="0"/>
      <w:divBdr>
        <w:top w:val="none" w:sz="0" w:space="0" w:color="auto"/>
        <w:left w:val="none" w:sz="0" w:space="0" w:color="auto"/>
        <w:bottom w:val="none" w:sz="0" w:space="0" w:color="auto"/>
        <w:right w:val="none" w:sz="0" w:space="0" w:color="auto"/>
      </w:divBdr>
    </w:div>
    <w:div w:id="2017461676">
      <w:bodyDiv w:val="1"/>
      <w:marLeft w:val="0"/>
      <w:marRight w:val="0"/>
      <w:marTop w:val="0"/>
      <w:marBottom w:val="0"/>
      <w:divBdr>
        <w:top w:val="none" w:sz="0" w:space="0" w:color="auto"/>
        <w:left w:val="none" w:sz="0" w:space="0" w:color="auto"/>
        <w:bottom w:val="none" w:sz="0" w:space="0" w:color="auto"/>
        <w:right w:val="none" w:sz="0" w:space="0" w:color="auto"/>
      </w:divBdr>
      <w:divsChild>
        <w:div w:id="17432712">
          <w:marLeft w:val="0"/>
          <w:marRight w:val="0"/>
          <w:marTop w:val="0"/>
          <w:marBottom w:val="0"/>
          <w:divBdr>
            <w:top w:val="none" w:sz="0" w:space="0" w:color="auto"/>
            <w:left w:val="none" w:sz="0" w:space="0" w:color="auto"/>
            <w:bottom w:val="none" w:sz="0" w:space="0" w:color="auto"/>
            <w:right w:val="none" w:sz="0" w:space="0" w:color="auto"/>
          </w:divBdr>
          <w:divsChild>
            <w:div w:id="2049913142">
              <w:marLeft w:val="0"/>
              <w:marRight w:val="0"/>
              <w:marTop w:val="0"/>
              <w:marBottom w:val="0"/>
              <w:divBdr>
                <w:top w:val="none" w:sz="0" w:space="0" w:color="auto"/>
                <w:left w:val="none" w:sz="0" w:space="0" w:color="auto"/>
                <w:bottom w:val="none" w:sz="0" w:space="0" w:color="auto"/>
                <w:right w:val="none" w:sz="0" w:space="0" w:color="auto"/>
              </w:divBdr>
              <w:divsChild>
                <w:div w:id="599139644">
                  <w:marLeft w:val="0"/>
                  <w:marRight w:val="0"/>
                  <w:marTop w:val="0"/>
                  <w:marBottom w:val="0"/>
                  <w:divBdr>
                    <w:top w:val="none" w:sz="0" w:space="0" w:color="auto"/>
                    <w:left w:val="none" w:sz="0" w:space="0" w:color="auto"/>
                    <w:bottom w:val="none" w:sz="0" w:space="0" w:color="auto"/>
                    <w:right w:val="none" w:sz="0" w:space="0" w:color="auto"/>
                  </w:divBdr>
                </w:div>
                <w:div w:id="18066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30184">
      <w:bodyDiv w:val="1"/>
      <w:marLeft w:val="0"/>
      <w:marRight w:val="0"/>
      <w:marTop w:val="0"/>
      <w:marBottom w:val="0"/>
      <w:divBdr>
        <w:top w:val="none" w:sz="0" w:space="0" w:color="auto"/>
        <w:left w:val="none" w:sz="0" w:space="0" w:color="auto"/>
        <w:bottom w:val="none" w:sz="0" w:space="0" w:color="auto"/>
        <w:right w:val="none" w:sz="0" w:space="0" w:color="auto"/>
      </w:divBdr>
    </w:div>
    <w:div w:id="2075083002">
      <w:bodyDiv w:val="1"/>
      <w:marLeft w:val="0"/>
      <w:marRight w:val="0"/>
      <w:marTop w:val="0"/>
      <w:marBottom w:val="0"/>
      <w:divBdr>
        <w:top w:val="none" w:sz="0" w:space="0" w:color="auto"/>
        <w:left w:val="none" w:sz="0" w:space="0" w:color="auto"/>
        <w:bottom w:val="none" w:sz="0" w:space="0" w:color="auto"/>
        <w:right w:val="none" w:sz="0" w:space="0" w:color="auto"/>
      </w:divBdr>
      <w:divsChild>
        <w:div w:id="214114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316971">
      <w:bodyDiv w:val="1"/>
      <w:marLeft w:val="0"/>
      <w:marRight w:val="0"/>
      <w:marTop w:val="0"/>
      <w:marBottom w:val="0"/>
      <w:divBdr>
        <w:top w:val="none" w:sz="0" w:space="0" w:color="auto"/>
        <w:left w:val="none" w:sz="0" w:space="0" w:color="auto"/>
        <w:bottom w:val="none" w:sz="0" w:space="0" w:color="auto"/>
        <w:right w:val="none" w:sz="0" w:space="0" w:color="auto"/>
      </w:divBdr>
      <w:divsChild>
        <w:div w:id="1711345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Advanced 1">
      <a:dk1>
        <a:srgbClr val="24242C"/>
      </a:dk1>
      <a:lt1>
        <a:srgbClr val="FFFFFF"/>
      </a:lt1>
      <a:dk2>
        <a:srgbClr val="F15D22"/>
      </a:dk2>
      <a:lt2>
        <a:srgbClr val="FFFFFF"/>
      </a:lt2>
      <a:accent1>
        <a:srgbClr val="F37720"/>
      </a:accent1>
      <a:accent2>
        <a:srgbClr val="F6911E"/>
      </a:accent2>
      <a:accent3>
        <a:srgbClr val="FCC54C"/>
      </a:accent3>
      <a:accent4>
        <a:srgbClr val="FFDB9B"/>
      </a:accent4>
      <a:accent5>
        <a:srgbClr val="2C4FB2"/>
      </a:accent5>
      <a:accent6>
        <a:srgbClr val="24242C"/>
      </a:accent6>
      <a:hlink>
        <a:srgbClr val="2C4FB2"/>
      </a:hlink>
      <a:folHlink>
        <a:srgbClr val="1F377D"/>
      </a:folHlink>
    </a:clrScheme>
    <a:fontScheme name="Office Them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7c8a407-6d11-40c5-b6df-c1da78185f2e" xsi:nil="true"/>
    <lcf76f155ced4ddcb4097134ff3c332f xmlns="73e5ed0e-7df6-4c2d-9eaa-407edf9ba9d7">
      <Terms xmlns="http://schemas.microsoft.com/office/infopath/2007/PartnerControls"/>
    </lcf76f155ced4ddcb4097134ff3c332f>
    <CARESYSMIGRATIONtoHOSTED xmlns="73e5ed0e-7df6-4c2d-9eaa-407edf9ba9d7">
      <Url xsi:nil="true"/>
      <Description xsi:nil="true"/>
    </CARESYSMIGRATIONtoHOSTED>
    <Notes xmlns="73e5ed0e-7df6-4c2d-9eaa-407edf9ba9d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29217BC2FC294DAB2E2A1626D7BF91" ma:contentTypeVersion="22" ma:contentTypeDescription="Create a new document." ma:contentTypeScope="" ma:versionID="f80104b57a08da1bfa142c7ec980bb52">
  <xsd:schema xmlns:xsd="http://www.w3.org/2001/XMLSchema" xmlns:xs="http://www.w3.org/2001/XMLSchema" xmlns:p="http://schemas.microsoft.com/office/2006/metadata/properties" xmlns:ns2="73e5ed0e-7df6-4c2d-9eaa-407edf9ba9d7" xmlns:ns3="37c8a407-6d11-40c5-b6df-c1da78185f2e" targetNamespace="http://schemas.microsoft.com/office/2006/metadata/properties" ma:root="true" ma:fieldsID="fce77f18f6d6d531986c4dd184e59b15" ns2:_="" ns3:_="">
    <xsd:import namespace="73e5ed0e-7df6-4c2d-9eaa-407edf9ba9d7"/>
    <xsd:import namespace="37c8a407-6d11-40c5-b6df-c1da78185f2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ARESYSMIGRATIONtoHOSTED" minOccurs="0"/>
                <xsd:element ref="ns2:lcf76f155ced4ddcb4097134ff3c332f" minOccurs="0"/>
                <xsd:element ref="ns3:TaxCatchAll" minOccurs="0"/>
                <xsd:element ref="ns2:MediaLengthInSeconds" minOccurs="0"/>
                <xsd:element ref="ns2:MediaServiceLocation" minOccurs="0"/>
                <xsd:element ref="ns2:MediaServiceObjectDetectorVersions"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5ed0e-7df6-4c2d-9eaa-407edf9ba9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hidden="true" ma:internalName="MediaServiceKeyPoints" ma:readOnly="true">
      <xsd:simpleType>
        <xsd:restriction base="dms:Note"/>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CARESYSMIGRATIONtoHOSTED" ma:index="19" nillable="true" ma:displayName="CARESYS MIGRATION to HOSTED" ma:description="Project Work Book&#10;Project Plan-RAID-RACI-DECISIONS-RESOURCE_PLAN" ma:format="Hyperlink" ma:hidden="true" ma:internalName="CARESYSMIGRATIONtoHOSTED"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d9dd563-0387-4024-bb9d-fde9247927c3"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Notes" ma:index="27"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c8a407-6d11-40c5-b6df-c1da78185f2e"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8d1829d6-47ba-42ae-8c5c-33487d30d68b}" ma:internalName="TaxCatchAll" ma:readOnly="false" ma:showField="CatchAllData" ma:web="37c8a407-6d11-40c5-b6df-c1da78185f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700E0-EED9-44D3-B4B5-949A37828349}">
  <ds:schemaRefs>
    <ds:schemaRef ds:uri="http://schemas.microsoft.com/sharepoint/v3/contenttype/forms"/>
  </ds:schemaRefs>
</ds:datastoreItem>
</file>

<file path=customXml/itemProps2.xml><?xml version="1.0" encoding="utf-8"?>
<ds:datastoreItem xmlns:ds="http://schemas.openxmlformats.org/officeDocument/2006/customXml" ds:itemID="{EC898931-8F96-F349-BDCF-91BDAD94A6ED}">
  <ds:schemaRefs>
    <ds:schemaRef ds:uri="http://schemas.openxmlformats.org/officeDocument/2006/bibliography"/>
  </ds:schemaRefs>
</ds:datastoreItem>
</file>

<file path=customXml/itemProps3.xml><?xml version="1.0" encoding="utf-8"?>
<ds:datastoreItem xmlns:ds="http://schemas.openxmlformats.org/officeDocument/2006/customXml" ds:itemID="{D75BDB00-0905-4AC3-9D5B-76CB1AF2E6DA}">
  <ds:schemaRefs>
    <ds:schemaRef ds:uri="http://schemas.microsoft.com/office/2006/metadata/properties"/>
    <ds:schemaRef ds:uri="http://schemas.microsoft.com/office/infopath/2007/PartnerControls"/>
    <ds:schemaRef ds:uri="37c8a407-6d11-40c5-b6df-c1da78185f2e"/>
    <ds:schemaRef ds:uri="73e5ed0e-7df6-4c2d-9eaa-407edf9ba9d7"/>
  </ds:schemaRefs>
</ds:datastoreItem>
</file>

<file path=customXml/itemProps4.xml><?xml version="1.0" encoding="utf-8"?>
<ds:datastoreItem xmlns:ds="http://schemas.openxmlformats.org/officeDocument/2006/customXml" ds:itemID="{48A5AA71-39C6-47E7-AEC6-6A91047A8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5ed0e-7df6-4c2d-9eaa-407edf9ba9d7"/>
    <ds:schemaRef ds:uri="37c8a407-6d11-40c5-b6df-c1da78185f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46</Pages>
  <Words>13837</Words>
  <Characters>78873</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Christopher.Tullett@oneadvanced.com</dc:creator>
  <cp:keywords/>
  <dc:description/>
  <cp:lastModifiedBy>Peter Cashen SAHCORP ADV</cp:lastModifiedBy>
  <cp:revision>181</cp:revision>
  <cp:lastPrinted>2024-08-09T18:38:00Z</cp:lastPrinted>
  <dcterms:created xsi:type="dcterms:W3CDTF">2025-06-13T09:23:00Z</dcterms:created>
  <dcterms:modified xsi:type="dcterms:W3CDTF">2025-07-22T13:41:00Z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0x0101003B29217BC2FC294DAB2E2A1626D7BF91</vt:lpwstr>
  </property>
  <property fmtid="{D5CDD505-2E9C-101B-9397-08002B2CF9AE}" pid="3" name="MediaServiceImageTags">
    <vt:lpwstr/>
  </property>
</Properties>
</file>