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Arial"/>
          <w:b/>
          <w:color w:val="2D7F83"/>
          <w:sz w:val="22"/>
        </w:rPr>
        <w:t>PEERSLATE</w:t>
      </w:r>
    </w:p>
    <w:p>
      <w:pPr>
        <w:pStyle w:val="Title"/>
        <w:jc w:val="center"/>
      </w:pPr>
      <w:r>
        <w:rPr>
          <w:rFonts w:ascii="Arial" w:hAnsi="Arial" w:eastAsia="Arial"/>
          <w:b/>
          <w:color w:val="17324D"/>
          <w:sz w:val="60"/>
        </w:rPr>
        <w:t>PeerSlate Company and Product Bible</w:t>
      </w:r>
    </w:p>
    <w:p>
      <w:pPr>
        <w:pStyle w:val="Subtitle"/>
        <w:jc w:val="center"/>
      </w:pPr>
      <w:r>
        <w:t>A focused constitution aligned to the verified production foundation, current owner work, and governed next steps</w:t>
      </w:r>
    </w:p>
    <w:p>
      <w:pPr>
        <w:spacing w:after="280"/>
      </w:pPr>
    </w:p>
    <w:tbl>
      <w:tblPr>
        <w:tblW w:type="auto" w:w="0"/>
        <w:jc w:val="center"/>
        <w:tblLayout w:type="fixed"/>
        <w:tblLook w:firstColumn="1" w:firstRow="1" w:lastColumn="0" w:lastRow="0" w:noHBand="0" w:noVBand="1" w:val="04A0"/>
      </w:tblPr>
      <w:tblGrid>
        <w:gridCol w:w="5083"/>
        <w:gridCol w:w="5083"/>
      </w:tblGrid>
      <w:tr>
        <w:trPr>
          <w:cantSplit/>
        </w:trPr>
        <w:tc>
          <w:tcPr>
            <w:tcW w:type="dxa" w:w="1944"/>
            <w:tcMar>
              <w:top w:w="100" w:type="dxa"/>
              <w:start w:w="130" w:type="dxa"/>
              <w:bottom w:w="100" w:type="dxa"/>
              <w:end w:w="130" w:type="dxa"/>
            </w:tcMar>
            <w:shd w:fill="EAF2F7"/>
          </w:tcPr>
          <w:p>
            <w:r>
              <w:rPr>
                <w:rFonts w:ascii="Arial" w:hAnsi="Arial" w:eastAsia="Arial"/>
                <w:b/>
                <w:color w:val="36566F"/>
                <w:sz w:val="15"/>
              </w:rPr>
              <w:t>VERSION</w:t>
            </w:r>
          </w:p>
        </w:tc>
        <w:tc>
          <w:tcPr>
            <w:tcW w:type="dxa" w:w="6696"/>
            <w:tcMar>
              <w:top w:w="100" w:type="dxa"/>
              <w:start w:w="130" w:type="dxa"/>
              <w:bottom w:w="100" w:type="dxa"/>
              <w:end w:w="130" w:type="dxa"/>
            </w:tcMar>
            <w:shd w:fill="F8FAFB"/>
            <w:vAlign w:val="center"/>
          </w:tcPr>
          <w:p>
            <w:r>
              <w:t>v2.4 - Visual Integrity and Governance Authority</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DATE</w:t>
            </w:r>
          </w:p>
        </w:tc>
        <w:tc>
          <w:tcPr>
            <w:tcW w:type="dxa" w:w="6696"/>
            <w:tcMar>
              <w:top w:w="100" w:type="dxa"/>
              <w:start w:w="130" w:type="dxa"/>
              <w:bottom w:w="100" w:type="dxa"/>
              <w:end w:w="130" w:type="dxa"/>
            </w:tcMar>
            <w:shd w:fill="F8FAFB"/>
            <w:vAlign w:val="center"/>
          </w:tcPr>
          <w:p>
            <w:r>
              <w:t>July 18, 2026</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STATUS</w:t>
            </w:r>
          </w:p>
        </w:tc>
        <w:tc>
          <w:tcPr>
            <w:tcW w:type="dxa" w:w="6696"/>
            <w:tcMar>
              <w:top w:w="100" w:type="dxa"/>
              <w:start w:w="130" w:type="dxa"/>
              <w:bottom w:w="100" w:type="dxa"/>
              <w:end w:w="130" w:type="dxa"/>
            </w:tcMar>
            <w:shd w:fill="F8FAFB"/>
            <w:vAlign w:val="center"/>
          </w:tcPr>
          <w:p>
            <w:r>
              <w:t>CURRENT - OWNER-APPROVED PRODUCT AND VISUAL AUTHORITY</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SOURCE SYNTHESIS</w:t>
            </w:r>
          </w:p>
        </w:tc>
        <w:tc>
          <w:tcPr>
            <w:tcW w:type="dxa" w:w="6696"/>
            <w:tcMar>
              <w:top w:w="100" w:type="dxa"/>
              <w:start w:w="130" w:type="dxa"/>
              <w:bottom w:w="100" w:type="dxa"/>
              <w:end w:w="130" w:type="dxa"/>
            </w:tcMar>
            <w:shd w:fill="F8FAFB"/>
            <w:vAlign w:val="center"/>
          </w:tcPr>
          <w:p>
            <w:r>
              <w:t>v2.3 production and governance baseline + July 18 owner Visual Integrity and Demonstration Parity decision</w:t>
            </w:r>
          </w:p>
        </w:tc>
      </w:tr>
    </w:tbl>
    <w:p/>
    <w:tbl>
      <w:tblPr>
        <w:tblW w:type="auto" w:w="0"/>
        <w:jc w:val="center"/>
        <w:tblLayout w:type="autofit"/>
        <w:tblLook w:firstColumn="1" w:firstRow="1" w:lastColumn="0" w:lastRow="0" w:noHBand="0" w:noVBand="1" w:val="04A0"/>
      </w:tblPr>
      <w:tblGrid>
        <w:gridCol w:w="10166"/>
      </w:tblGrid>
      <w:tr>
        <w:tc>
          <w:tcPr>
            <w:tcW w:type="dxa" w:w="10166"/>
            <w:shd w:fill="EAF2F7"/>
            <w:tcMar>
              <w:top w:w="120" w:type="dxa"/>
              <w:start w:w="160" w:type="dxa"/>
              <w:bottom w:w="120" w:type="dxa"/>
              <w:end w:w="160" w:type="dxa"/>
            </w:tcMar>
            <w:tcBorders>
              <w:start w:val="single" w:sz="22" w:color="2F6E9E"/>
            </w:tcBorders>
          </w:tcPr>
          <w:p>
            <w:pPr>
              <w:spacing w:after="40"/>
            </w:pPr>
            <w:r>
              <w:rPr>
                <w:rFonts w:ascii="Arial" w:hAnsi="Arial" w:eastAsia="Arial"/>
                <w:b/>
                <w:color w:val="2F6E9E"/>
                <w:sz w:val="15"/>
              </w:rPr>
              <w:t>DOCUMENT INTENT</w:t>
            </w:r>
          </w:p>
          <w:p>
            <w:pPr>
              <w:spacing w:after="0" w:line="250" w:lineRule="auto"/>
            </w:pPr>
            <w:r>
              <w:rPr>
                <w:rFonts w:ascii="Arial" w:hAnsi="Arial" w:eastAsia="Arial"/>
                <w:color w:val="111827"/>
                <w:sz w:val="18"/>
              </w:rPr>
              <w:t>This draft tightens the Bible into PeerSlate’s constitutional source of truth, separates changeable implementation material into controlled companion documents, and integrates the strongest product-vision decisions without deleting the v1.5.1 source.</w:t>
            </w:r>
          </w:p>
        </w:tc>
      </w:tr>
    </w:tbl>
    <w:p>
      <w:pPr>
        <w:spacing w:after="0"/>
      </w:pPr>
    </w:p>
    <w:p>
      <w:pPr>
        <w:pStyle w:val="SmallNote"/>
        <w:jc w:val="center"/>
      </w:pPr>
      <w:r>
        <w:t>Approval note: v2.4 is the current controlling Bible when named in CURRENT_BASELINE.yaml. It preserves the verified July 18 production baseline and approved owner visual foundation, and adds the owner-approved Visual Integrity and Demonstration Parity covenant: selected production-intent demonstrations are binding minimums, and material user-facing work requires technical evidence plus owner and manager visual acceptance.</w:t>
      </w:r>
    </w:p>
    <w:p>
      <w:r>
        <w:br w:type="page"/>
      </w:r>
    </w:p>
    <w:p>
      <w:pPr>
        <w:pStyle w:val="Heading1"/>
      </w:pPr>
      <w:r>
        <w:t>Table of Contents</w:t>
      </w:r>
    </w:p>
    <w:p>
      <w:pPr>
        <w:pStyle w:val="SmallNote"/>
      </w:pPr>
      <w:r>
        <w:rPr>
          <w:rFonts w:ascii="Arial" w:hAnsi="Arial" w:eastAsia="Arial"/>
          <w:i/>
          <w:color w:val="36566F"/>
          <w:sz w:val="16"/>
        </w:rPr>
        <w:t xml:space="preserve">This table updates automatically. If page numbers do not appear, click inside it and press F9 (or right-click and choose "Update Field").</w:t>
      </w:r>
    </w:p>
    <w:p>
      <w:r>
        <w:fldChar w:fldCharType="begin" w:dirty="true"/>
      </w:r>
      <w:r>
        <w:instrText xml:space="preserve"> TOC \o "1-2" \h \z \u </w:instrText>
      </w:r>
      <w:r>
        <w:fldChar w:fldCharType="separate"/>
      </w:r>
      <w:r>
        <w:rPr>
          <w:rFonts w:ascii="Arial" w:hAnsi="Arial" w:eastAsia="Arial"/>
          <w:color w:val="36566F"/>
          <w:i/>
          <w:sz w:val="18"/>
        </w:rPr>
        <w:t xml:space="preserve">Right-click here and choose "Update Field" to generate the table of contents.</w:t>
      </w:r>
      <w:r>
        <w:fldChar w:fldCharType="end"/>
      </w:r>
    </w:p>
    <w:p>
      <w:r>
        <w:br w:type="page"/>
      </w:r>
    </w:p>
    <w:p>
      <w:pPr>
        <w:pStyle w:val="Heading1"/>
      </w:pPr>
      <w:r>
        <w:t>Document control and use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FFF5DF"/>
            <w:tcMar>
              <w:top w:w="80" w:type="dxa"/>
              <w:start w:w="100" w:type="dxa"/>
              <w:bottom w:w="80" w:type="dxa"/>
              <w:end w:w="100" w:type="dxa"/>
            </w:tcMar>
          </w:tcPr>
          <w:p>
            <w:r>
              <w:rPr>
                <w:rFonts w:ascii="Arial" w:hAnsi="Arial" w:eastAsia="Arial"/>
                <w:b/>
                <w:color w:val="9A6819"/>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Authority: v2.4 is controlling when named by CURRENT_BASELINE.yaml. Prior Bible versions remain preserved as historical decision records.</w:t>
            </w:r>
            <w:r>
              <w:rPr>
                <w:rFonts w:ascii="Arial" w:hAnsi="Arial" w:eastAsia="Arial"/>
                <w:color w:val="111827"/>
                <w:sz w:val="16"/>
              </w:rPr>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Preservation: </w:t>
            </w:r>
            <w:r>
              <w:rPr>
                <w:rFonts w:ascii="Arial" w:hAnsi="Arial" w:eastAsia="Arial"/>
                <w:color w:val="111827"/>
                <w:sz w:val="16"/>
              </w:rPr>
              <w:t>The v1.5.1 source is preserved in full. Detailed material proposed for relocation is listed in the companion Editorial Review.</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Purpose: </w:t>
            </w:r>
            <w:r>
              <w:rPr>
                <w:rFonts w:ascii="Arial" w:hAnsi="Arial" w:eastAsia="Arial"/>
                <w:color w:val="111827"/>
                <w:sz w:val="16"/>
              </w:rPr>
              <w:t>Define durable company and product direction; constrain design and engineering; authorize initiatives; and establish the minimum assurance rules every release must follow.</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Companion controls: </w:t>
            </w:r>
            <w:r>
              <w:rPr>
                <w:rFonts w:ascii="Arial" w:hAnsi="Arial" w:eastAsia="Arial"/>
                <w:color w:val="111827"/>
                <w:sz w:val="16"/>
              </w:rPr>
              <w:t>The Product Strategy and Architecture Roadmap carries sequencing and progress. Initiative packages carry detailed requirements, designs, architecture allocations, tests, evidence, and release decisions.</w:t>
            </w:r>
          </w:p>
        </w:tc>
      </w:tr>
    </w:tbl>
    <w:p>
      <w:pPr>
        <w:spacing w:after="0"/>
      </w:pPr>
    </w:p>
    <w:p>
      <w:pPr>
        <w:pStyle w:val="Heading2"/>
      </w:pPr>
      <w:r>
        <w:t>How to use this Bible</w:t>
      </w:r>
    </w:p>
    <w:p>
      <w:r>
        <w:rPr>
          <w:rFonts w:ascii="Arial" w:hAnsi="Arial" w:eastAsia="Arial"/>
          <w:i w:val="0"/>
        </w:rPr>
        <w:t>The Bible is PeerSlate’s constitution. It should answer why the company exists, whom the product serves, what promises may not be broken, what the product is and is not, how the connected Slate works, and how decisions are judged. It should not be the daily backlog, a complete test laboratory, a cloud-resource inventory, or a prompt library.</w:t>
      </w:r>
    </w:p>
    <w:p>
      <w:pPr>
        <w:pStyle w:val="ListBullet"/>
        <w:spacing w:after="50" w:line="247" w:lineRule="auto"/>
      </w:pPr>
      <w:r>
        <w:rPr>
          <w:rFonts w:ascii="Arial" w:hAnsi="Arial" w:eastAsia="Arial"/>
          <w:b/>
        </w:rPr>
        <w:t xml:space="preserve">Use the Bible to authorize and constrain. </w:t>
      </w:r>
      <w:r>
        <w:rPr>
          <w:rFonts w:ascii="Arial" w:hAnsi="Arial" w:eastAsia="Arial"/>
        </w:rPr>
        <w:t>Every initiative must cite the principles and top-level requirements that apply.</w:t>
      </w:r>
    </w:p>
    <w:p>
      <w:pPr>
        <w:pStyle w:val="ListBullet"/>
        <w:spacing w:after="50" w:line="247" w:lineRule="auto"/>
      </w:pPr>
      <w:r>
        <w:rPr>
          <w:rFonts w:ascii="Arial" w:hAnsi="Arial" w:eastAsia="Arial"/>
          <w:b/>
        </w:rPr>
        <w:t xml:space="preserve">Use the Roadmap to sequence. </w:t>
      </w:r>
      <w:r>
        <w:rPr>
          <w:rFonts w:ascii="Arial" w:hAnsi="Arial" w:eastAsia="Arial"/>
        </w:rPr>
        <w:t>It identifies the next architectural and product stages, dependencies, release gates, and current status.</w:t>
      </w:r>
    </w:p>
    <w:p>
      <w:pPr>
        <w:pStyle w:val="ListBullet"/>
        <w:spacing w:after="50" w:line="247" w:lineRule="auto"/>
      </w:pPr>
      <w:r>
        <w:rPr>
          <w:rFonts w:ascii="Arial" w:hAnsi="Arial" w:eastAsia="Arial"/>
          <w:b/>
        </w:rPr>
        <w:t xml:space="preserve">Use initiative packages to specify. </w:t>
      </w:r>
      <w:r>
        <w:rPr>
          <w:rFonts w:ascii="Arial" w:hAnsi="Arial" w:eastAsia="Arial"/>
        </w:rPr>
        <w:t>Each material feature receives its own problem statement, scope, requirements, prototype, architecture allocation, acceptance criteria, test plan, rollout, and rollback.</w:t>
      </w:r>
    </w:p>
    <w:p>
      <w:pPr>
        <w:pStyle w:val="ListBullet"/>
        <w:spacing w:after="50" w:line="247" w:lineRule="auto"/>
      </w:pPr>
      <w:r>
        <w:rPr>
          <w:rFonts w:ascii="Arial" w:hAnsi="Arial" w:eastAsia="Arial"/>
          <w:b/>
        </w:rPr>
        <w:t xml:space="preserve">Use evidence packages to prove. </w:t>
      </w:r>
      <w:r>
        <w:rPr>
          <w:rFonts w:ascii="Arial" w:hAnsi="Arial" w:eastAsia="Arial"/>
        </w:rPr>
        <w:t>Tests, verification records, validation sessions, migration evidence, accessibility results, security findings, monitoring, and release notes demonstrate completion.</w:t>
      </w:r>
    </w:p>
    <w:p>
      <w:pPr>
        <w:pStyle w:val="ListBullet"/>
      </w:pPr>
      <w:r>
        <w:t>The authoritative repository is the operational source of truth for current code, deployment, initiative status, and evidence. The Bible governs durable direction; repository pointer files must identify the current Bible, Roadmap, active initiatives, and production baseline without duplicating their full content.</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CHANGE-CONTROL RULE</w:t>
            </w:r>
          </w:p>
          <w:p>
            <w:pPr>
              <w:spacing w:after="0" w:line="250" w:lineRule="auto"/>
            </w:pPr>
            <w:r>
              <w:rPr>
                <w:rFonts w:ascii="Arial" w:hAnsi="Arial" w:eastAsia="Arial"/>
                <w:color w:val="111827"/>
                <w:sz w:val="18"/>
              </w:rPr>
              <w:t>If a new idea changes the mission, member covenant, product principles, product boundaries, canonical object model, or mandatory assurance standard, update the Bible. If it changes sequencing, update the Roadmap. If it changes one feature, update that initiative package. If it proves what was built, store it as evidence.</w:t>
            </w:r>
          </w:p>
        </w:tc>
      </w:tr>
    </w:tbl>
    <w:p>
      <w:pPr>
        <w:spacing w:after="0"/>
      </w:pPr>
    </w:p>
    <w:p>
      <w:pPr>
        <w:pStyle w:val="Heading2"/>
      </w:pPr>
      <w:r>
        <w:t>The PeerSlate product operating system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7324D"/>
            <w:tcMar>
              <w:top w:w="90" w:type="dxa"/>
              <w:start w:w="95" w:type="dxa"/>
              <w:bottom w:w="90" w:type="dxa"/>
              <w:end w:w="95" w:type="dxa"/>
            </w:tcMar>
          </w:tcPr>
          <w:p>
            <w:pPr>
              <w:jc w:val="left"/>
            </w:pPr>
            <w:r>
              <w:rPr>
                <w:rFonts w:ascii="Arial" w:hAnsi="Arial" w:eastAsia="Arial"/>
                <w:b/>
                <w:color w:val="FFFFFF"/>
                <w:sz w:val="14"/>
              </w:rPr>
              <w:t>Layer</w:t>
            </w:r>
          </w:p>
        </w:tc>
        <w:tc>
          <w:tcPr>
            <w:tcW w:type="dxa" w:w="2088"/>
            <w:shd w:fill="17324D"/>
            <w:tcMar>
              <w:top w:w="90" w:type="dxa"/>
              <w:start w:w="95" w:type="dxa"/>
              <w:bottom w:w="90" w:type="dxa"/>
              <w:end w:w="95" w:type="dxa"/>
            </w:tcMar>
          </w:tcPr>
          <w:p>
            <w:pPr>
              <w:jc w:val="left"/>
            </w:pPr>
            <w:r>
              <w:rPr>
                <w:rFonts w:ascii="Arial" w:hAnsi="Arial" w:eastAsia="Arial"/>
                <w:b/>
                <w:color w:val="FFFFFF"/>
                <w:sz w:val="14"/>
              </w:rPr>
              <w:t>Controlled artifact</w:t>
            </w:r>
          </w:p>
        </w:tc>
        <w:tc>
          <w:tcPr>
            <w:tcW w:type="dxa" w:w="5400"/>
            <w:shd w:fill="17324D"/>
            <w:tcMar>
              <w:top w:w="90" w:type="dxa"/>
              <w:start w:w="95" w:type="dxa"/>
              <w:bottom w:w="90" w:type="dxa"/>
              <w:end w:w="95" w:type="dxa"/>
            </w:tcMar>
          </w:tcPr>
          <w:p>
            <w:pPr>
              <w:jc w:val="left"/>
            </w:pPr>
            <w:r>
              <w:rPr>
                <w:rFonts w:ascii="Arial" w:hAnsi="Arial" w:eastAsia="Arial"/>
                <w:b/>
                <w:color w:val="FFFFFF"/>
                <w:sz w:val="14"/>
              </w:rPr>
              <w:t>What belongs there</w:t>
            </w:r>
          </w:p>
        </w:tc>
        <w:tc>
          <w:tcPr>
            <w:tcW w:type="dxa" w:w="1152"/>
            <w:shd w:fill="17324D"/>
            <w:tcMar>
              <w:top w:w="90" w:type="dxa"/>
              <w:start w:w="95" w:type="dxa"/>
              <w:bottom w:w="90" w:type="dxa"/>
              <w:end w:w="95" w:type="dxa"/>
            </w:tcMar>
          </w:tcPr>
          <w:p>
            <w:pPr>
              <w:jc w:val="left"/>
            </w:pPr>
            <w:r>
              <w:rPr>
                <w:rFonts w:ascii="Arial" w:hAnsi="Arial" w:eastAsia="Arial"/>
                <w:b/>
                <w:color w:val="FFFFFF"/>
                <w:sz w:val="14"/>
              </w:rPr>
              <w:t>Change rate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 Constitution</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Company and Product Bible</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Mission, promise, principles, boundaries, connected-product model, member covenant, top-level requirements, decision rules</w:t>
            </w:r>
          </w:p>
        </w:tc>
        <w:tc>
          <w:tcPr>
            <w:tcW w:type="dxa" w:w="115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Rare and deliberate</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2. System</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Experience System; Architecture and Data Standard; Trust Standard; Delivery and Assurance Playbook</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Reusable design, content, IA, architecture, data, AI, security, privacy, accessibility, development, testing, and measurement standards</w:t>
            </w:r>
          </w:p>
        </w:tc>
        <w:tc>
          <w:tcPr>
            <w:tcW w:type="dxa" w:w="115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Deliberate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3. Initiative</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 Library</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Brief, PRD, user journeys, shall requirements, prototypes, architecture changes, acceptance criteria, traceability, release/rollback plan</w:t>
            </w:r>
          </w:p>
        </w:tc>
        <w:tc>
          <w:tcPr>
            <w:tcW w:type="dxa" w:w="115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Frequent</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4. Evidence</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Evidence packages and release records</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Test results, verification, validation, deployment, security, accessibility, migration, monitoring, known limitations, release notes</w:t>
            </w:r>
          </w:p>
        </w:tc>
        <w:tc>
          <w:tcPr>
            <w:tcW w:type="dxa" w:w="115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Created continuously</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Decision history</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Decision and Change Register</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ADRs, superseded decisions, rationale, approvals, open issues, version history</w:t>
            </w:r>
          </w:p>
        </w:tc>
        <w:tc>
          <w:tcPr>
            <w:tcW w:type="dxa" w:w="115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Append-only</w:t>
            </w:r>
          </w:p>
        </w:tc>
      </w:tr>
    </w:tbl>
    <w:p>
      <w:pPr>
        <w:spacing w:after="20"/>
      </w:pPr>
    </w:p>
    <w:p>
      <w:pPr>
        <w:pStyle w:val="Heading2"/>
      </w:pPr>
      <w:r>
        <w:t>Status language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584"/>
            <w:shd w:fill="17324D"/>
            <w:tcMar>
              <w:top w:w="90" w:type="dxa"/>
              <w:start w:w="95" w:type="dxa"/>
              <w:bottom w:w="90" w:type="dxa"/>
              <w:end w:w="95" w:type="dxa"/>
            </w:tcMar>
          </w:tcPr>
          <w:p>
            <w:pPr>
              <w:jc w:val="left"/>
            </w:pPr>
            <w:r>
              <w:rPr>
                <w:rFonts w:ascii="Arial" w:hAnsi="Arial" w:eastAsia="Arial"/>
                <w:b/>
                <w:color w:val="FFFFFF"/>
                <w:sz w:val="16"/>
              </w:rPr>
              <w:t>Status</w:t>
            </w:r>
          </w:p>
        </w:tc>
        <w:tc>
          <w:tcPr>
            <w:tcW w:type="dxa" w:w="8496"/>
            <w:shd w:fill="17324D"/>
            <w:tcMar>
              <w:top w:w="90" w:type="dxa"/>
              <w:start w:w="95" w:type="dxa"/>
              <w:bottom w:w="90" w:type="dxa"/>
              <w:end w:w="95" w:type="dxa"/>
            </w:tcMar>
          </w:tcPr>
          <w:p>
            <w:pPr>
              <w:jc w:val="left"/>
            </w:pPr>
            <w:r>
              <w:rPr>
                <w:rFonts w:ascii="Arial" w:hAnsi="Arial" w:eastAsia="Arial"/>
                <w:b/>
                <w:color w:val="FFFFFF"/>
                <w:sz w:val="16"/>
              </w:rPr>
              <w:t>Meaning</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6"/>
              </w:rPr>
              <w:t>LOCKED</w:t>
            </w:r>
          </w:p>
        </w:tc>
        <w:tc>
          <w:tcPr>
            <w:tcW w:type="dxa" w:w="8496"/>
            <w:shd w:fill="FFFFFF"/>
            <w:tcMar>
              <w:top w:w="75" w:type="dxa"/>
              <w:start w:w="95" w:type="dxa"/>
              <w:bottom w:w="75" w:type="dxa"/>
              <w:end w:w="95" w:type="dxa"/>
            </w:tcMar>
            <w:vAlign w:val="top"/>
          </w:tcPr>
          <w:p>
            <w:pPr>
              <w:spacing w:after="0" w:line="240" w:lineRule="auto"/>
            </w:pPr>
            <w:r>
              <w:rPr>
                <w:rFonts w:ascii="Arial" w:hAnsi="Arial" w:eastAsia="Arial"/>
                <w:color w:val="111827"/>
                <w:sz w:val="16"/>
              </w:rPr>
              <w:t>Approved governing direction; change requires explicit decision and recorded rationale.</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6"/>
              </w:rPr>
              <w:t>CURRENT</w:t>
            </w:r>
          </w:p>
        </w:tc>
        <w:tc>
          <w:tcPr>
            <w:tcW w:type="dxa" w:w="8496"/>
            <w:shd w:fill="F8FAFB"/>
            <w:tcMar>
              <w:top w:w="75" w:type="dxa"/>
              <w:start w:w="95" w:type="dxa"/>
              <w:bottom w:w="75" w:type="dxa"/>
              <w:end w:w="95" w:type="dxa"/>
            </w:tcMar>
            <w:vAlign w:val="top"/>
          </w:tcPr>
          <w:p>
            <w:pPr>
              <w:spacing w:after="0" w:line="240" w:lineRule="auto"/>
            </w:pPr>
            <w:r>
              <w:rPr>
                <w:rFonts w:ascii="Arial" w:hAnsi="Arial" w:eastAsia="Arial"/>
                <w:color w:val="111827"/>
                <w:sz w:val="16"/>
              </w:rPr>
              <w:t>Active direction or implementation standard; may evolve through controlled review.</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6"/>
              </w:rPr>
              <w:t>OPEN</w:t>
            </w:r>
          </w:p>
        </w:tc>
        <w:tc>
          <w:tcPr>
            <w:tcW w:type="dxa" w:w="8496"/>
            <w:shd w:fill="FFFFFF"/>
            <w:tcMar>
              <w:top w:w="75" w:type="dxa"/>
              <w:start w:w="95" w:type="dxa"/>
              <w:bottom w:w="75" w:type="dxa"/>
              <w:end w:w="95" w:type="dxa"/>
            </w:tcMar>
            <w:vAlign w:val="top"/>
          </w:tcPr>
          <w:p>
            <w:pPr>
              <w:spacing w:after="0" w:line="240" w:lineRule="auto"/>
            </w:pPr>
            <w:r>
              <w:rPr>
                <w:rFonts w:ascii="Arial" w:hAnsi="Arial" w:eastAsia="Arial"/>
                <w:color w:val="111827"/>
                <w:sz w:val="16"/>
              </w:rPr>
              <w:t>A material decision is unresolved; no implementation assumption may silently close it.</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6"/>
              </w:rPr>
              <w:t>LATER</w:t>
            </w:r>
          </w:p>
        </w:tc>
        <w:tc>
          <w:tcPr>
            <w:tcW w:type="dxa" w:w="8496"/>
            <w:shd w:fill="F8FAFB"/>
            <w:tcMar>
              <w:top w:w="75" w:type="dxa"/>
              <w:start w:w="95" w:type="dxa"/>
              <w:bottom w:w="75" w:type="dxa"/>
              <w:end w:w="95" w:type="dxa"/>
            </w:tcMar>
            <w:vAlign w:val="top"/>
          </w:tcPr>
          <w:p>
            <w:pPr>
              <w:spacing w:after="0" w:line="240" w:lineRule="auto"/>
            </w:pPr>
            <w:r>
              <w:rPr>
                <w:rFonts w:ascii="Arial" w:hAnsi="Arial" w:eastAsia="Arial"/>
                <w:color w:val="111827"/>
                <w:sz w:val="16"/>
              </w:rPr>
              <w:t>Compatible with the vision but outside the current build sequence.</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6"/>
              </w:rPr>
              <w:t>TABLED</w:t>
            </w:r>
          </w:p>
        </w:tc>
        <w:tc>
          <w:tcPr>
            <w:tcW w:type="dxa" w:w="8496"/>
            <w:shd w:fill="FFFFFF"/>
            <w:tcMar>
              <w:top w:w="75" w:type="dxa"/>
              <w:start w:w="95" w:type="dxa"/>
              <w:bottom w:w="75" w:type="dxa"/>
              <w:end w:w="95" w:type="dxa"/>
            </w:tcMar>
            <w:vAlign w:val="top"/>
          </w:tcPr>
          <w:p>
            <w:pPr>
              <w:spacing w:after="0" w:line="240" w:lineRule="auto"/>
            </w:pPr>
            <w:r>
              <w:rPr>
                <w:rFonts w:ascii="Arial" w:hAnsi="Arial" w:eastAsia="Arial"/>
                <w:color w:val="111827"/>
                <w:sz w:val="16"/>
              </w:rPr>
              <w:t>The idea is preserved but has no current design, prototype, or build authorization.</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6"/>
              </w:rPr>
              <w:t>PROPOSED</w:t>
            </w:r>
          </w:p>
        </w:tc>
        <w:tc>
          <w:tcPr>
            <w:tcW w:type="dxa" w:w="8496"/>
            <w:shd w:fill="F8FAFB"/>
            <w:tcMar>
              <w:top w:w="75" w:type="dxa"/>
              <w:start w:w="95" w:type="dxa"/>
              <w:bottom w:w="75" w:type="dxa"/>
              <w:end w:w="95" w:type="dxa"/>
            </w:tcMar>
            <w:vAlign w:val="top"/>
          </w:tcPr>
          <w:p>
            <w:pPr>
              <w:spacing w:after="0" w:line="240" w:lineRule="auto"/>
            </w:pPr>
            <w:r>
              <w:rPr>
                <w:rFonts w:ascii="Arial" w:hAnsi="Arial" w:eastAsia="Arial"/>
                <w:color w:val="111827"/>
                <w:sz w:val="16"/>
              </w:rPr>
              <w:t>Draft language awaiting approval.</w:t>
            </w:r>
          </w:p>
        </w:tc>
      </w:tr>
    </w:tbl>
    <w:p>
      <w:pPr>
        <w:spacing w:after="20"/>
      </w:pPr>
    </w:p>
    <w:p>
      <w:pPr>
        <w:pStyle w:val="Heading1"/>
      </w:pPr>
      <w:r>
        <w:t>Document map</w:t>
      </w:r>
    </w:p>
    <w:p>
      <w:r>
        <w:rPr>
          <w:rFonts w:ascii="Arial" w:hAnsi="Arial" w:eastAsia="Arial"/>
          <w:i w:val="0"/>
        </w:rPr>
        <w:t>Use this map to identify the governing section. Word’s Navigation pane can also jump directly between headings.</w:t>
      </w:r>
    </w:p>
    <w:p>
      <w:pPr>
        <w:spacing w:after="30"/>
        <w:ind w:left="0"/>
      </w:pPr>
      <w:r>
        <w:rPr>
          <w:rFonts w:ascii="Arial" w:hAnsi="Arial" w:eastAsia="Arial"/>
          <w:b/>
          <w:color w:val="17324D"/>
          <w:sz w:val="17"/>
        </w:rPr>
        <w:t>Executive direction</w:t>
      </w:r>
    </w:p>
    <w:p>
      <w:pPr>
        <w:spacing w:after="30"/>
        <w:ind w:left="0"/>
      </w:pPr>
      <w:r>
        <w:rPr>
          <w:rFonts w:ascii="Arial" w:hAnsi="Arial" w:eastAsia="Arial"/>
          <w:b/>
          <w:color w:val="17324D"/>
          <w:sz w:val="17"/>
        </w:rPr>
        <w:t>1. Company North Star</w:t>
      </w:r>
    </w:p>
    <w:p>
      <w:pPr>
        <w:spacing w:after="30"/>
        <w:ind w:left="0"/>
      </w:pPr>
      <w:r>
        <w:rPr>
          <w:rFonts w:ascii="Arial" w:hAnsi="Arial" w:eastAsia="Arial"/>
          <w:b/>
          <w:color w:val="17324D"/>
          <w:sz w:val="17"/>
        </w:rPr>
        <w:t>2. Product thesis and category</w:t>
      </w:r>
    </w:p>
    <w:p>
      <w:pPr>
        <w:spacing w:after="30"/>
        <w:ind w:left="0"/>
      </w:pPr>
      <w:r>
        <w:rPr>
          <w:rFonts w:ascii="Arial" w:hAnsi="Arial" w:eastAsia="Arial"/>
          <w:b/>
          <w:color w:val="17324D"/>
          <w:sz w:val="17"/>
        </w:rPr>
        <w:t>3. Governing product principles</w:t>
      </w:r>
    </w:p>
    <w:p>
      <w:pPr>
        <w:spacing w:after="30"/>
        <w:ind w:left="0"/>
      </w:pPr>
      <w:r>
        <w:rPr>
          <w:rFonts w:ascii="Arial" w:hAnsi="Arial" w:eastAsia="Arial"/>
          <w:b/>
          <w:color w:val="17324D"/>
          <w:sz w:val="17"/>
        </w:rPr>
        <w:t>4. Product boundaries</w:t>
      </w:r>
    </w:p>
    <w:p>
      <w:pPr>
        <w:spacing w:after="30"/>
        <w:ind w:left="0"/>
      </w:pPr>
      <w:r>
        <w:rPr>
          <w:rFonts w:ascii="Arial" w:hAnsi="Arial" w:eastAsia="Arial"/>
          <w:b/>
          <w:color w:val="17324D"/>
          <w:sz w:val="17"/>
        </w:rPr>
        <w:t>5. One connected Slate</w:t>
      </w:r>
    </w:p>
    <w:p>
      <w:pPr>
        <w:spacing w:after="30"/>
        <w:ind w:left="0"/>
      </w:pPr>
      <w:r>
        <w:rPr>
          <w:rFonts w:ascii="Arial" w:hAnsi="Arial" w:eastAsia="Arial"/>
          <w:b/>
          <w:color w:val="17324D"/>
          <w:sz w:val="17"/>
        </w:rPr>
        <w:t>6. Experience model and information architecture</w:t>
      </w:r>
    </w:p>
    <w:p>
      <w:pPr>
        <w:spacing w:after="30"/>
        <w:ind w:left="0"/>
      </w:pPr>
      <w:r>
        <w:rPr>
          <w:rFonts w:ascii="Arial" w:hAnsi="Arial" w:eastAsia="Arial"/>
          <w:b/>
          <w:color w:val="17324D"/>
          <w:sz w:val="17"/>
        </w:rPr>
        <w:t>7. Signature experiences and product ecosystem</w:t>
      </w:r>
    </w:p>
    <w:p>
      <w:pPr>
        <w:spacing w:after="30"/>
        <w:ind w:left="0"/>
      </w:pPr>
      <w:r>
        <w:rPr>
          <w:rFonts w:ascii="Arial" w:hAnsi="Arial" w:eastAsia="Arial"/>
          <w:b/>
          <w:color w:val="17324D"/>
          <w:sz w:val="17"/>
        </w:rPr>
        <w:t>8. Identity, audience, privacy, and ownership</w:t>
      </w:r>
    </w:p>
    <w:p>
      <w:pPr>
        <w:spacing w:after="30"/>
        <w:ind w:left="0"/>
      </w:pPr>
      <w:r>
        <w:rPr>
          <w:rFonts w:ascii="Arial" w:hAnsi="Arial" w:eastAsia="Arial"/>
          <w:b/>
          <w:color w:val="17324D"/>
          <w:sz w:val="17"/>
        </w:rPr>
        <w:t>9. AI, sources, and member intelligence</w:t>
      </w:r>
    </w:p>
    <w:p>
      <w:pPr>
        <w:spacing w:after="30"/>
        <w:ind w:left="0"/>
      </w:pPr>
      <w:r>
        <w:rPr>
          <w:rFonts w:ascii="Arial" w:hAnsi="Arial" w:eastAsia="Arial"/>
          <w:b/>
          <w:color w:val="17324D"/>
          <w:sz w:val="17"/>
        </w:rPr>
        <w:t>10. Connection, community, and public expression</w:t>
      </w:r>
    </w:p>
    <w:p>
      <w:pPr>
        <w:spacing w:after="30"/>
        <w:ind w:left="0"/>
      </w:pPr>
      <w:r>
        <w:rPr>
          <w:rFonts w:ascii="Arial" w:hAnsi="Arial" w:eastAsia="Arial"/>
          <w:b/>
          <w:color w:val="17324D"/>
          <w:sz w:val="17"/>
        </w:rPr>
        <w:t>11. Design, content, storytelling, and quiet delight</w:t>
      </w:r>
    </w:p>
    <w:p>
      <w:pPr>
        <w:spacing w:after="30"/>
        <w:ind w:left="0"/>
      </w:pPr>
      <w:r>
        <w:rPr>
          <w:rFonts w:ascii="Arial" w:hAnsi="Arial" w:eastAsia="Arial"/>
          <w:b/>
          <w:color w:val="17324D"/>
          <w:sz w:val="17"/>
        </w:rPr>
        <w:t>12. Technical direction and architectural constraints</w:t>
      </w:r>
    </w:p>
    <w:p>
      <w:pPr>
        <w:spacing w:after="30"/>
        <w:ind w:left="0"/>
      </w:pPr>
      <w:r>
        <w:rPr>
          <w:rFonts w:ascii="Arial" w:hAnsi="Arial" w:eastAsia="Arial"/>
          <w:b/>
          <w:color w:val="17324D"/>
          <w:sz w:val="17"/>
        </w:rPr>
        <w:t>13. Product Delivery and Assurance Loop</w:t>
      </w:r>
    </w:p>
    <w:p>
      <w:pPr>
        <w:spacing w:after="30"/>
        <w:ind w:left="0"/>
      </w:pPr>
      <w:r>
        <w:rPr>
          <w:rFonts w:ascii="Arial" w:hAnsi="Arial" w:eastAsia="Arial"/>
          <w:b/>
          <w:color w:val="17324D"/>
          <w:sz w:val="17"/>
        </w:rPr>
        <w:t>14. Top-level mandatory requirements</w:t>
      </w:r>
    </w:p>
    <w:p>
      <w:pPr>
        <w:spacing w:after="30"/>
        <w:ind w:left="0"/>
      </w:pPr>
      <w:r>
        <w:rPr>
          <w:rFonts w:ascii="Arial" w:hAnsi="Arial" w:eastAsia="Arial"/>
          <w:b/>
          <w:color w:val="17324D"/>
          <w:sz w:val="17"/>
        </w:rPr>
        <w:t>15. Roadmap charter and immediate direction</w:t>
      </w:r>
    </w:p>
    <w:p>
      <w:pPr>
        <w:spacing w:after="30"/>
        <w:ind w:left="0"/>
      </w:pPr>
      <w:r>
        <w:rPr>
          <w:rFonts w:ascii="Arial" w:hAnsi="Arial" w:eastAsia="Arial"/>
          <w:b/>
          <w:color w:val="17324D"/>
          <w:sz w:val="17"/>
        </w:rPr>
        <w:t>16. Metrics, learning, and business direction</w:t>
      </w:r>
    </w:p>
    <w:p>
      <w:pPr>
        <w:spacing w:after="30"/>
        <w:ind w:left="0"/>
      </w:pPr>
      <w:r>
        <w:rPr>
          <w:rFonts w:ascii="Arial" w:hAnsi="Arial" w:eastAsia="Arial"/>
          <w:b/>
          <w:color w:val="17324D"/>
          <w:sz w:val="17"/>
        </w:rPr>
        <w:t>17. Governance and decision rights</w:t>
      </w:r>
    </w:p>
    <w:p>
      <w:pPr>
        <w:spacing w:after="30"/>
        <w:ind w:left="0"/>
      </w:pPr>
      <w:r>
        <w:rPr>
          <w:rFonts w:ascii="Arial" w:hAnsi="Arial" w:eastAsia="Arial"/>
          <w:b/>
          <w:color w:val="17324D"/>
          <w:sz w:val="17"/>
        </w:rPr>
        <w:t>18. Canonical vocabulary</w:t>
      </w:r>
    </w:p>
    <w:p>
      <w:pPr>
        <w:spacing w:after="30"/>
        <w:ind w:left="0"/>
      </w:pPr>
      <w:r>
        <w:rPr>
          <w:rFonts w:ascii="Arial" w:hAnsi="Arial" w:eastAsia="Arial"/>
          <w:b/>
          <w:color w:val="17324D"/>
          <w:sz w:val="17"/>
        </w:rPr>
        <w:t>19. Locked, open, later, and tabled decisions</w:t>
      </w:r>
    </w:p>
    <w:p>
      <w:pPr>
        <w:spacing w:after="30"/>
        <w:ind w:left="0"/>
      </w:pPr>
      <w:r>
        <w:rPr>
          <w:rFonts w:ascii="Arial" w:hAnsi="Arial" w:eastAsia="Arial"/>
          <w:b/>
          <w:color w:val="17324D"/>
          <w:sz w:val="17"/>
        </w:rPr>
        <w:t>20. Review agenda</w:t>
      </w:r>
    </w:p>
    <w:p>
      <w:pPr>
        <w:spacing w:after="30"/>
        <w:ind w:left="0"/>
      </w:pPr>
      <w:r>
        <w:t>Appendices (including mandatory startup, owner-understanding, and visual-integrity standards)</w:t>
      </w:r>
    </w:p>
    <w:p>
      <w:r>
        <w:br w:type="page"/>
      </w:r>
    </w:p>
    <w:p>
      <w:pPr>
        <w:pStyle w:val="Heading1"/>
      </w:pPr>
      <w:r>
        <w:t>Executive direction</w:t>
      </w:r>
    </w:p>
    <w:tbl>
      <w:tblPr>
        <w:tblW w:type="auto" w:w="0"/>
        <w:tblLook w:firstColumn="1" w:firstRow="1" w:lastColumn="0" w:lastRow="0" w:noHBand="0" w:noVBand="1" w:val="04A0"/>
      </w:tblPr>
      <w:tblGrid>
        <w:gridCol w:w="10166"/>
      </w:tblGrid>
      <w:tr>
        <w:tc>
          <w:tcPr>
            <w:tcW w:type="dxa" w:w="10166"/>
            <w:shd w:fill="F8FAFB"/>
            <w:tcMar>
              <w:top w:w="160" w:type="dxa"/>
              <w:start w:w="220" w:type="dxa"/>
              <w:bottom w:w="150" w:type="dxa"/>
              <w:end w:w="220" w:type="dxa"/>
            </w:tcMar>
            <w:tcBorders>
              <w:start w:val="single" w:sz="28" w:color="2D7F83"/>
            </w:tcBorders>
          </w:tcPr>
          <w:p>
            <w:pPr>
              <w:jc w:val="center"/>
            </w:pPr>
            <w:r>
              <w:rPr>
                <w:rFonts w:ascii="Arial" w:hAnsi="Arial" w:eastAsia="Arial"/>
                <w:b/>
                <w:i/>
                <w:color w:val="17324D"/>
                <w:sz w:val="26"/>
              </w:rPr>
              <w:t>Your work should not disappear. Capture it once. Use it when it matters.</w:t>
            </w:r>
          </w:p>
        </w:tc>
      </w:tr>
    </w:tbl>
    <w:p>
      <w:pPr>
        <w:spacing w:after="0"/>
      </w:pPr>
    </w:p>
    <w:p>
      <w:r>
        <w:rPr>
          <w:rFonts w:ascii="Arial" w:hAnsi="Arial" w:eastAsia="Arial"/>
          <w:i w:val="0"/>
        </w:rPr>
        <w:t>PeerSlate is a private-first, voice-first, AI-enabled system that helps people capture the work and life they are building, understand what it means, improve how they communicate it, and deliberately choose what becomes visible to someone else. The member is the primary beneficiary. Recruiter, manager, collaborator, and public value are downstream outcomes that may never distort the owner experience.</w:t>
      </w:r>
    </w:p>
    <w:p>
      <w:r>
        <w:rPr>
          <w:rFonts w:ascii="Arial" w:hAnsi="Arial" w:eastAsia="Arial"/>
          <w:i w:val="0"/>
        </w:rPr>
        <w:t>The strongest product direction is not “TikTok for careers” and not “LinkedIn, but more personal.” PeerSlate should combine the ease of modern capture, immediate personal relevance, progressive depth, private ownership, and professional credibility while rejecting addictive mechanics, public performance pressure, manufactured popularity, and application-volume incentives.</w:t>
      </w:r>
    </w:p>
    <w:tbl>
      <w:tblPr>
        <w:tblW w:type="auto" w:w="0"/>
        <w:jc w:val="center"/>
        <w:tblLayout w:type="autofit"/>
        <w:tblLook w:firstColumn="1" w:firstRow="1" w:lastColumn="0" w:lastRow="0" w:noHBand="0" w:noVBand="1" w:val="04A0"/>
      </w:tblPr>
      <w:tblGrid>
        <w:gridCol w:w="10166"/>
      </w:tblGrid>
      <w:t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CURRENT PRODUCT FOCUS</w:t>
            </w:r>
          </w:p>
          <w:p>
            <w:pPr>
              <w:spacing w:after="0" w:line="250" w:lineRule="auto"/>
            </w:pPr>
            <w:r>
              <w:rPr>
                <w:rFonts w:ascii="Arial" w:hAnsi="Arial" w:eastAsia="Arial"/>
                <w:color w:val="111827"/>
                <w:sz w:val="18"/>
              </w:rPr>
              <w:t>Build one coherent owner system with two unmistakable modes: a private owner workspace and a public or permissioned Slate. Prove the complete Capture → review → Journal → optional projection loop with two real accounts before expanding public surfaces, career matching, or marketplace concepts.</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Private owner workspace</w:t>
            </w:r>
          </w:p>
          <w:p>
            <w:pPr>
              <w:spacing w:after="0" w:line="245" w:lineRule="auto"/>
            </w:pPr>
            <w:r>
              <w:rPr>
                <w:rFonts w:ascii="Arial" w:hAnsi="Arial" w:eastAsia="Arial"/>
                <w:color w:val="111827"/>
                <w:sz w:val="16"/>
              </w:rPr>
              <w:t>Capture, Journal, review, organize, practice, reflect, correct, export, delete, and control. This is the engine of the product.</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Public or permissioned Slate</w:t>
            </w:r>
          </w:p>
          <w:p>
            <w:pPr>
              <w:spacing w:after="0" w:line="245" w:lineRule="auto"/>
            </w:pPr>
            <w:r>
              <w:rPr>
                <w:rFonts w:ascii="Arial" w:hAnsi="Arial" w:eastAsia="Arial"/>
                <w:color w:val="111827"/>
                <w:sz w:val="16"/>
              </w:rPr>
              <w:t>Journal, Story, Work, selected progress, approved media, approved AI answers, and deliberate audience-specific views. This is an output of the owner loop.</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Mobile front door</w:t>
            </w:r>
          </w:p>
          <w:p>
            <w:pPr>
              <w:spacing w:after="0" w:line="245" w:lineRule="auto"/>
            </w:pPr>
            <w:r>
              <w:rPr>
                <w:rFonts w:ascii="Arial" w:hAnsi="Arial" w:eastAsia="Arial"/>
                <w:color w:val="111827"/>
                <w:sz w:val="16"/>
              </w:rPr>
              <w:t>Fast orientation, Capture, review, return value, and one-handed use. Mobile composes the information differently; it is not a shrunken desktop.</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Desktop workshop</w:t>
            </w:r>
          </w:p>
          <w:p>
            <w:pPr>
              <w:spacing w:after="0" w:line="245" w:lineRule="auto"/>
            </w:pPr>
            <w:r>
              <w:rPr>
                <w:rFonts w:ascii="Arial" w:hAnsi="Arial" w:eastAsia="Arial"/>
                <w:color w:val="111827"/>
                <w:sz w:val="16"/>
              </w:rPr>
              <w:t>Deeper editing, relationship management, Story curation, projects, exports, Studio work, and architecture-rich views.</w:t>
            </w:r>
          </w:p>
        </w:tc>
      </w:tr>
    </w:tbl>
    <w:p>
      <w:pPr>
        <w:spacing w:after="20"/>
      </w:pPr>
    </w:p>
    <w:p>
      <w:r>
        <w:rPr>
          <w:rFonts w:ascii="Arial" w:hAnsi="Arial" w:eastAsia="Arial"/>
          <w:i w:val="0"/>
        </w:rPr>
        <w:t>The near-term success test is simple: Pete and Danielle can maintain separate accounts, capture separate private records, correct AI interpretations, selectively share or publish, revisit past moments, and always understand whose space they are in and who can see what.</w:t>
      </w:r>
    </w:p>
    <w:p>
      <w:pPr>
        <w:pStyle w:val="Heading1"/>
      </w:pPr>
      <w:r>
        <w:t>1. Company North Star</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Mission, vision, primary promise, first member, and member covenant are constitutional.</w:t>
            </w:r>
          </w:p>
        </w:tc>
      </w:tr>
    </w:tbl>
    <w:p>
      <w:pPr>
        <w:spacing w:after="0"/>
      </w:pPr>
    </w:p>
    <w:p>
      <w:pPr>
        <w:pStyle w:val="Heading2"/>
      </w:pPr>
      <w:r>
        <w:t>Mission</w:t>
      </w:r>
    </w:p>
    <w:p>
      <w:r>
        <w:rPr>
          <w:rFonts w:ascii="Arial" w:hAnsi="Arial" w:eastAsia="Arial"/>
          <w:i w:val="0"/>
        </w:rPr>
        <w:t>Help people capture, understand, improve, and share the work, growth, and life they are building—without forcing them to perform a polished version of themselves before they are ready.</w:t>
      </w:r>
    </w:p>
    <w:p>
      <w:pPr>
        <w:pStyle w:val="Heading2"/>
      </w:pPr>
      <w:r>
        <w:t>Vision</w:t>
      </w:r>
    </w:p>
    <w:p>
      <w:r>
        <w:rPr>
          <w:rFonts w:ascii="Arial" w:hAnsi="Arial" w:eastAsia="Arial"/>
          <w:i w:val="0"/>
        </w:rPr>
        <w:t>PeerSlate becomes a trusted personal system that grows with a person across jobs, projects, goals, transitions, learning, interviews, achievements, setbacks, decisions, and reinvention. It gives each member a living record of what they have done, what they are learning, what matters to them, and what they are becoming.</w:t>
      </w:r>
    </w:p>
    <w:p>
      <w:pPr>
        <w:pStyle w:val="Heading2"/>
      </w:pPr>
      <w:r>
        <w:t>Primary promise</w:t>
      </w:r>
    </w:p>
    <w:tbl>
      <w:tblPr>
        <w:tblW w:type="auto" w:w="0"/>
        <w:tblLook w:firstColumn="1" w:firstRow="1" w:lastColumn="0" w:lastRow="0" w:noHBand="0" w:noVBand="1" w:val="04A0"/>
      </w:tblPr>
      <w:tblGrid>
        <w:gridCol w:w="10166"/>
      </w:tblGrid>
      <w:tr>
        <w:tc>
          <w:tcPr>
            <w:tcW w:type="dxa" w:w="10166"/>
            <w:shd w:fill="F8FAFB"/>
            <w:tcMar>
              <w:top w:w="160" w:type="dxa"/>
              <w:start w:w="220" w:type="dxa"/>
              <w:bottom w:w="150" w:type="dxa"/>
              <w:end w:w="220" w:type="dxa"/>
            </w:tcMar>
            <w:tcBorders>
              <w:start w:val="single" w:sz="28" w:color="2D7F83"/>
            </w:tcBorders>
          </w:tcPr>
          <w:p>
            <w:pPr>
              <w:jc w:val="center"/>
            </w:pPr>
            <w:r>
              <w:rPr>
                <w:rFonts w:ascii="Arial" w:hAnsi="Arial" w:eastAsia="Arial"/>
                <w:b/>
                <w:i/>
                <w:color w:val="17324D"/>
                <w:sz w:val="26"/>
              </w:rPr>
              <w:t>Say what happened. PeerSlate helps make it useful.</w:t>
            </w:r>
          </w:p>
        </w:tc>
      </w:tr>
    </w:tbl>
    <w:p>
      <w:pPr>
        <w:spacing w:after="0"/>
      </w:pPr>
    </w:p>
    <w:p>
      <w:r>
        <w:rPr>
          <w:rFonts w:ascii="Arial" w:hAnsi="Arial" w:eastAsia="Arial"/>
          <w:i w:val="0"/>
        </w:rPr>
        <w:t>The promise is broader than résumé creation. One spoken thought, typed note, photo, document, or connected source can help a person remember a moment, form a project update, prepare for a manager conversation, improve an interview answer, support a truthful résumé claim, create a public story, or reveal a pattern over time. The member remains the authority on facts, interpretation, privacy, permanence, and publication.</w:t>
      </w:r>
    </w:p>
    <w:p>
      <w:pPr>
        <w:pStyle w:val="Heading2"/>
      </w:pPr>
      <w:r>
        <w:t>Who PeerSlate serves first</w:t>
      </w:r>
    </w:p>
    <w:p>
      <w:pPr>
        <w:pStyle w:val="ListBullet"/>
        <w:spacing w:after="50" w:line="247" w:lineRule="auto"/>
      </w:pPr>
      <w:r>
        <w:rPr>
          <w:rFonts w:ascii="Arial" w:hAnsi="Arial" w:eastAsia="Arial"/>
        </w:rPr>
        <w:t>Working professionals who already have jobs but need a better way to capture progress, reflect, grow, and explain what they do.</w:t>
      </w:r>
    </w:p>
    <w:p>
      <w:pPr>
        <w:pStyle w:val="ListBullet"/>
        <w:spacing w:after="50" w:line="247" w:lineRule="auto"/>
      </w:pPr>
      <w:r>
        <w:rPr>
          <w:rFonts w:ascii="Arial" w:hAnsi="Arial" w:eastAsia="Arial"/>
        </w:rPr>
        <w:t>People whose contributions are difficult to compress into one-line job descriptions: engineers, program and project managers, operations professionals, government and defense workers, technical leaders, builders, career changers, and knowledge workers.</w:t>
      </w:r>
    </w:p>
    <w:p>
      <w:pPr>
        <w:pStyle w:val="ListBullet"/>
        <w:spacing w:after="50" w:line="247" w:lineRule="auto"/>
      </w:pPr>
      <w:r>
        <w:rPr>
          <w:rFonts w:ascii="Arial" w:hAnsi="Arial" w:eastAsia="Arial"/>
        </w:rPr>
        <w:t>People who value professional credibility but do not want to post every meaningful moment publicly or perform a polished identity before they are ready.</w:t>
      </w:r>
    </w:p>
    <w:p>
      <w:pPr>
        <w:pStyle w:val="ListBullet"/>
        <w:spacing w:after="50" w:line="247" w:lineRule="auto"/>
      </w:pPr>
      <w:r>
        <w:rPr>
          <w:rFonts w:ascii="Arial" w:hAnsi="Arial" w:eastAsia="Arial"/>
        </w:rPr>
        <w:t>People who want growth, goals, interview practice, résumé material, Story, projects, and professional relationships to connect rather than live in unrelated tools.</w:t>
      </w:r>
    </w:p>
    <w:p>
      <w:pPr>
        <w:pStyle w:val="Heading2"/>
      </w:pPr>
      <w:r>
        <w:t>Member service covenant</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Member benefit before engagement</w:t>
            </w:r>
          </w:p>
          <w:p>
            <w:pPr>
              <w:spacing w:after="0" w:line="245" w:lineRule="auto"/>
            </w:pPr>
            <w:r>
              <w:rPr>
                <w:rFonts w:ascii="Arial" w:hAnsi="Arial" w:eastAsia="Arial"/>
                <w:color w:val="111827"/>
                <w:sz w:val="16"/>
              </w:rPr>
              <w:t>Do not optimize time-on-site, streaks, public popularity, application volume, or recruiter convenience at the person’s expense.</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Agency before automation</w:t>
            </w:r>
          </w:p>
          <w:p>
            <w:pPr>
              <w:spacing w:after="0" w:line="245" w:lineRule="auto"/>
            </w:pPr>
            <w:r>
              <w:rPr>
                <w:rFonts w:ascii="Arial" w:hAnsi="Arial" w:eastAsia="Arial"/>
                <w:color w:val="111827"/>
                <w:sz w:val="16"/>
              </w:rPr>
              <w:t>The member controls facts, interpretation, privacy, audience, permanence, and publication.</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Clarity before persuasion</w:t>
            </w:r>
          </w:p>
          <w:p>
            <w:pPr>
              <w:spacing w:after="0" w:line="245" w:lineRule="auto"/>
            </w:pPr>
            <w:r>
              <w:rPr>
                <w:rFonts w:ascii="Arial" w:hAnsi="Arial" w:eastAsia="Arial"/>
                <w:color w:val="111827"/>
                <w:sz w:val="16"/>
              </w:rPr>
              <w:t>Explain what PeerSlate noticed, why it appeared, which records supported it, what will change, and what remains uncertain.</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Care without condescension</w:t>
            </w:r>
          </w:p>
          <w:p>
            <w:pPr>
              <w:spacing w:after="0" w:line="245" w:lineRule="auto"/>
            </w:pPr>
            <w:r>
              <w:rPr>
                <w:rFonts w:ascii="Arial" w:hAnsi="Arial" w:eastAsia="Arial"/>
                <w:color w:val="111827"/>
                <w:sz w:val="16"/>
              </w:rPr>
              <w:t>Be warm and encouraging without guilt, manipulation, false praise, infantilization, or emotional exploitation.</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Professional service</w:t>
            </w:r>
          </w:p>
          <w:p>
            <w:pPr>
              <w:spacing w:after="0" w:line="245" w:lineRule="auto"/>
            </w:pPr>
            <w:r>
              <w:rPr>
                <w:rFonts w:ascii="Arial" w:hAnsi="Arial" w:eastAsia="Arial"/>
                <w:color w:val="111827"/>
                <w:sz w:val="16"/>
              </w:rPr>
              <w:t>Corrections, export, deletion, privacy, failure, support, and recovery receive the same care as hero experiences.</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Whole-person usefulness</w:t>
            </w:r>
          </w:p>
          <w:p>
            <w:pPr>
              <w:spacing w:after="0" w:line="245" w:lineRule="auto"/>
            </w:pPr>
            <w:r>
              <w:rPr>
                <w:rFonts w:ascii="Arial" w:hAnsi="Arial" w:eastAsia="Arial"/>
                <w:color w:val="111827"/>
                <w:sz w:val="16"/>
              </w:rPr>
              <w:t>Work, learning, goals, relationships, decisions, setbacks, and personal growth may connect when the member chooses.</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Honest limitations</w:t>
            </w:r>
          </w:p>
          <w:p>
            <w:pPr>
              <w:spacing w:after="0" w:line="245" w:lineRule="auto"/>
            </w:pPr>
            <w:r>
              <w:rPr>
                <w:rFonts w:ascii="Arial" w:hAnsi="Arial" w:eastAsia="Arial"/>
                <w:color w:val="111827"/>
                <w:sz w:val="16"/>
              </w:rPr>
              <w:t>Say when information is insufficient, a capability is a prototype, AI is uncertain, or human judgment is required.</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Accessibility is service</w:t>
            </w:r>
          </w:p>
          <w:p>
            <w:pPr>
              <w:spacing w:after="0" w:line="245" w:lineRule="auto"/>
            </w:pPr>
            <w:r>
              <w:rPr>
                <w:rFonts w:ascii="Arial" w:hAnsi="Arial" w:eastAsia="Arial"/>
                <w:color w:val="111827"/>
                <w:sz w:val="16"/>
              </w:rPr>
              <w:t>Voice, text, upload, keyboard, assistive technology, mobile, and reduced-motion paths must preserve essential capability.</w:t>
            </w:r>
          </w:p>
        </w:tc>
      </w:tr>
    </w:tbl>
    <w:p>
      <w:pPr>
        <w:spacing w:after="20"/>
      </w:pPr>
    </w:p>
    <w:p>
      <w:pPr>
        <w:pStyle w:val="Heading1"/>
      </w:pPr>
      <w:r>
        <w:t>2. Product thesis and category</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strategic category and differentiation.</w:t>
            </w:r>
          </w:p>
        </w:tc>
      </w:tr>
    </w:tbl>
    <w:p>
      <w:pPr>
        <w:spacing w:after="0"/>
      </w:pPr>
    </w:p>
    <w:p>
      <w:pPr>
        <w:pStyle w:val="Heading2"/>
      </w:pPr>
      <w:r>
        <w:t>The product thesis</w:t>
      </w:r>
    </w:p>
    <w:p>
      <w:r>
        <w:rPr>
          <w:rFonts w:ascii="Arial" w:hAnsi="Arial" w:eastAsia="Arial"/>
          <w:i w:val="0"/>
        </w:rPr>
        <w:t>People already produce the raw material of a meaningful professional story: decisions, lessons, project work, feedback, outcomes, explanations, goals, mistakes, and moments of growth. That material usually disappears into memory, chat, files, review forms, scattered notes, or résumé updates written years too late. PeerSlate turns those fragments into a member-owned, source-linked, connected Slate that can be reused when it matters.</w:t>
      </w:r>
    </w:p>
    <w:p>
      <w:pPr>
        <w:pStyle w:val="Heading2"/>
      </w:pPr>
      <w:r>
        <w:t>The category PeerSlate should own</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CATEGORY STATEMENT</w:t>
            </w:r>
          </w:p>
          <w:p>
            <w:pPr>
              <w:spacing w:after="0" w:line="250" w:lineRule="auto"/>
            </w:pPr>
            <w:r>
              <w:rPr>
                <w:rFonts w:ascii="Arial" w:hAnsi="Arial" w:eastAsia="Arial"/>
                <w:color w:val="111827"/>
                <w:sz w:val="18"/>
              </w:rPr>
              <w:t>PeerSlate is a member-owned professional memory and expression system: a private longitudinal workspace that helps a person capture real experience, understand patterns, prepare for important moments, and deliberately publish or share selected views.</w:t>
            </w:r>
          </w:p>
        </w:tc>
      </w:tr>
    </w:tbl>
    <w:p>
      <w:pPr>
        <w:spacing w:after="0"/>
      </w:pPr>
    </w:p>
    <w:p>
      <w:r>
        <w:rPr>
          <w:rFonts w:ascii="Arial" w:hAnsi="Arial" w:eastAsia="Arial"/>
          <w:i w:val="0"/>
        </w:rPr>
        <w:t>The market contains point solutions for journals, portfolios, résumés, interview practice, achievement capture, performance reviews, AI profiles, and career recommendations. PeerSlate’s advantage is not another isolated feature. It is the connected system around the member: capture once, maintain one canonical truth, preserve sources and original language, allow member correction, and create many useful views without duplicating identity.</w:t>
      </w:r>
    </w:p>
    <w:p>
      <w:pPr>
        <w:pStyle w:val="Heading2"/>
      </w:pPr>
      <w:r>
        <w:t>The interaction formula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tcMar>
              <w:top w:w="90" w:type="dxa"/>
              <w:start w:w="95" w:type="dxa"/>
              <w:bottom w:w="90" w:type="dxa"/>
              <w:end w:w="95" w:type="dxa"/>
            </w:tcMar>
          </w:tcPr>
          <w:p>
            <w:pPr>
              <w:jc w:val="left"/>
            </w:pPr>
            <w:r>
              <w:rPr>
                <w:rFonts w:ascii="Arial" w:hAnsi="Arial" w:eastAsia="Arial"/>
                <w:b/>
                <w:color w:val="FFFFFF"/>
                <w:sz w:val="15"/>
              </w:rPr>
              <w:t>Borrow</w:t>
            </w:r>
          </w:p>
        </w:tc>
        <w:tc>
          <w:tcPr>
            <w:tcW w:type="dxa" w:w="5400"/>
            <w:shd w:fill="17324D"/>
            <w:tcMar>
              <w:top w:w="90" w:type="dxa"/>
              <w:start w:w="95" w:type="dxa"/>
              <w:bottom w:w="90" w:type="dxa"/>
              <w:end w:w="95" w:type="dxa"/>
            </w:tcMar>
          </w:tcPr>
          <w:p>
            <w:pPr>
              <w:jc w:val="left"/>
            </w:pPr>
            <w:r>
              <w:rPr>
                <w:rFonts w:ascii="Arial" w:hAnsi="Arial" w:eastAsia="Arial"/>
                <w:b/>
                <w:color w:val="FFFFFF"/>
                <w:sz w:val="15"/>
              </w:rPr>
              <w:t>PeerSlate translation</w:t>
            </w:r>
          </w:p>
        </w:tc>
        <w:tc>
          <w:tcPr>
            <w:tcW w:type="dxa" w:w="2736"/>
            <w:shd w:fill="17324D"/>
            <w:tcMar>
              <w:top w:w="90" w:type="dxa"/>
              <w:start w:w="95" w:type="dxa"/>
              <w:bottom w:w="90" w:type="dxa"/>
              <w:end w:w="95" w:type="dxa"/>
            </w:tcMar>
          </w:tcPr>
          <w:p>
            <w:pPr>
              <w:jc w:val="left"/>
            </w:pPr>
            <w:r>
              <w:rPr>
                <w:rFonts w:ascii="Arial" w:hAnsi="Arial" w:eastAsia="Arial"/>
                <w:b/>
                <w:color w:val="FFFFFF"/>
                <w:sz w:val="15"/>
              </w:rPr>
              <w:t>Reject</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Snapchat ease of capture</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Fast, obvious, low-friction Capture by voice, text, photo, or upload</w:t>
            </w:r>
          </w:p>
        </w:tc>
        <w:tc>
          <w:tcPr>
            <w:tcW w:type="dxa" w:w="27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Ephemerality that undermines member ownership</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TikTok immediate relevance</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 useful response immediately after contribution</w:t>
            </w:r>
          </w:p>
        </w:tc>
        <w:tc>
          <w:tcPr>
            <w:tcW w:type="dxa" w:w="27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Infinite feed, variable rewards, popularity pressure</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YouTube depth ladder</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Five-second orientation, 30-second understanding, optional deep exploration</w:t>
            </w:r>
          </w:p>
        </w:tc>
        <w:tc>
          <w:tcPr>
            <w:tcW w:type="dxa" w:w="27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Overloaded screens and forced depth</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Private journal ownership</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Private by default, editable, inspectable, exportable, deletable</w:t>
            </w:r>
          </w:p>
        </w:tc>
        <w:tc>
          <w:tcPr>
            <w:tcW w:type="dxa" w:w="27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Public-by-default reflection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Professional record credibility</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Canonical facts, sources, provenance, audience preview, approved publication</w:t>
            </w:r>
          </w:p>
        </w:tc>
        <w:tc>
          <w:tcPr>
            <w:tcW w:type="dxa" w:w="27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AI-manufactured identity or vague scores</w:t>
            </w:r>
          </w:p>
        </w:tc>
      </w:tr>
    </w:tbl>
    <w:p>
      <w:pPr>
        <w:spacing w:after="20"/>
      </w:pPr>
    </w:p>
    <w:p>
      <w:pPr>
        <w:pStyle w:val="Heading2"/>
      </w:pPr>
      <w:r>
        <w:t>The one-sentence value test</w:t>
      </w:r>
    </w:p>
    <w:p>
      <w:r>
        <w:rPr>
          <w:rFonts w:ascii="Arial" w:hAnsi="Arial" w:eastAsia="Arial"/>
          <w:i w:val="0"/>
        </w:rPr>
        <w:t>A new product idea should make this promise more true: “Capture it once. Use it when it matters.” If the idea cannot connect to the member’s evolving Slate, cannot deliver useful value, or requires a disconnected island, it should not be a current PeerSlate priority.</w:t>
      </w:r>
    </w:p>
    <w:p>
      <w:pPr>
        <w:pStyle w:val="Heading1"/>
      </w:pPr>
      <w:r>
        <w:t>3. Governing product principles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These principles are the mandatory decision card for product, design, architecture, AI, and delivery.</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Principle</w:t>
            </w:r>
          </w:p>
        </w:tc>
        <w:tc>
          <w:tcPr>
            <w:tcW w:type="dxa" w:w="5688"/>
            <w:shd w:fill="17324D"/>
            <w:tcMar>
              <w:top w:w="90" w:type="dxa"/>
              <w:start w:w="95" w:type="dxa"/>
              <w:bottom w:w="90" w:type="dxa"/>
              <w:end w:w="95" w:type="dxa"/>
            </w:tcMar>
          </w:tcPr>
          <w:p>
            <w:pPr>
              <w:jc w:val="left"/>
            </w:pPr>
            <w:r>
              <w:rPr>
                <w:rFonts w:ascii="Arial" w:hAnsi="Arial" w:eastAsia="Arial"/>
                <w:b/>
                <w:color w:val="FFFFFF"/>
                <w:sz w:val="14"/>
              </w:rPr>
              <w:t>Decision rule</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benefit before engagement</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working professional is the primary beneficiary. Downstream employer or recruiter value may never distort the owner experience.</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PS-P-002</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Private before public</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Reflection, capture, source material, AI drafts, and member intelligence begin private unless the member deliberately chooses otherwise.</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PS-P-003</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once, connect many times</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source record should power multiple approved views without creating conflicting copies.</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PS-P-004</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member remains the authority</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member controls truth, correction, interpretation, visibility, publication, retention, export, and deletion.</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PS-P-005</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AI is inspectable and humble</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AI interpretations show sources, uncertainty, lifecycle, and correction actions; they are never presented as facts about the person.</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PS-P-006</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Reveal depth progressively</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Orient in five seconds, explain in 30 seconds, and permit deeper exploration without forcing it.</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PS-P-007</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Mobile is the front door; desktop is the workshop</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Both are first-class, but each composes the experience for its context rather than shrinking or stretching one layout.</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PS-P-008</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Professional does not mean impersonal</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product may show humanity, context, learning, voice, and personality while preserving credibility and audience control.</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PS-P-009</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Connection without an engagement casino</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finite feeds, meaningful responses, deliberate sharing, and quiet return value—not streaks, trends, vanity counts, or infinite scroll.</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PS-P-010</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Deterministic software owns trust decisions</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Application code—not AI—controls identity, authorization, state, publication, deletion, retention, exports, schemas, and release gates.</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PS-P-011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Status must be honest</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Prototype, fixture, queued, processing, available, failed, complete, published, and deleted states must never be visually or verbally confused.</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PS-P-012</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Accessibility is service</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Every essential flow must work through accessible text, keyboard, mobile, zoom, reduced-motion, screen-reader, and error-recovery paths.</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PS-P-013</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No job marketplace</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PeerSlate will not host job posts, sponsored-job surfaces, application-volume incentives, or a job-recommendation feed.</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PS-P-014</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Every feature strengthens the connected system</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feature must create, update, interpret, project, or activate canonical Slate information and must not become an isolated destination.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FEATURE AUTHORIZATION RULE</w:t>
            </w:r>
          </w:p>
          <w:p>
            <w:pPr>
              <w:spacing w:after="0" w:line="250" w:lineRule="auto"/>
            </w:pPr>
            <w:r>
              <w:rPr>
                <w:rFonts w:ascii="Arial" w:hAnsi="Arial" w:eastAsia="Arial"/>
                <w:color w:val="111827"/>
                <w:sz w:val="18"/>
              </w:rPr>
              <w:t>Every initiative brief must cite the governing principle IDs, explain how the design satisfies them, and name any tension or exception requiring an explicit decision.</w:t>
            </w:r>
          </w:p>
        </w:tc>
      </w:tr>
    </w:tbl>
    <w:p>
      <w:pPr>
        <w:spacing w:after="0"/>
      </w:pPr>
    </w:p>
    <w:p>
      <w:pPr>
        <w:pStyle w:val="Heading1"/>
      </w:pPr>
      <w:r>
        <w:t>4. Product boundaries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what PeerSlate may become and what it must refuse.</w:t>
            </w:r>
          </w:p>
        </w:tc>
      </w:tr>
    </w:tbl>
    <w:p>
      <w:pPr>
        <w:spacing w:after="0"/>
      </w:pPr>
    </w:p>
    <w:p>
      <w:pPr>
        <w:pStyle w:val="Heading2"/>
      </w:pPr>
      <w:r>
        <w:t>PeerSlate is</w:t>
      </w:r>
    </w:p>
    <w:p>
      <w:pPr>
        <w:pStyle w:val="ListBullet"/>
        <w:spacing w:after="50" w:line="247" w:lineRule="auto"/>
      </w:pPr>
      <w:r>
        <w:rPr>
          <w:rFonts w:ascii="Arial" w:hAnsi="Arial" w:eastAsia="Arial"/>
        </w:rPr>
        <w:t>A private-first professional memory, growth, preparation, and expression system.</w:t>
      </w:r>
    </w:p>
    <w:p>
      <w:pPr>
        <w:pStyle w:val="ListBullet"/>
        <w:spacing w:after="50" w:line="247" w:lineRule="auto"/>
      </w:pPr>
      <w:r>
        <w:rPr>
          <w:rFonts w:ascii="Arial" w:hAnsi="Arial" w:eastAsia="Arial"/>
        </w:rPr>
        <w:t>One connected Slate with multiple intentional views for the owner, selected people, connections, authenticated members, and the public.</w:t>
      </w:r>
    </w:p>
    <w:p>
      <w:pPr>
        <w:pStyle w:val="ListBullet"/>
        <w:spacing w:after="50" w:line="247" w:lineRule="auto"/>
      </w:pPr>
      <w:r>
        <w:rPr>
          <w:rFonts w:ascii="Arial" w:hAnsi="Arial" w:eastAsia="Arial"/>
        </w:rPr>
        <w:t>A place where original human language, structured records, sources, media, relationships, interpretations, and outcomes can coexist.</w:t>
      </w:r>
    </w:p>
    <w:p>
      <w:pPr>
        <w:pStyle w:val="ListBullet"/>
        <w:spacing w:after="50" w:line="247" w:lineRule="auto"/>
      </w:pPr>
      <w:r>
        <w:rPr>
          <w:rFonts w:ascii="Arial" w:hAnsi="Arial" w:eastAsia="Arial"/>
        </w:rPr>
        <w:t>A product that returns value immediately after capture and more deeply over time.</w:t>
      </w:r>
    </w:p>
    <w:p>
      <w:pPr>
        <w:pStyle w:val="ListBullet"/>
        <w:spacing w:after="50" w:line="247" w:lineRule="auto"/>
      </w:pPr>
      <w:r>
        <w:rPr>
          <w:rFonts w:ascii="Arial" w:hAnsi="Arial" w:eastAsia="Arial"/>
        </w:rPr>
        <w:t>An AI-enabled product in which deterministic controls protect identity, privacy, publication, correction, and deletion.</w:t>
      </w:r>
    </w:p>
    <w:p>
      <w:pPr>
        <w:pStyle w:val="Heading2"/>
      </w:pPr>
      <w:r>
        <w:t>PeerSlate is not</w:t>
      </w:r>
    </w:p>
    <w:p>
      <w:pPr>
        <w:pStyle w:val="ListBullet"/>
        <w:spacing w:after="50" w:line="247" w:lineRule="auto"/>
      </w:pPr>
      <w:r>
        <w:rPr>
          <w:rFonts w:ascii="Arial" w:hAnsi="Arial" w:eastAsia="Arial"/>
        </w:rPr>
        <w:t>Not a conventional résumé builder, although it may create purpose-specific résumé exports from confirmed records.</w:t>
      </w:r>
    </w:p>
    <w:p>
      <w:pPr>
        <w:pStyle w:val="ListBullet"/>
        <w:spacing w:after="50" w:line="247" w:lineRule="auto"/>
      </w:pPr>
      <w:r>
        <w:rPr>
          <w:rFonts w:ascii="Arial" w:hAnsi="Arial" w:eastAsia="Arial"/>
        </w:rPr>
        <w:t>Not a generic professional social feed, a public-by-default diary, or a collection of decorative activity modules.</w:t>
      </w:r>
    </w:p>
    <w:p>
      <w:pPr>
        <w:pStyle w:val="ListBullet"/>
        <w:spacing w:after="50" w:line="247" w:lineRule="auto"/>
      </w:pPr>
      <w:r>
        <w:rPr>
          <w:rFonts w:ascii="Arial" w:hAnsi="Arial" w:eastAsia="Arial"/>
        </w:rPr>
        <w:t>Not a job board, sponsored-job surface, application funnel, or recruiter-first marketplace.</w:t>
      </w:r>
    </w:p>
    <w:p>
      <w:pPr>
        <w:pStyle w:val="ListBullet"/>
        <w:spacing w:after="50" w:line="247" w:lineRule="auto"/>
      </w:pPr>
      <w:r>
        <w:rPr>
          <w:rFonts w:ascii="Arial" w:hAnsi="Arial" w:eastAsia="Arial"/>
        </w:rPr>
        <w:t>Not a set of disconnected AI chatbots or a branded bot placed on every page.</w:t>
      </w:r>
    </w:p>
    <w:p>
      <w:pPr>
        <w:pStyle w:val="ListBullet"/>
        <w:spacing w:after="50" w:line="247" w:lineRule="auto"/>
      </w:pPr>
      <w:r>
        <w:rPr>
          <w:rFonts w:ascii="Arial" w:hAnsi="Arial" w:eastAsia="Arial"/>
        </w:rPr>
        <w:t>Not a system that invents a stronger version of the member’s experience or reduces a person to an opaque score.</w:t>
      </w:r>
    </w:p>
    <w:p>
      <w:pPr>
        <w:pStyle w:val="ListBullet"/>
        <w:spacing w:after="50" w:line="247" w:lineRule="auto"/>
      </w:pPr>
      <w:r>
        <w:rPr>
          <w:rFonts w:ascii="Arial" w:hAnsi="Arial" w:eastAsia="Arial"/>
        </w:rPr>
        <w:t>Not a product that calls fixtures, browser-only simulations, queued jobs, or unverified AI outputs “complete.”</w:t>
      </w:r>
    </w:p>
    <w:p>
      <w:pPr>
        <w:pStyle w:val="Heading2"/>
      </w:pPr>
      <w:r>
        <w:t>Scope-control questions</w:t>
      </w:r>
    </w:p>
    <w:p>
      <w:pPr>
        <w:pStyle w:val="ListBullet"/>
        <w:spacing w:after="50" w:line="247" w:lineRule="auto"/>
      </w:pPr>
      <w:r>
        <w:rPr>
          <w:rFonts w:ascii="Arial" w:hAnsi="Arial" w:eastAsia="Arial"/>
        </w:rPr>
        <w:t>Which real member problem or professional moment does this solve?</w:t>
      </w:r>
    </w:p>
    <w:p>
      <w:pPr>
        <w:pStyle w:val="ListBullet"/>
        <w:spacing w:after="50" w:line="247" w:lineRule="auto"/>
      </w:pPr>
      <w:r>
        <w:rPr>
          <w:rFonts w:ascii="Arial" w:hAnsi="Arial" w:eastAsia="Arial"/>
        </w:rPr>
        <w:t>Why would an employed professional use it now and return to it later?</w:t>
      </w:r>
    </w:p>
    <w:p>
      <w:pPr>
        <w:pStyle w:val="ListBullet"/>
        <w:spacing w:after="50" w:line="247" w:lineRule="auto"/>
      </w:pPr>
      <w:r>
        <w:rPr>
          <w:rFonts w:ascii="Arial" w:hAnsi="Arial" w:eastAsia="Arial"/>
        </w:rPr>
        <w:t>Which canonical object does it create, update, interpret, project, or activate?</w:t>
      </w:r>
    </w:p>
    <w:p>
      <w:pPr>
        <w:pStyle w:val="ListBullet"/>
        <w:spacing w:after="50" w:line="247" w:lineRule="auto"/>
      </w:pPr>
      <w:r>
        <w:rPr>
          <w:rFonts w:ascii="Arial" w:hAnsi="Arial" w:eastAsia="Arial"/>
        </w:rPr>
        <w:t>Can it strengthen Home, Capture, Journal, Slate, Work, Story, Studio, or Settings instead of adding another top-level destination?</w:t>
      </w:r>
    </w:p>
    <w:p>
      <w:pPr>
        <w:pStyle w:val="ListBullet"/>
        <w:spacing w:after="50" w:line="247" w:lineRule="auto"/>
      </w:pPr>
      <w:r>
        <w:rPr>
          <w:rFonts w:ascii="Arial" w:hAnsi="Arial" w:eastAsia="Arial"/>
        </w:rPr>
        <w:t>What must be removed or postponed to make room for it?</w:t>
      </w:r>
    </w:p>
    <w:p>
      <w:pPr>
        <w:pStyle w:val="ListBullet"/>
        <w:spacing w:after="50" w:line="247" w:lineRule="auto"/>
      </w:pPr>
      <w:r>
        <w:rPr>
          <w:rFonts w:ascii="Arial" w:hAnsi="Arial" w:eastAsia="Arial"/>
        </w:rPr>
        <w:t>Can Pete and Danielle test the complete behavior with separate accounts and real data?</w:t>
      </w:r>
    </w:p>
    <w:p>
      <w:pPr>
        <w:pStyle w:val="Heading1"/>
      </w:pPr>
      <w:r>
        <w:t>5. One connected Slate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 connected object model and create-once/place-many rule are constitutional.</w:t>
            </w:r>
          </w:p>
        </w:tc>
      </w:tr>
    </w:tbl>
    <w:p>
      <w:pPr>
        <w:spacing w:after="0"/>
      </w:pPr>
    </w:p>
    <w:p>
      <w:r>
        <w:rPr>
          <w:rFonts w:ascii="Arial" w:hAnsi="Arial" w:eastAsia="Arial"/>
          <w:i w:val="0"/>
        </w:rPr>
        <w:t>PeerSlate is one connected personal system, not a collection of pages. Capture, Journal, Story, Work, Projects, Goals, Skills in Practice, Studio, Résumé, connections, and public expression are different uses and projections of a person’s canonical Slate.</w:t>
      </w:r>
    </w:p>
    <w:p>
      <w:pPr>
        <w:keepNext/>
        <w:jc w:val="center"/>
      </w:pPr>
      <w:r>
        <w:drawing>
          <wp:inline xmlns:a="http://schemas.openxmlformats.org/drawingml/2006/main" xmlns:pic="http://schemas.openxmlformats.org/drawingml/2006/picture">
            <wp:extent cx="6217920" cy="3799840"/>
            <wp:docPr id="1" name="Picture 1" descr="PeerSlate connected Slate model: one canonical member record supports private Journal, professional work, relationships, and public or permissioned projections." title="PeerSlate diagram 1"/>
            <wp:cNvGraphicFramePr>
              <a:graphicFrameLocks noChangeAspect="1"/>
            </wp:cNvGraphicFramePr>
            <a:graphic>
              <a:graphicData uri="http://schemas.openxmlformats.org/drawingml/2006/picture">
                <pic:pic>
                  <pic:nvPicPr>
                    <pic:cNvPr id="0" name="image1-31.png"/>
                    <pic:cNvPicPr/>
                  </pic:nvPicPr>
                  <pic:blipFill>
                    <a:blip r:embed="rId12"/>
                    <a:stretch>
                      <a:fillRect/>
                    </a:stretch>
                  </pic:blipFill>
                  <pic:spPr>
                    <a:xfrm>
                      <a:off x="0" y="0"/>
                      <a:ext cx="6217920" cy="3799840"/>
                    </a:xfrm>
                    <a:prstGeom prst="rect"/>
                  </pic:spPr>
                </pic:pic>
              </a:graphicData>
            </a:graphic>
          </wp:inline>
        </w:drawing>
      </w:r>
    </w:p>
    <w:p>
      <w:pPr>
        <w:pStyle w:val="SmallNote"/>
        <w:jc w:val="center"/>
      </w:pPr>
      <w:r>
        <w:rPr>
          <w:rFonts w:ascii="Arial" w:hAnsi="Arial" w:eastAsia="Arial"/>
          <w:i/>
          <w:color w:val="36566F"/>
          <w:sz w:val="15"/>
        </w:rPr>
        <w:t>Preserved v1.5.1 system model: one connected living profile rather than disconnected feature islands.</w:t>
      </w:r>
    </w:p>
    <w:p>
      <w:pPr>
        <w:pStyle w:val="Heading2"/>
      </w:pPr>
      <w:r>
        <w:t>Canonical information layers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24D"/>
            <w:tcMar>
              <w:top w:w="90" w:type="dxa"/>
              <w:start w:w="95" w:type="dxa"/>
              <w:bottom w:w="90" w:type="dxa"/>
              <w:end w:w="95" w:type="dxa"/>
            </w:tcMar>
          </w:tcPr>
          <w:p>
            <w:pPr>
              <w:jc w:val="left"/>
            </w:pPr>
            <w:r>
              <w:rPr>
                <w:rFonts w:ascii="Arial" w:hAnsi="Arial" w:eastAsia="Arial"/>
                <w:b/>
                <w:color w:val="FFFFFF"/>
                <w:sz w:val="14"/>
              </w:rPr>
              <w:t>Layer</w:t>
            </w:r>
          </w:p>
        </w:tc>
        <w:tc>
          <w:tcPr>
            <w:tcW w:type="dxa" w:w="2880"/>
            <w:shd w:fill="17324D"/>
            <w:tcMar>
              <w:top w:w="90" w:type="dxa"/>
              <w:start w:w="95" w:type="dxa"/>
              <w:bottom w:w="90" w:type="dxa"/>
              <w:end w:w="95" w:type="dxa"/>
            </w:tcMar>
          </w:tcPr>
          <w:p>
            <w:pPr>
              <w:jc w:val="left"/>
            </w:pPr>
            <w:r>
              <w:rPr>
                <w:rFonts w:ascii="Arial" w:hAnsi="Arial" w:eastAsia="Arial"/>
                <w:b/>
                <w:color w:val="FFFFFF"/>
                <w:sz w:val="14"/>
              </w:rPr>
              <w:t>Purpose</w:t>
            </w:r>
          </w:p>
        </w:tc>
        <w:tc>
          <w:tcPr>
            <w:tcW w:type="dxa" w:w="3672"/>
            <w:shd w:fill="17324D"/>
            <w:tcMar>
              <w:top w:w="90" w:type="dxa"/>
              <w:start w:w="95" w:type="dxa"/>
              <w:bottom w:w="90" w:type="dxa"/>
              <w:end w:w="95" w:type="dxa"/>
            </w:tcMar>
          </w:tcPr>
          <w:p>
            <w:pPr>
              <w:jc w:val="left"/>
            </w:pPr>
            <w:r>
              <w:rPr>
                <w:rFonts w:ascii="Arial" w:hAnsi="Arial" w:eastAsia="Arial"/>
                <w:b/>
                <w:color w:val="FFFFFF"/>
                <w:sz w:val="14"/>
              </w:rPr>
              <w:t>Examples</w:t>
            </w:r>
          </w:p>
        </w:tc>
        <w:tc>
          <w:tcPr>
            <w:tcW w:type="dxa" w:w="1944"/>
            <w:shd w:fill="17324D"/>
            <w:tcMar>
              <w:top w:w="90" w:type="dxa"/>
              <w:start w:w="95" w:type="dxa"/>
              <w:bottom w:w="90" w:type="dxa"/>
              <w:end w:w="95" w:type="dxa"/>
            </w:tcMar>
          </w:tcPr>
          <w:p>
            <w:pPr>
              <w:jc w:val="left"/>
            </w:pPr>
            <w:r>
              <w:rPr>
                <w:rFonts w:ascii="Arial" w:hAnsi="Arial" w:eastAsia="Arial"/>
                <w:b/>
                <w:color w:val="FFFFFF"/>
                <w:sz w:val="14"/>
              </w:rPr>
              <w:t>Authority</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Original capture</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Preserve what the member actually said, typed, uploaded, photographed, or imported</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Transcript, note, file, image, audio, import payload</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Member-owned source</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Canonical record</w:t>
            </w:r>
          </w:p>
        </w:tc>
        <w:tc>
          <w:tcPr>
            <w:tcW w:type="dxa" w:w="288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Store confirmed facts and structured relationships once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Moment, Journal entry, role, project, outcome, skill, goal, source link, audience</w:t>
            </w:r>
          </w:p>
        </w:tc>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Member-confirmed truth</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Interpretation</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Offer reviewable meaning without overwriting truth</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Pattern, theme, possible strength, missing context, suggested next action</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AI proposal</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Projection</w:t>
            </w:r>
          </w:p>
        </w:tc>
        <w:tc>
          <w:tcPr>
            <w:tcW w:type="dxa" w:w="288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Present selected canonical information for a purpose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Story, Work view, public Slate, résumé export, Feed post, manager brief</w:t>
            </w:r>
          </w:p>
        </w:tc>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Member-approved view</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Activation and outcome</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 insight to useful action and learn from what happened</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This Moment, rehearsal, follow-up, correction, outcome closure</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Member-directed action</w:t>
            </w:r>
          </w:p>
        </w:tc>
      </w:tr>
    </w:tbl>
    <w:p>
      <w:pPr>
        <w:spacing w:after="20"/>
      </w:pPr>
    </w:p>
    <w:p>
      <w:pPr>
        <w:pStyle w:val="Heading2"/>
      </w:pPr>
      <w:r>
        <w:t>Create once, place many</w:t>
      </w:r>
    </w:p>
    <w:p>
      <w:r>
        <w:rPr>
          <w:rFonts w:ascii="Arial" w:hAnsi="Arial" w:eastAsia="Arial"/>
          <w:i w:val="0"/>
        </w:rPr>
        <w:t>A member should not rewrite the same experience for Journal, Story, Work, a résumé, an interview answer, and a public post. The system preserves one source-linked canonical record and lets the member deliberately project it into different views. A projection may have purpose-specific wording, but it must remain traceable to the canonical record and cannot silently fork the facts.</w:t>
      </w:r>
    </w:p>
    <w:p>
      <w:pPr>
        <w:pStyle w:val="Heading2"/>
      </w:pPr>
      <w:r>
        <w:t>Canonical objects</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Moment</w:t>
            </w:r>
          </w:p>
          <w:p>
            <w:pPr>
              <w:spacing w:after="0" w:line="245" w:lineRule="auto"/>
            </w:pPr>
            <w:r>
              <w:rPr>
                <w:rFonts w:ascii="Arial" w:hAnsi="Arial" w:eastAsia="Arial"/>
                <w:color w:val="111827"/>
                <w:sz w:val="16"/>
              </w:rPr>
              <w:t>A source-linked event, observation, decision, lesson, win, setback, question, or update captured in the member’s language.</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Journal entry</w:t>
            </w:r>
          </w:p>
          <w:p>
            <w:pPr>
              <w:spacing w:after="0" w:line="245" w:lineRule="auto"/>
            </w:pPr>
            <w:r>
              <w:rPr>
                <w:rFonts w:ascii="Arial" w:hAnsi="Arial" w:eastAsia="Arial"/>
                <w:color w:val="111827"/>
                <w:sz w:val="16"/>
              </w:rPr>
              <w:t>The private-first home for a reviewed Moment and its context, relationships, media, audience, and status.</w:t>
            </w:r>
          </w:p>
        </w:tc>
      </w:tr>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Source</w:t>
            </w:r>
          </w:p>
          <w:p>
            <w:pPr>
              <w:spacing w:after="0" w:line="245" w:lineRule="auto"/>
            </w:pPr>
            <w:r>
              <w:rPr>
                <w:rFonts w:ascii="Arial" w:hAnsi="Arial" w:eastAsia="Arial"/>
                <w:color w:val="111827"/>
                <w:sz w:val="16"/>
              </w:rPr>
              <w:t>A file, photo, transcript, imported record, link, or other provenance object supporting the member’s record.</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Project / Work item</w:t>
            </w:r>
          </w:p>
          <w:p>
            <w:pPr>
              <w:spacing w:after="0" w:line="245" w:lineRule="auto"/>
            </w:pPr>
            <w:r>
              <w:rPr>
                <w:rFonts w:ascii="Arial" w:hAnsi="Arial" w:eastAsia="Arial"/>
                <w:color w:val="111827"/>
                <w:sz w:val="16"/>
              </w:rPr>
              <w:t>A durable container connecting roles, contributions, decisions, outcomes, people, media, and related Moments.</w:t>
            </w:r>
          </w:p>
        </w:tc>
      </w:tr>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Story selection</w:t>
            </w:r>
          </w:p>
          <w:p>
            <w:pPr>
              <w:spacing w:after="0" w:line="245" w:lineRule="auto"/>
            </w:pPr>
            <w:r>
              <w:rPr>
                <w:rFonts w:ascii="Arial" w:hAnsi="Arial" w:eastAsia="Arial"/>
                <w:color w:val="111827"/>
                <w:sz w:val="16"/>
              </w:rPr>
              <w:t>An editorial projection that gives unequal weight to selected years, months, Moments, media, and themes.</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Insight</w:t>
            </w:r>
          </w:p>
          <w:p>
            <w:pPr>
              <w:spacing w:after="0" w:line="245" w:lineRule="auto"/>
            </w:pPr>
            <w:r>
              <w:rPr>
                <w:rFonts w:ascii="Arial" w:hAnsi="Arial" w:eastAsia="Arial"/>
                <w:color w:val="111827"/>
                <w:sz w:val="16"/>
              </w:rPr>
              <w:t>A private, time-bounded, source-linked interpretation with confidence, lifecycle, review, correction, and activation state.</w:t>
            </w:r>
          </w:p>
        </w:tc>
      </w:tr>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Audience grant</w:t>
            </w:r>
          </w:p>
          <w:p>
            <w:pPr>
              <w:spacing w:after="0" w:line="245" w:lineRule="auto"/>
            </w:pPr>
            <w:r>
              <w:rPr>
                <w:rFonts w:ascii="Arial" w:hAnsi="Arial" w:eastAsia="Arial"/>
                <w:color w:val="111827"/>
                <w:sz w:val="16"/>
              </w:rPr>
              <w:t>The explicit rule determining who may retrieve or view a record or projection.</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Outcome</w:t>
            </w:r>
          </w:p>
          <w:p>
            <w:pPr>
              <w:spacing w:after="0" w:line="245" w:lineRule="auto"/>
            </w:pPr>
            <w:r>
              <w:rPr>
                <w:rFonts w:ascii="Arial" w:hAnsi="Arial" w:eastAsia="Arial"/>
                <w:color w:val="111827"/>
                <w:sz w:val="16"/>
              </w:rPr>
              <w:t>What happened after the member used an insight, draft, preparation, share, or recommendation.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CANONICAL-TRUTH RULE</w:t>
            </w:r>
          </w:p>
          <w:p>
            <w:pPr>
              <w:spacing w:after="0" w:line="250" w:lineRule="auto"/>
            </w:pPr>
            <w:r>
              <w:rPr>
                <w:rFonts w:ascii="Arial" w:hAnsi="Arial" w:eastAsia="Arial"/>
                <w:color w:val="111827"/>
                <w:sz w:val="18"/>
              </w:rPr>
              <w:t>AI interpretations, résumé language, public Story copy, Feed copy, and Studio outputs may never overwrite confirmed facts, source material, dates, accomplishments, identity, ownership, audience, or publication state.</w:t>
            </w:r>
          </w:p>
        </w:tc>
      </w:tr>
    </w:tbl>
    <w:p>
      <w:pPr>
        <w:spacing w:after="0"/>
      </w:pPr>
    </w:p>
    <w:p>
      <w:pPr>
        <w:pStyle w:val="Heading1"/>
      </w:pPr>
      <w:r>
        <w:t>6. Experience model and information architecture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durable experience modes and information-architecture rules. Exact layouts belong in the Experience System.</w:t>
            </w:r>
          </w:p>
        </w:tc>
      </w:tr>
    </w:tbl>
    <w:p>
      <w:pPr>
        <w:spacing w:after="0"/>
      </w:pPr>
    </w:p>
    <w:p>
      <w:pPr>
        <w:pStyle w:val="Heading2"/>
      </w:pPr>
      <w:r>
        <w:t>The attention ladder</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Five seconds — orientation</w:t>
            </w:r>
          </w:p>
          <w:p>
            <w:pPr>
              <w:spacing w:after="0" w:line="245" w:lineRule="auto"/>
            </w:pPr>
            <w:r>
              <w:rPr>
                <w:rFonts w:ascii="Arial" w:hAnsi="Arial" w:eastAsia="Arial"/>
                <w:color w:val="111827"/>
                <w:sz w:val="16"/>
              </w:rPr>
              <w:t>The member understands whose space this is, what PeerSlate is for, what is private, and the most important next action.</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Thirty seconds — understanding</w:t>
            </w:r>
          </w:p>
          <w:p>
            <w:pPr>
              <w:spacing w:after="0" w:line="245" w:lineRule="auto"/>
            </w:pPr>
            <w:r>
              <w:rPr>
                <w:rFonts w:ascii="Arial" w:hAnsi="Arial" w:eastAsia="Arial"/>
                <w:color w:val="111827"/>
                <w:sz w:val="16"/>
              </w:rPr>
              <w:t>The member sees what happened, what PeerSlate noticed, why it matters, and what can be done next.</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Three minutes or more — depth</w:t>
            </w:r>
          </w:p>
          <w:p>
            <w:pPr>
              <w:spacing w:after="0" w:line="245" w:lineRule="auto"/>
            </w:pPr>
            <w:r>
              <w:rPr>
                <w:rFonts w:ascii="Arial" w:hAnsi="Arial" w:eastAsia="Arial"/>
                <w:color w:val="111827"/>
                <w:sz w:val="16"/>
              </w:rPr>
              <w:t>The member can inspect sources, relationships, history, media, edits, privacy, and supporting context.</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Never force depth</w:t>
            </w:r>
          </w:p>
          <w:p>
            <w:pPr>
              <w:spacing w:after="0" w:line="245" w:lineRule="auto"/>
            </w:pPr>
            <w:r>
              <w:rPr>
                <w:rFonts w:ascii="Arial" w:hAnsi="Arial" w:eastAsia="Arial"/>
                <w:color w:val="111827"/>
                <w:sz w:val="16"/>
              </w:rPr>
              <w:t>The product must remain useful at the shallow layer and reward—not require—deeper exploration.</w:t>
            </w:r>
          </w:p>
        </w:tc>
      </w:tr>
    </w:tbl>
    <w:p>
      <w:pPr>
        <w:spacing w:after="20"/>
      </w:pPr>
    </w:p>
    <w:p>
      <w:pPr>
        <w:pStyle w:val="Heading2"/>
      </w:pPr>
      <w:r>
        <w:t>Two unmistakable modes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24D"/>
            <w:tcMar>
              <w:top w:w="90" w:type="dxa"/>
              <w:start w:w="95" w:type="dxa"/>
              <w:bottom w:w="90" w:type="dxa"/>
              <w:end w:w="95" w:type="dxa"/>
            </w:tcMar>
          </w:tcPr>
          <w:p>
            <w:pPr>
              <w:jc w:val="left"/>
            </w:pPr>
            <w:r>
              <w:rPr>
                <w:rFonts w:ascii="Arial" w:hAnsi="Arial" w:eastAsia="Arial"/>
                <w:b/>
                <w:color w:val="FFFFFF"/>
                <w:sz w:val="14"/>
              </w:rPr>
              <w:t>Mode</w:t>
            </w:r>
          </w:p>
        </w:tc>
        <w:tc>
          <w:tcPr>
            <w:tcW w:type="dxa" w:w="3456"/>
            <w:shd w:fill="17324D"/>
            <w:tcMar>
              <w:top w:w="90" w:type="dxa"/>
              <w:start w:w="95" w:type="dxa"/>
              <w:bottom w:w="90" w:type="dxa"/>
              <w:end w:w="95" w:type="dxa"/>
            </w:tcMar>
          </w:tcPr>
          <w:p>
            <w:pPr>
              <w:jc w:val="left"/>
            </w:pPr>
            <w:r>
              <w:rPr>
                <w:rFonts w:ascii="Arial" w:hAnsi="Arial" w:eastAsia="Arial"/>
                <w:b/>
                <w:color w:val="FFFFFF"/>
                <w:sz w:val="14"/>
              </w:rPr>
              <w:t>Primary purpose</w:t>
            </w:r>
          </w:p>
        </w:tc>
        <w:tc>
          <w:tcPr>
            <w:tcW w:type="dxa" w:w="2880"/>
            <w:shd w:fill="17324D"/>
            <w:tcMar>
              <w:top w:w="90" w:type="dxa"/>
              <w:start w:w="95" w:type="dxa"/>
              <w:bottom w:w="90" w:type="dxa"/>
              <w:end w:w="95" w:type="dxa"/>
            </w:tcMar>
          </w:tcPr>
          <w:p>
            <w:pPr>
              <w:jc w:val="left"/>
            </w:pPr>
            <w:r>
              <w:rPr>
                <w:rFonts w:ascii="Arial" w:hAnsi="Arial" w:eastAsia="Arial"/>
                <w:b/>
                <w:color w:val="FFFFFF"/>
                <w:sz w:val="14"/>
              </w:rPr>
              <w:t>Primary surfaces</w:t>
            </w:r>
          </w:p>
        </w:tc>
        <w:tc>
          <w:tcPr>
            <w:tcW w:type="dxa" w:w="1944"/>
            <w:shd w:fill="17324D"/>
            <w:tcMar>
              <w:top w:w="90" w:type="dxa"/>
              <w:start w:w="95" w:type="dxa"/>
              <w:bottom w:w="90" w:type="dxa"/>
              <w:end w:w="95" w:type="dxa"/>
            </w:tcMar>
          </w:tcPr>
          <w:p>
            <w:pPr>
              <w:jc w:val="left"/>
            </w:pPr>
            <w:r>
              <w:rPr>
                <w:rFonts w:ascii="Arial" w:hAnsi="Arial" w:eastAsia="Arial"/>
                <w:b/>
                <w:color w:val="FFFFFF"/>
                <w:sz w:val="14"/>
              </w:rPr>
              <w:t>Never show</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 workspace</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understand, organize, prepare, control, correct, and decide</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Home, Capture, Journal, My Slate preview, Studio, Settings</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Another member’s private data; ambiguous publication; fake completion</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Public or permissioned Slate</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Let an approved viewer understand selected work, story, progress, and approved answers</w:t>
            </w:r>
          </w:p>
        </w:tc>
        <w:tc>
          <w:tcPr>
            <w:tcW w:type="dxa" w:w="288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Journal, Story, Work, Slate, selected media, approved AI</w:t>
            </w:r>
          </w:p>
        </w:tc>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Owner editing controls; raw captures; private drafts; private insights; source files without permission</w:t>
            </w:r>
          </w:p>
        </w:tc>
      </w:tr>
    </w:tbl>
    <w:p>
      <w:pPr>
        <w:spacing w:after="20"/>
      </w:pPr>
    </w:p>
    <w:p>
      <w:pPr>
        <w:pStyle w:val="Heading2"/>
      </w:pPr>
      <w:r>
        <w:t>Mobile is the front door; desktop is the workshop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40"/>
            <w:shd w:fill="17324D"/>
            <w:tcMar>
              <w:top w:w="90" w:type="dxa"/>
              <w:start w:w="95" w:type="dxa"/>
              <w:bottom w:w="90" w:type="dxa"/>
              <w:end w:w="95" w:type="dxa"/>
            </w:tcMar>
          </w:tcPr>
          <w:p>
            <w:pPr>
              <w:jc w:val="left"/>
            </w:pPr>
            <w:r>
              <w:rPr>
                <w:rFonts w:ascii="Arial" w:hAnsi="Arial" w:eastAsia="Arial"/>
                <w:b/>
                <w:color w:val="FFFFFF"/>
                <w:sz w:val="15"/>
              </w:rPr>
              <w:t>Mobile front door</w:t>
            </w:r>
          </w:p>
        </w:tc>
        <w:tc>
          <w:tcPr>
            <w:tcW w:type="dxa" w:w="5040"/>
            <w:shd w:fill="17324D"/>
            <w:tcMar>
              <w:top w:w="90" w:type="dxa"/>
              <w:start w:w="95" w:type="dxa"/>
              <w:bottom w:w="90" w:type="dxa"/>
              <w:end w:w="95" w:type="dxa"/>
            </w:tcMar>
          </w:tcPr>
          <w:p>
            <w:pPr>
              <w:jc w:val="left"/>
            </w:pPr>
            <w:r>
              <w:rPr>
                <w:rFonts w:ascii="Arial" w:hAnsi="Arial" w:eastAsia="Arial"/>
                <w:b/>
                <w:color w:val="FFFFFF"/>
                <w:sz w:val="15"/>
              </w:rPr>
              <w:t>Desktop workshop</w:t>
            </w:r>
          </w:p>
        </w:tc>
      </w:tr>
      <w:tr>
        <w:trPr>
          <w:cantSplit/>
        </w:trPr>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Immediate Capture, one-handed review, finite Home, return value, privacy clarity, voice/text parity, list-first navigation</w:t>
            </w:r>
          </w:p>
        </w:tc>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Deep editing, Story curation, project relationships, media management, exports, Studio work, comparison and planning</w:t>
            </w:r>
          </w:p>
        </w:tc>
      </w:tr>
      <w:tr>
        <w:trPr>
          <w:cantSplit/>
        </w:trPr>
        <w:tc>
          <w:tcPr>
            <w:tcW w:type="dxa" w:w="504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Recompose content into short, decisive states; do not simply shrink the desktop page</w:t>
            </w:r>
          </w:p>
        </w:tc>
        <w:tc>
          <w:tcPr>
            <w:tcW w:type="dxa" w:w="504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Use space to reveal relationships and depth without recreating simultaneous overload</w:t>
            </w:r>
          </w:p>
        </w:tc>
      </w:tr>
      <w:tr>
        <w:trPr>
          <w:cantSplit/>
        </w:trPr>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Bottom navigation: Home · Journal · Capture · Slate · More</w:t>
            </w:r>
          </w:p>
        </w:tc>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Primary navigation follows the same conceptual model; deeper tools may sit inside the relevant domain</w:t>
            </w:r>
          </w:p>
        </w:tc>
      </w:tr>
    </w:tbl>
    <w:p>
      <w:pPr>
        <w:spacing w:after="20"/>
      </w:pPr>
    </w:p>
    <w:p>
      <w:pPr>
        <w:pStyle w:val="Heading2"/>
      </w:pPr>
      <w:r>
        <w:t>Finite Home</w:t>
      </w:r>
    </w:p>
    <w:p>
      <w:r>
        <w:rPr>
          <w:rFonts w:ascii="Arial" w:hAnsi="Arial" w:eastAsia="Arial"/>
          <w:i w:val="0"/>
        </w:rPr>
        <w:t>Home should not become a dashboard of every available feature. It should help the member orient, contribute, receive value, and continue one useful thread. The default Home experience is finite and calm:</w:t>
      </w:r>
    </w:p>
    <w:p>
      <w:pPr>
        <w:pStyle w:val="ListBullet"/>
        <w:spacing w:after="50" w:line="247" w:lineRule="auto"/>
      </w:pPr>
      <w:r>
        <w:rPr>
          <w:rFonts w:ascii="Arial" w:hAnsi="Arial" w:eastAsia="Arial"/>
        </w:rPr>
        <w:t>One obvious Capture action.</w:t>
      </w:r>
    </w:p>
    <w:p>
      <w:pPr>
        <w:pStyle w:val="ListBullet"/>
        <w:spacing w:after="50" w:line="247" w:lineRule="auto"/>
      </w:pPr>
      <w:r>
        <w:rPr>
          <w:rFonts w:ascii="Arial" w:hAnsi="Arial" w:eastAsia="Arial"/>
        </w:rPr>
        <w:t>Drafts or items needing review.</w:t>
      </w:r>
    </w:p>
    <w:p>
      <w:pPr>
        <w:pStyle w:val="ListBullet"/>
        <w:spacing w:after="50" w:line="247" w:lineRule="auto"/>
      </w:pPr>
      <w:r>
        <w:rPr>
          <w:rFonts w:ascii="Arial" w:hAnsi="Arial" w:eastAsia="Arial"/>
        </w:rPr>
        <w:t>One recent Moment and one resurfaced Moment.</w:t>
      </w:r>
    </w:p>
    <w:p>
      <w:pPr>
        <w:pStyle w:val="ListBullet"/>
        <w:spacing w:after="50" w:line="247" w:lineRule="auto"/>
      </w:pPr>
      <w:r>
        <w:rPr>
          <w:rFonts w:ascii="Arial" w:hAnsi="Arial" w:eastAsia="Arial"/>
        </w:rPr>
        <w:t>A concise “What PeerSlate noticed” item when enough evidence exists.</w:t>
      </w:r>
    </w:p>
    <w:p>
      <w:pPr>
        <w:pStyle w:val="ListBullet"/>
        <w:spacing w:after="50" w:line="247" w:lineRule="auto"/>
      </w:pPr>
      <w:r>
        <w:rPr>
          <w:rFonts w:ascii="Arial" w:hAnsi="Arial" w:eastAsia="Arial"/>
        </w:rPr>
        <w:t>One connection update when relevant and permitted.</w:t>
      </w:r>
    </w:p>
    <w:p>
      <w:pPr>
        <w:pStyle w:val="ListBullet"/>
        <w:spacing w:after="50" w:line="247" w:lineRule="auto"/>
      </w:pPr>
      <w:r>
        <w:rPr>
          <w:rFonts w:ascii="Arial" w:hAnsi="Arial" w:eastAsia="Arial"/>
        </w:rPr>
        <w:t>One next step—not a wall of recommendations.</w:t>
      </w:r>
    </w:p>
    <w:p>
      <w:pPr>
        <w:pStyle w:val="Heading2"/>
      </w:pPr>
      <w:r>
        <w:t>Navigation rule</w:t>
      </w: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CONSOLIDATE, DO NOT PROLIFERATE</w:t>
            </w:r>
          </w:p>
          <w:p>
            <w:pPr>
              <w:spacing w:after="0" w:line="250" w:lineRule="auto"/>
            </w:pPr>
            <w:r>
              <w:rPr>
                <w:rFonts w:ascii="Arial" w:hAnsi="Arial" w:eastAsia="Arial"/>
                <w:color w:val="111827"/>
                <w:sz w:val="18"/>
              </w:rPr>
              <w:t>Member intelligence, Capture follow-up, Replay, Moment Lab, Next Chapter, and connected insights should appear inside Home, Capture, Journal, Slate, Work, Story, and Studio. They should not become a new global navigation forest.</w:t>
            </w:r>
          </w:p>
        </w:tc>
      </w:tr>
    </w:tbl>
    <w:p>
      <w:pPr>
        <w:spacing w:after="0"/>
      </w:pPr>
    </w:p>
    <w:p>
      <w:pPr>
        <w:pStyle w:val="Heading2"/>
      </w:pPr>
      <w:r>
        <w:t>The first complete vertical slice</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168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Capture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AI follow-up</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Private draft</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Member review</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Journal</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Optional projection</w:t>
            </w:r>
          </w:p>
        </w:tc>
      </w:tr>
    </w:tbl>
    <w:p>
      <w:pPr>
        <w:spacing w:after="20"/>
      </w:pPr>
    </w:p>
    <w:p>
      <w:r>
        <w:rPr>
          <w:rFonts w:ascii="Arial" w:hAnsi="Arial" w:eastAsia="Arial"/>
          <w:i w:val="0"/>
        </w:rPr>
        <w:t>This slice is the product’s reference architecture and validation path. It must include real authentication, server-derived identity, cross-user isolation, private-by-default storage, original-source preservation, correction, deletion, audience preview, publication, AI failure behavior, mobile behavior, monitoring, and evidence.</w:t>
      </w:r>
    </w:p>
    <w:p>
      <w:pPr>
        <w:pStyle w:val="Heading1"/>
      </w:pPr>
      <w:r>
        <w:t>7. Signature experiences and product ecosystem</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canonical experiences and their relationship. Exact releases and work packages live in the Roadmap.</w:t>
            </w:r>
          </w:p>
        </w:tc>
      </w:tr>
    </w:tbl>
    <w:p>
      <w:pPr>
        <w:spacing w:after="0"/>
      </w:pPr>
    </w:p>
    <w:p>
      <w:pPr>
        <w:pStyle w:val="Heading2"/>
      </w:pPr>
      <w:r>
        <w:t>The experience hierarchy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tcMar>
              <w:top w:w="90" w:type="dxa"/>
              <w:start w:w="95" w:type="dxa"/>
              <w:bottom w:w="90" w:type="dxa"/>
              <w:end w:w="95" w:type="dxa"/>
            </w:tcMar>
          </w:tcPr>
          <w:p>
            <w:pPr>
              <w:jc w:val="left"/>
            </w:pPr>
            <w:r>
              <w:rPr>
                <w:rFonts w:ascii="Arial" w:hAnsi="Arial" w:eastAsia="Arial"/>
                <w:b/>
                <w:color w:val="FFFFFF"/>
                <w:sz w:val="14"/>
              </w:rPr>
              <w:t>Experience</w:t>
            </w:r>
          </w:p>
        </w:tc>
        <w:tc>
          <w:tcPr>
            <w:tcW w:type="dxa" w:w="6192"/>
            <w:shd w:fill="17324D"/>
            <w:tcMar>
              <w:top w:w="90" w:type="dxa"/>
              <w:start w:w="95" w:type="dxa"/>
              <w:bottom w:w="90" w:type="dxa"/>
              <w:end w:w="95" w:type="dxa"/>
            </w:tcMar>
          </w:tcPr>
          <w:p>
            <w:pPr>
              <w:jc w:val="left"/>
            </w:pPr>
            <w:r>
              <w:rPr>
                <w:rFonts w:ascii="Arial" w:hAnsi="Arial" w:eastAsia="Arial"/>
                <w:b/>
                <w:color w:val="FFFFFF"/>
                <w:sz w:val="14"/>
              </w:rPr>
              <w:t>Role in the system</w:t>
            </w:r>
          </w:p>
        </w:tc>
        <w:tc>
          <w:tcPr>
            <w:tcW w:type="dxa" w:w="2088"/>
            <w:shd w:fill="17324D"/>
            <w:tcMar>
              <w:top w:w="90" w:type="dxa"/>
              <w:start w:w="95" w:type="dxa"/>
              <w:bottom w:w="90" w:type="dxa"/>
              <w:end w:w="95" w:type="dxa"/>
            </w:tcMar>
          </w:tcPr>
          <w:p>
            <w:pPr>
              <w:jc w:val="left"/>
            </w:pPr>
            <w:r>
              <w:rPr>
                <w:rFonts w:ascii="Arial" w:hAnsi="Arial" w:eastAsia="Arial"/>
                <w:b/>
                <w:color w:val="FFFFFF"/>
                <w:sz w:val="14"/>
              </w:rPr>
              <w:t>Current position</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Universal Capture</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common entry point for voice, text, photo, file, and imported context</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Foundation</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This Moment</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first functional activation slice: turn one reviewed Moment into a useful next action</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Build before broader intelligence</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What PeerSlate noticed</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primary user-facing surface for source-linked, humble, private interpretations</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Flagship member-intelligence surface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Mirror</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canonical capability that helps the member see patterns across their connected Slate</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Brand-defining capability</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 Replay</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weekly, monthly, or period-based narrative of what moved, what may be missing, and one useful next action</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Signature Slate Mirror experience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Moment Lab</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real history to prepare for manager conversations, difficult feedback, briefings, conflict, technical explanations, and interviews</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Studio expansion after core loop</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Next Chapter</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Map confirmed strengths, transferable experience, genuine gaps, and small experiments without becoming a job board</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Later staged experience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Decision Replay</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Reconstruct important decisions, context, tradeoffs, outcomes, and lessons</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Later</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FitSlate</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evaluation of an externally supplied opportunity against confirmed history, goals, constraints, and direction</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TABLED — no current design/build authorization</w:t>
            </w:r>
          </w:p>
        </w:tc>
      </w:tr>
    </w:tbl>
    <w:p>
      <w:pPr>
        <w:spacing w:after="20"/>
      </w:pPr>
    </w:p>
    <w:p>
      <w:pPr>
        <w:pStyle w:val="Heading2"/>
      </w:pPr>
      <w:r>
        <w:t>Use This Moment</w:t>
      </w:r>
    </w:p>
    <w:p>
      <w:r>
        <w:rPr>
          <w:rFonts w:ascii="Arial" w:hAnsi="Arial" w:eastAsia="Arial"/>
          <w:i w:val="0"/>
        </w:rPr>
        <w:t>After a member reviews a Moment, PeerSlate should show a small number of useful, context-aware actions rather than sending the member into another dashboard. The action must be truthful, reversible, and source-linked.</w:t>
      </w:r>
    </w:p>
    <w:p>
      <w:pPr>
        <w:pStyle w:val="ListBullet"/>
        <w:spacing w:after="50" w:line="247" w:lineRule="auto"/>
      </w:pPr>
      <w:r>
        <w:rPr>
          <w:rFonts w:ascii="Arial" w:hAnsi="Arial" w:eastAsia="Arial"/>
        </w:rPr>
        <w:t>Save privately in Journal.</w:t>
      </w:r>
    </w:p>
    <w:p>
      <w:pPr>
        <w:pStyle w:val="ListBullet"/>
        <w:spacing w:after="50" w:line="247" w:lineRule="auto"/>
      </w:pPr>
      <w:r>
        <w:rPr>
          <w:rFonts w:ascii="Arial" w:hAnsi="Arial" w:eastAsia="Arial"/>
        </w:rPr>
        <w:t>Connect to a Project, role, goal, skill, person, or earlier Moment.</w:t>
      </w:r>
    </w:p>
    <w:p>
      <w:pPr>
        <w:pStyle w:val="ListBullet"/>
        <w:spacing w:after="50" w:line="247" w:lineRule="auto"/>
      </w:pPr>
      <w:r>
        <w:rPr>
          <w:rFonts w:ascii="Arial" w:hAnsi="Arial" w:eastAsia="Arial"/>
        </w:rPr>
        <w:t>Turn it into a manager update, performance-review note, interview example, résumé candidate, Story selection, or deliberate share.</w:t>
      </w:r>
    </w:p>
    <w:p>
      <w:pPr>
        <w:pStyle w:val="ListBullet"/>
        <w:spacing w:after="50" w:line="247" w:lineRule="auto"/>
      </w:pPr>
      <w:r>
        <w:rPr>
          <w:rFonts w:ascii="Arial" w:hAnsi="Arial" w:eastAsia="Arial"/>
        </w:rPr>
        <w:t>Practice explaining it for a specific audience.</w:t>
      </w:r>
    </w:p>
    <w:p>
      <w:pPr>
        <w:pStyle w:val="ListBullet"/>
        <w:spacing w:after="50" w:line="247" w:lineRule="auto"/>
      </w:pPr>
      <w:r>
        <w:rPr>
          <w:rFonts w:ascii="Arial" w:hAnsi="Arial" w:eastAsia="Arial"/>
        </w:rPr>
        <w:t>Leave it private and return later.</w:t>
      </w:r>
    </w:p>
    <w:p>
      <w:pPr>
        <w:pStyle w:val="Heading2"/>
      </w:pPr>
      <w:r>
        <w:t>Slate Mirror and “What PeerSlate noticed”</w:t>
      </w:r>
    </w:p>
    <w:p>
      <w:r>
        <w:rPr>
          <w:rFonts w:ascii="Arial" w:hAnsi="Arial" w:eastAsia="Arial"/>
          <w:i w:val="0"/>
        </w:rPr>
        <w:t>Slate Mirror is the underlying capability; “What PeerSlate noticed” is its primary day-to-day surface. It should reveal useful patterns without declaring an identity, competence, or future as fact. Every item must explain why it appeared, which permitted records support it, how uncertain it is, and what the member can do: confirm, correct, dismiss, mark too personal, inspect, or activate.</w:t>
      </w:r>
    </w:p>
    <w:p>
      <w:pPr>
        <w:pStyle w:val="Heading2"/>
      </w:pPr>
      <w:r>
        <w:t>Slate Replay</w:t>
      </w:r>
    </w:p>
    <w:p>
      <w:r>
        <w:rPr>
          <w:rFonts w:ascii="Arial" w:hAnsi="Arial" w:eastAsia="Arial"/>
          <w:i w:val="0"/>
        </w:rPr>
        <w:t>Replay should turn personal data into a story, not a dashboard. It may summarize a week, month, quarter, year, project, transition, or chosen theme. It should show movement, a few significant Moments, one or two patterns, missing context, and one useful next action—without streak pressure, guilt, public ranking, or false celebration.</w:t>
      </w:r>
    </w:p>
    <w:p>
      <w:pPr>
        <w:pStyle w:val="Heading2"/>
      </w:pPr>
      <w:r>
        <w:t>Moment Lab</w:t>
      </w:r>
    </w:p>
    <w:p>
      <w:r>
        <w:rPr>
          <w:rFonts w:ascii="Arial" w:hAnsi="Arial" w:eastAsia="Arial"/>
          <w:i w:val="0"/>
        </w:rPr>
        <w:t>Moment Lab extends Studio beyond job interviews. The member selects a real situation and the system uses permitted Slate history to help prepare, rehearse, translate technical work for a particular audience, preserve the member’s voice, and improve through feedback. Modes may include manager update, difficult conversation, technical briefing, conflict, promotion case, project retrospective, interview, and “explain this simply.”</w:t>
      </w:r>
    </w:p>
    <w:p>
      <w:pPr>
        <w:pStyle w:val="Heading2"/>
      </w:pPr>
      <w:r>
        <w:t>Next Chapter and Qualification Alignment</w:t>
      </w:r>
    </w:p>
    <w:p>
      <w:r>
        <w:rPr>
          <w:rFonts w:ascii="Arial" w:hAnsi="Arial" w:eastAsia="Arial"/>
          <w:i w:val="0"/>
        </w:rPr>
        <w:t>Next Chapter begins with the member’s confirmed history and chosen direction. It should answer: What do I already have? What transfers? What is genuinely missing? What small real-world experiment could I run next? Qualification Alignment may help compare confirmed experience to a member-supplied role or standard, but it must remain transparent, private-first, and separate from opaque fit scoring.</w:t>
      </w:r>
    </w:p>
    <w:p>
      <w:pPr>
        <w:pStyle w:val="Heading2"/>
      </w:pPr>
      <w:r>
        <w:t>FitSlate</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TABLED — NO CURRENT AUTHORIZATION</w:t>
            </w:r>
          </w:p>
          <w:p>
            <w:pPr>
              <w:spacing w:after="0" w:line="250" w:lineRule="auto"/>
            </w:pPr>
            <w:r>
              <w:rPr>
                <w:rFonts w:ascii="Arial" w:hAnsi="Arial" w:eastAsia="Arial"/>
                <w:color w:val="111827"/>
                <w:sz w:val="18"/>
              </w:rPr>
              <w:t>FitSlate is preserved as a possible future member-first extension of Qualification Alignment, Résumé Creator, Studio, Next Chapter, and Owner AI. It may not receive active design, prototype, architecture, backlog, or release status until the owner foundation, canonical data, authorization, core capture loop, Slate Mirror, and validation evidence are strong enough to support it.</w:t>
            </w:r>
          </w:p>
        </w:tc>
      </w:tr>
    </w:tbl>
    <w:p>
      <w:pPr>
        <w:spacing w:after="0"/>
      </w:pPr>
    </w:p>
    <w:p>
      <w:pPr>
        <w:pStyle w:val="Heading2"/>
      </w:pPr>
      <w:r>
        <w:t>Story as editorial curation</w:t>
      </w:r>
    </w:p>
    <w:p>
      <w:r>
        <w:rPr>
          <w:rFonts w:ascii="Arial" w:hAnsi="Arial" w:eastAsia="Arial"/>
          <w:i w:val="0"/>
        </w:rPr>
        <w:t>Story should not display every Journal entry or imitate a recent-activity feed. It is a member-curated narrative built from the same canonical records, with unequal weight and multiple depths: a one-sentence year, defining Moment, primary highlights, month navigation, progress and outcomes, and optional deeper material.</w:t>
      </w:r>
    </w:p>
    <w:p>
      <w:pPr>
        <w:pStyle w:val="ListBullet"/>
        <w:spacing w:after="50" w:line="247" w:lineRule="auto"/>
      </w:pPr>
      <w:r>
        <w:rPr>
          <w:rFonts w:ascii="Arial" w:hAnsi="Arial" w:eastAsia="Arial"/>
          <w:b/>
        </w:rPr>
        <w:t xml:space="preserve">Story home. </w:t>
      </w:r>
      <w:r>
        <w:rPr>
          <w:rFonts w:ascii="Arial" w:hAnsi="Arial" w:eastAsia="Arial"/>
        </w:rPr>
        <w:t>A concise orientation to the person and selected chapters.</w:t>
      </w:r>
    </w:p>
    <w:p>
      <w:pPr>
        <w:pStyle w:val="ListBullet"/>
        <w:spacing w:after="50" w:line="247" w:lineRule="auto"/>
      </w:pPr>
      <w:r>
        <w:rPr>
          <w:rFonts w:ascii="Arial" w:hAnsi="Arial" w:eastAsia="Arial"/>
          <w:b/>
        </w:rPr>
        <w:t xml:space="preserve">Year view. </w:t>
      </w:r>
      <w:r>
        <w:rPr>
          <w:rFonts w:ascii="Arial" w:hAnsi="Arial" w:eastAsia="Arial"/>
        </w:rPr>
        <w:t>One sentence, defining Moment, primary highlights, month navigator, outcomes, and “more from this year.”</w:t>
      </w:r>
    </w:p>
    <w:p>
      <w:pPr>
        <w:pStyle w:val="ListBullet"/>
        <w:spacing w:after="50" w:line="247" w:lineRule="auto"/>
      </w:pPr>
      <w:r>
        <w:rPr>
          <w:rFonts w:ascii="Arial" w:hAnsi="Arial" w:eastAsia="Arial"/>
          <w:b/>
        </w:rPr>
        <w:t xml:space="preserve">Month view. </w:t>
      </w:r>
      <w:r>
        <w:rPr>
          <w:rFonts w:ascii="Arial" w:hAnsi="Arial" w:eastAsia="Arial"/>
        </w:rPr>
        <w:t>A finite set of selected Moments and context.</w:t>
      </w:r>
    </w:p>
    <w:p>
      <w:pPr>
        <w:pStyle w:val="ListBullet"/>
        <w:spacing w:after="50" w:line="247" w:lineRule="auto"/>
      </w:pPr>
      <w:r>
        <w:rPr>
          <w:rFonts w:ascii="Arial" w:hAnsi="Arial" w:eastAsia="Arial"/>
          <w:b/>
        </w:rPr>
        <w:t xml:space="preserve">Moment view. </w:t>
      </w:r>
      <w:r>
        <w:rPr>
          <w:rFonts w:ascii="Arial" w:hAnsi="Arial" w:eastAsia="Arial"/>
        </w:rPr>
        <w:t>The original words, approved polished version, media, source/provenance, relationships, and audience-appropriate detail.</w:t>
      </w:r>
    </w:p>
    <w:p>
      <w:pPr>
        <w:pStyle w:val="ListBullet"/>
        <w:spacing w:after="50" w:line="247" w:lineRule="auto"/>
      </w:pPr>
      <w:r>
        <w:rPr>
          <w:rFonts w:ascii="Arial" w:hAnsi="Arial" w:eastAsia="Arial"/>
          <w:b/>
        </w:rPr>
        <w:t xml:space="preserve">Owner curation controls. </w:t>
      </w:r>
      <w:r>
        <w:rPr>
          <w:rFonts w:ascii="Arial" w:hAnsi="Arial" w:eastAsia="Arial"/>
        </w:rPr>
        <w:t>Remove from Story while keeping in Journal; feature this subject less; explain why selected; preview exact audience.</w:t>
      </w:r>
    </w:p>
    <w:p>
      <w:pPr>
        <w:pStyle w:val="Heading1"/>
      </w:pPr>
      <w:r>
        <w:t>8. Identity, audience, privacy, and ownership</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Identity, server-derived ownership, authorization-before-retrieval, and private-first publication are constitutional.</w:t>
            </w:r>
          </w:p>
        </w:tc>
      </w:tr>
    </w:tbl>
    <w:p>
      <w:pPr>
        <w:spacing w:after="0"/>
      </w:pPr>
    </w:p>
    <w:p>
      <w:pPr>
        <w:pStyle w:val="Heading2"/>
      </w:pPr>
      <w:r>
        <w:t>Identity and ownership</w:t>
      </w:r>
    </w:p>
    <w:p>
      <w:pPr>
        <w:pStyle w:val="ListBullet"/>
        <w:spacing w:after="50" w:line="247" w:lineRule="auto"/>
      </w:pPr>
      <w:r>
        <w:rPr>
          <w:rFonts w:ascii="Arial" w:hAnsi="Arial" w:eastAsia="Arial"/>
        </w:rPr>
        <w:t>Resolve the signed-in person from a trusted server session and map external identities to one internal PeerSlate user identifier.</w:t>
      </w:r>
    </w:p>
    <w:p>
      <w:pPr>
        <w:pStyle w:val="ListBullet"/>
        <w:spacing w:after="50" w:line="247" w:lineRule="auto"/>
      </w:pPr>
      <w:r>
        <w:rPr>
          <w:rFonts w:ascii="Arial" w:hAnsi="Arial" w:eastAsia="Arial"/>
        </w:rPr>
        <w:t>Never treat a browser-supplied user ID, profile slug, media path, session ID, or route parameter as proof of ownership.</w:t>
      </w:r>
    </w:p>
    <w:p>
      <w:pPr>
        <w:pStyle w:val="ListBullet"/>
        <w:spacing w:after="50" w:line="247" w:lineRule="auto"/>
      </w:pPr>
      <w:r>
        <w:rPr>
          <w:rFonts w:ascii="Arial" w:hAnsi="Arial" w:eastAsia="Arial"/>
        </w:rPr>
        <w:t>Every private-data operation must include ownership or explicit authorization; every public route must query only deliberately published records.</w:t>
      </w:r>
    </w:p>
    <w:p>
      <w:pPr>
        <w:pStyle w:val="ListBullet"/>
        <w:spacing w:after="50" w:line="247" w:lineRule="auto"/>
      </w:pPr>
      <w:r>
        <w:rPr>
          <w:rFonts w:ascii="Arial" w:hAnsi="Arial" w:eastAsia="Arial"/>
        </w:rPr>
        <w:t>Pete and Danielle must be separate real accounts using the same reusable logic—not duplicated fixtures or shared-session assumptions.</w:t>
      </w:r>
    </w:p>
    <w:p>
      <w:pPr>
        <w:pStyle w:val="Heading2"/>
      </w:pPr>
      <w:r>
        <w:t>Audience modes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7324D"/>
            <w:tcMar>
              <w:top w:w="90" w:type="dxa"/>
              <w:start w:w="95" w:type="dxa"/>
              <w:bottom w:w="90" w:type="dxa"/>
              <w:end w:w="95" w:type="dxa"/>
            </w:tcMar>
          </w:tcPr>
          <w:p>
            <w:pPr>
              <w:jc w:val="left"/>
            </w:pPr>
            <w:r>
              <w:rPr>
                <w:rFonts w:ascii="Arial" w:hAnsi="Arial" w:eastAsia="Arial"/>
                <w:b/>
                <w:color w:val="FFFFFF"/>
                <w:sz w:val="14"/>
              </w:rPr>
              <w:t>Mode</w:t>
            </w:r>
          </w:p>
        </w:tc>
        <w:tc>
          <w:tcPr>
            <w:tcW w:type="dxa" w:w="2592"/>
            <w:shd w:fill="17324D"/>
            <w:tcMar>
              <w:top w:w="90" w:type="dxa"/>
              <w:start w:w="95" w:type="dxa"/>
              <w:bottom w:w="90" w:type="dxa"/>
              <w:end w:w="95" w:type="dxa"/>
            </w:tcMar>
          </w:tcPr>
          <w:p>
            <w:pPr>
              <w:jc w:val="left"/>
            </w:pPr>
            <w:r>
              <w:rPr>
                <w:rFonts w:ascii="Arial" w:hAnsi="Arial" w:eastAsia="Arial"/>
                <w:b/>
                <w:color w:val="FFFFFF"/>
                <w:sz w:val="14"/>
              </w:rPr>
              <w:t>Permitted intent</w:t>
            </w:r>
          </w:p>
        </w:tc>
        <w:tc>
          <w:tcPr>
            <w:tcW w:type="dxa" w:w="3744"/>
            <w:shd w:fill="17324D"/>
            <w:tcMar>
              <w:top w:w="90" w:type="dxa"/>
              <w:start w:w="95" w:type="dxa"/>
              <w:bottom w:w="90" w:type="dxa"/>
              <w:end w:w="95" w:type="dxa"/>
            </w:tcMar>
          </w:tcPr>
          <w:p>
            <w:pPr>
              <w:jc w:val="left"/>
            </w:pPr>
            <w:r>
              <w:rPr>
                <w:rFonts w:ascii="Arial" w:hAnsi="Arial" w:eastAsia="Arial"/>
                <w:b/>
                <w:color w:val="FFFFFF"/>
                <w:sz w:val="14"/>
              </w:rPr>
              <w:t>Typical content</w:t>
            </w:r>
          </w:p>
        </w:tc>
        <w:tc>
          <w:tcPr>
            <w:tcW w:type="dxa" w:w="2304"/>
            <w:shd w:fill="17324D"/>
            <w:tcMar>
              <w:top w:w="90" w:type="dxa"/>
              <w:start w:w="95" w:type="dxa"/>
              <w:bottom w:w="90" w:type="dxa"/>
              <w:end w:w="95" w:type="dxa"/>
            </w:tcMar>
          </w:tcPr>
          <w:p>
            <w:pPr>
              <w:jc w:val="left"/>
            </w:pPr>
            <w:r>
              <w:rPr>
                <w:rFonts w:ascii="Arial" w:hAnsi="Arial" w:eastAsia="Arial"/>
                <w:b/>
                <w:color w:val="FFFFFF"/>
                <w:sz w:val="14"/>
              </w:rPr>
              <w:t>Prohibited leakage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Full control and review</w:t>
            </w:r>
          </w:p>
        </w:tc>
        <w:tc>
          <w:tcPr>
            <w:tcW w:type="dxa" w:w="37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Raw capture, drafts, sources, private Journal, insights, settings, audit-relevant states</w:t>
            </w:r>
          </w:p>
        </w:tc>
        <w:tc>
          <w:tcPr>
            <w:tcW w:type="dxa" w:w="23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Another owner’s data</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Selected person</w:t>
            </w:r>
          </w:p>
        </w:tc>
        <w:tc>
          <w:tcPr>
            <w:tcW w:type="dxa" w:w="25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item- or collection-level sharing</w:t>
            </w:r>
          </w:p>
        </w:tc>
        <w:tc>
          <w:tcPr>
            <w:tcW w:type="dxa" w:w="37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Only the granted records and permitted relationships</w:t>
            </w:r>
          </w:p>
        </w:tc>
        <w:tc>
          <w:tcPr>
            <w:tcW w:type="dxa" w:w="23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Unselected private context</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Connection</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Relationship-based viewing and interaction</w:t>
            </w:r>
          </w:p>
        </w:tc>
        <w:tc>
          <w:tcPr>
            <w:tcW w:type="dxa" w:w="37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Content published to connections; allowed responses</w:t>
            </w:r>
          </w:p>
        </w:tc>
        <w:tc>
          <w:tcPr>
            <w:tcW w:type="dxa" w:w="23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Owner-only drafts, source files, private AI</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Authenticated member</w:t>
            </w:r>
          </w:p>
        </w:tc>
        <w:tc>
          <w:tcPr>
            <w:tcW w:type="dxa" w:w="25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Member-only public expression</w:t>
            </w:r>
          </w:p>
        </w:tc>
        <w:tc>
          <w:tcPr>
            <w:tcW w:type="dxa" w:w="37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Items deliberately shared to signed-in members</w:t>
            </w:r>
          </w:p>
        </w:tc>
        <w:tc>
          <w:tcPr>
            <w:tcW w:type="dxa" w:w="23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Connection-only or private content</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Public</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Intentional public Slate</w:t>
            </w:r>
          </w:p>
        </w:tc>
        <w:tc>
          <w:tcPr>
            <w:tcW w:type="dxa" w:w="37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Public-approved Journal, Story, Work, Slate, media, and approved AI answers</w:t>
            </w:r>
          </w:p>
        </w:tc>
        <w:tc>
          <w:tcPr>
            <w:tcW w:type="dxa" w:w="23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Any nonpublic record or inferred private context</w:t>
            </w:r>
          </w:p>
        </w:tc>
      </w:tr>
    </w:tbl>
    <w:p>
      <w:pPr>
        <w:spacing w:after="20"/>
      </w:pPr>
    </w:p>
    <w:p>
      <w:pPr>
        <w:pStyle w:val="Heading2"/>
      </w:pPr>
      <w:r>
        <w:t>Authorization before retrieval</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HARD ARCHITECTURE BOUNDARY</w:t>
            </w:r>
          </w:p>
          <w:p>
            <w:pPr>
              <w:spacing w:after="0" w:line="250" w:lineRule="auto"/>
            </w:pPr>
            <w:r>
              <w:rPr>
                <w:rFonts w:ascii="Arial" w:hAnsi="Arial" w:eastAsia="Arial"/>
                <w:color w:val="111827"/>
                <w:sz w:val="18"/>
              </w:rPr>
              <w:t>The server must resolve owner, viewer, relationship, audience, consent, sensitivity, workflow scope, and permitted sources before SQL, search, media, cache, or AI retrieval occurs. Filtering an already-retrieved private result is not authorization.</w:t>
            </w:r>
          </w:p>
        </w:tc>
      </w:tr>
    </w:tbl>
    <w:p>
      <w:pPr>
        <w:spacing w:after="0"/>
      </w:pPr>
    </w:p>
    <w:p>
      <w:pPr>
        <w:pStyle w:val="Heading2"/>
      </w:pPr>
      <w:r>
        <w:t>Audience preview and publication</w:t>
      </w:r>
    </w:p>
    <w:p>
      <w:r>
        <w:rPr>
          <w:rFonts w:ascii="Arial" w:hAnsi="Arial" w:eastAsia="Arial"/>
          <w:i w:val="0"/>
        </w:rPr>
        <w:t>Before sharing or publication, the member should see an exact audience preview that reflects the real server-enforced result—not a decorative approximation. Publication is an explicit state transition with confirmation, source/audience checks, audit-relevant metadata, and reversal behavior. AI may draft copy; it may not publish or broaden an audience.</w:t>
      </w:r>
    </w:p>
    <w:p>
      <w:pPr>
        <w:pStyle w:val="Heading2"/>
      </w:pPr>
      <w:r>
        <w:t>Data rights</w:t>
      </w:r>
    </w:p>
    <w:p>
      <w:pPr>
        <w:pStyle w:val="ListBullet"/>
        <w:spacing w:after="50" w:line="247" w:lineRule="auto"/>
      </w:pPr>
      <w:r>
        <w:rPr>
          <w:rFonts w:ascii="Arial" w:hAnsi="Arial" w:eastAsia="Arial"/>
        </w:rPr>
        <w:t>Inspect the source and original language supporting a record or interpretation.</w:t>
      </w:r>
    </w:p>
    <w:p>
      <w:pPr>
        <w:pStyle w:val="ListBullet"/>
        <w:spacing w:after="50" w:line="247" w:lineRule="auto"/>
      </w:pPr>
      <w:r>
        <w:rPr>
          <w:rFonts w:ascii="Arial" w:hAnsi="Arial" w:eastAsia="Arial"/>
        </w:rPr>
        <w:t>Correct or dismiss interpretations without corrupting canonical history.</w:t>
      </w:r>
    </w:p>
    <w:p>
      <w:pPr>
        <w:pStyle w:val="ListBullet"/>
        <w:spacing w:after="50" w:line="247" w:lineRule="auto"/>
      </w:pPr>
      <w:r>
        <w:rPr>
          <w:rFonts w:ascii="Arial" w:hAnsi="Arial" w:eastAsia="Arial"/>
        </w:rPr>
        <w:t>Export canonical member data and approved projections in usable formats.</w:t>
      </w:r>
    </w:p>
    <w:p>
      <w:pPr>
        <w:pStyle w:val="ListBullet"/>
        <w:spacing w:after="50" w:line="247" w:lineRule="auto"/>
      </w:pPr>
      <w:r>
        <w:rPr>
          <w:rFonts w:ascii="Arial" w:hAnsi="Arial" w:eastAsia="Arial"/>
        </w:rPr>
        <w:t>Delete or revoke data according to clear retention rules, including derived outputs and retrieval indexes where required.</w:t>
      </w:r>
    </w:p>
    <w:p>
      <w:pPr>
        <w:pStyle w:val="ListBullet"/>
        <w:spacing w:after="50" w:line="247" w:lineRule="auto"/>
      </w:pPr>
      <w:r>
        <w:rPr>
          <w:rFonts w:ascii="Arial" w:hAnsi="Arial" w:eastAsia="Arial"/>
        </w:rPr>
        <w:t>Understand what is stored, why, for how long, which provider was used, and what happens during provider failure.</w:t>
      </w:r>
    </w:p>
    <w:p>
      <w:pPr>
        <w:pStyle w:val="Heading1"/>
      </w:pPr>
      <w:r>
        <w:t>9. AI, sources, and member intelligence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role of AI and the member-intelligence covenant. Provider choices and implementation detail belong in the Architecture and Data Standard.</w:t>
            </w:r>
          </w:p>
        </w:tc>
      </w:tr>
    </w:tbl>
    <w:p>
      <w:pPr>
        <w:spacing w:after="0"/>
      </w:pPr>
    </w:p>
    <w:p>
      <w:pPr>
        <w:pStyle w:val="Heading2"/>
      </w:pPr>
      <w:r>
        <w:t>AI’s role</w:t>
      </w:r>
    </w:p>
    <w:p>
      <w:r>
        <w:rPr>
          <w:rFonts w:ascii="Arial" w:hAnsi="Arial" w:eastAsia="Arial"/>
          <w:i w:val="0"/>
        </w:rPr>
        <w:t>AI assists capture, structuring, clarification, connection, reflection, rehearsal, translation, and expression. It proposes; the member decides. AI does not authenticate, authorize, publish, delete, choose retention, silently merge identities, determine truth, or replace deterministic release controls.</w:t>
      </w:r>
    </w:p>
    <w:p>
      <w:pPr>
        <w:keepNext/>
        <w:jc w:val="center"/>
      </w:pPr>
      <w:r>
        <w:drawing>
          <wp:inline xmlns:a="http://schemas.openxmlformats.org/drawingml/2006/main" xmlns:pic="http://schemas.openxmlformats.org/drawingml/2006/picture">
            <wp:extent cx="6217920" cy="3627120"/>
            <wp:docPr id="2" name="Picture 2" descr="PeerSlate voice-to-value loop: voice or text capture becomes a reviewable proposal, a canonical Journal record, and an optional member-controlled projection." title="PeerSlate diagram 2"/>
            <wp:cNvGraphicFramePr>
              <a:graphicFrameLocks noChangeAspect="1"/>
            </wp:cNvGraphicFramePr>
            <a:graphic>
              <a:graphicData uri="http://schemas.openxmlformats.org/drawingml/2006/picture">
                <pic:pic>
                  <pic:nvPicPr>
                    <pic:cNvPr id="0" name="image2-33.png"/>
                    <pic:cNvPicPr/>
                  </pic:nvPicPr>
                  <pic:blipFill>
                    <a:blip r:embed="rId13"/>
                    <a:stretch>
                      <a:fillRect/>
                    </a:stretch>
                  </pic:blipFill>
                  <pic:spPr>
                    <a:xfrm>
                      <a:off x="0" y="0"/>
                      <a:ext cx="6217920" cy="3627120"/>
                    </a:xfrm>
                    <a:prstGeom prst="rect"/>
                  </pic:spPr>
                </pic:pic>
              </a:graphicData>
            </a:graphic>
          </wp:inline>
        </w:drawing>
      </w:r>
    </w:p>
    <w:p>
      <w:pPr>
        <w:pStyle w:val="SmallNote"/>
        <w:jc w:val="center"/>
      </w:pPr>
      <w:r>
        <w:rPr>
          <w:rFonts w:ascii="Arial" w:hAnsi="Arial" w:eastAsia="Arial"/>
          <w:i/>
          <w:color w:val="36566F"/>
          <w:sz w:val="15"/>
        </w:rPr>
        <w:t>Preserved v1.5.1 voice-to-value loop: voice and text enter the same reviewable proposal architecture.</w:t>
      </w:r>
    </w:p>
    <w:p>
      <w:pPr>
        <w:pStyle w:val="Heading2"/>
      </w:pPr>
      <w:r>
        <w:t>Sources and provenance</w:t>
      </w:r>
    </w:p>
    <w:p>
      <w:pPr>
        <w:pStyle w:val="ListBullet"/>
        <w:spacing w:after="50" w:line="247" w:lineRule="auto"/>
      </w:pPr>
      <w:r>
        <w:rPr>
          <w:rFonts w:ascii="Arial" w:hAnsi="Arial" w:eastAsia="Arial"/>
        </w:rPr>
        <w:t>Preserve the original capture even when AI proposes polished language.</w:t>
      </w:r>
    </w:p>
    <w:p>
      <w:pPr>
        <w:pStyle w:val="ListBullet"/>
        <w:spacing w:after="50" w:line="247" w:lineRule="auto"/>
      </w:pPr>
      <w:r>
        <w:rPr>
          <w:rFonts w:ascii="Arial" w:hAnsi="Arial" w:eastAsia="Arial"/>
        </w:rPr>
        <w:t>Link factual claims, drafts, interpretations, and recommendations to the permitted supporting records used.</w:t>
      </w:r>
    </w:p>
    <w:p>
      <w:pPr>
        <w:pStyle w:val="ListBullet"/>
        <w:spacing w:after="50" w:line="247" w:lineRule="auto"/>
      </w:pPr>
      <w:r>
        <w:rPr>
          <w:rFonts w:ascii="Arial" w:hAnsi="Arial" w:eastAsia="Arial"/>
        </w:rPr>
        <w:t>Record the model/provider, prompt or policy version, source set, output state, evaluation, latency, and cost where appropriate.</w:t>
      </w:r>
    </w:p>
    <w:p>
      <w:pPr>
        <w:pStyle w:val="ListBullet"/>
        <w:spacing w:after="50" w:line="247" w:lineRule="auto"/>
      </w:pPr>
      <w:r>
        <w:rPr>
          <w:rFonts w:ascii="Arial" w:hAnsi="Arial" w:eastAsia="Arial"/>
        </w:rPr>
        <w:t>Use confirmed structured relationships, canonical records, dates, activity, and full-text retrieval before adding semantic retrieval.</w:t>
      </w:r>
    </w:p>
    <w:p>
      <w:pPr>
        <w:pStyle w:val="ListBullet"/>
        <w:spacing w:after="50" w:line="247" w:lineRule="auto"/>
      </w:pPr>
      <w:r>
        <w:rPr>
          <w:rFonts w:ascii="Arial" w:hAnsi="Arial" w:eastAsia="Arial"/>
        </w:rPr>
        <w:t>Do not train external models on member content unless a future explicit policy and member choice authorize it.</w:t>
      </w:r>
    </w:p>
    <w:p>
      <w:pPr>
        <w:pStyle w:val="Heading2"/>
      </w:pPr>
      <w:r>
        <w:t>Insight lifecycle</w:t>
      </w:r>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cantSplit/>
        </w:trPr>
        <w:tc>
          <w:tcPr>
            <w:tcW w:type="dxa" w:w="126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Trigger</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Authorize scope</w:t>
            </w:r>
          </w:p>
        </w:tc>
        <w:tc>
          <w:tcPr>
            <w:tcW w:type="dxa" w:w="126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Retrieve</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Propose</w:t>
            </w:r>
          </w:p>
        </w:tc>
        <w:tc>
          <w:tcPr>
            <w:tcW w:type="dxa" w:w="126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Validate</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Member review</w:t>
            </w:r>
          </w:p>
        </w:tc>
        <w:tc>
          <w:tcPr>
            <w:tcW w:type="dxa" w:w="126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Activate</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8</w:t>
            </w:r>
          </w:p>
          <w:p>
            <w:pPr>
              <w:spacing w:after="0"/>
              <w:jc w:val="center"/>
            </w:pPr>
            <w:r>
              <w:rPr>
                <w:rFonts w:ascii="Arial" w:hAnsi="Arial" w:eastAsia="Arial"/>
                <w:b/>
                <w:color w:val="17324D"/>
                <w:sz w:val="14"/>
              </w:rPr>
              <w:t>Close outcome</w:t>
            </w:r>
          </w:p>
        </w:tc>
      </w:tr>
    </w:tbl>
    <w:p>
      <w:pPr>
        <w:spacing w:after="20"/>
      </w:pPr>
    </w:p>
    <w:p>
      <w:r>
        <w:rPr>
          <w:rFonts w:ascii="Arial" w:hAnsi="Arial" w:eastAsia="Arial"/>
          <w:i w:val="0"/>
        </w:rPr>
        <w:t>An insight remains a private interpretation throughout this lifecycle. It is time-bounded, source-linked, stateful, correctable, and revocable. Confirm, correct, dismiss, “too personal,” “not useful,” stale-source, contradiction, deletion, and revocation signals must influence future behavior through governed rules.</w:t>
      </w:r>
    </w:p>
    <w:p>
      <w:pPr>
        <w:pStyle w:val="Heading2"/>
      </w:pPr>
      <w:r>
        <w:t>What PeerSlate noticed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24D"/>
            <w:tcMar>
              <w:top w:w="90" w:type="dxa"/>
              <w:start w:w="95" w:type="dxa"/>
              <w:bottom w:w="90" w:type="dxa"/>
              <w:end w:w="95" w:type="dxa"/>
            </w:tcMar>
          </w:tcPr>
          <w:p>
            <w:pPr>
              <w:jc w:val="left"/>
            </w:pPr>
            <w:r>
              <w:rPr>
                <w:rFonts w:ascii="Arial" w:hAnsi="Arial" w:eastAsia="Arial"/>
                <w:b/>
                <w:color w:val="FFFFFF"/>
                <w:sz w:val="15"/>
              </w:rPr>
              <w:t>Required element</w:t>
            </w:r>
          </w:p>
        </w:tc>
        <w:tc>
          <w:tcPr>
            <w:tcW w:type="dxa" w:w="8136"/>
            <w:shd w:fill="17324D"/>
            <w:tcMar>
              <w:top w:w="90" w:type="dxa"/>
              <w:start w:w="95" w:type="dxa"/>
              <w:bottom w:w="90" w:type="dxa"/>
              <w:end w:w="95" w:type="dxa"/>
            </w:tcMar>
          </w:tcPr>
          <w:p>
            <w:pPr>
              <w:jc w:val="left"/>
            </w:pPr>
            <w:r>
              <w:rPr>
                <w:rFonts w:ascii="Arial" w:hAnsi="Arial" w:eastAsia="Arial"/>
                <w:b/>
                <w:color w:val="FFFFFF"/>
                <w:sz w:val="15"/>
              </w:rPr>
              <w:t>Member-facing behavior</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Observation</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A concise statement framed as “PeerSlate noticed…” rather than a fact about the person.</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Reason</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Why the item appeared now and which trigger or change caused it.</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Support</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The permitted canonical records and sources used, with enough context to inspect.</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Uncertainty</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Confidence, missing information, contradictions, and what would change the interpretation.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Actions</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Confirm, correct, dismiss, too personal, not useful, inspect, use this moment, or choose another next step.</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Outcome</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Later ask whether the action helped and update future behavior without pressure.</w:t>
            </w:r>
          </w:p>
        </w:tc>
      </w:tr>
    </w:tbl>
    <w:p>
      <w:pPr>
        <w:spacing w:after="20"/>
      </w:pPr>
    </w:p>
    <w:p>
      <w:pPr>
        <w:pStyle w:val="Heading2"/>
      </w:pPr>
      <w:r>
        <w:t>AI failure behavior</w:t>
      </w: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CORE PRODUCT MUST SURVIVE AI FAILURE</w:t>
            </w:r>
          </w:p>
          <w:p>
            <w:pPr>
              <w:spacing w:after="0" w:line="250" w:lineRule="auto"/>
            </w:pPr>
            <w:r>
              <w:rPr>
                <w:rFonts w:ascii="Arial" w:hAnsi="Arial" w:eastAsia="Arial"/>
                <w:color w:val="111827"/>
                <w:sz w:val="18"/>
              </w:rPr>
              <w:t>Capture, private save, review, editing, authorization, audience preview, publication controls, export, deletion, and approved public viewing must continue safely when AI, speech, queues, semantic retrieval, or an external provider is unavailable.</w:t>
            </w:r>
          </w:p>
        </w:tc>
      </w:tr>
    </w:tbl>
    <w:p>
      <w:pPr>
        <w:spacing w:after="0"/>
      </w:pPr>
    </w:p>
    <w:p>
      <w:pPr>
        <w:pStyle w:val="Heading1"/>
      </w:pPr>
      <w:r>
        <w:t>10. Connection, community, and public expression</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culture and interaction model. Exact Feed and connection releases are roadmap decisions.</w:t>
            </w:r>
          </w:p>
        </w:tc>
      </w:tr>
    </w:tbl>
    <w:p>
      <w:pPr>
        <w:spacing w:after="0"/>
      </w:pPr>
    </w:p>
    <w:p>
      <w:pPr>
        <w:pStyle w:val="Heading2"/>
      </w:pPr>
      <w:r>
        <w:t>Connection model</w:t>
      </w:r>
    </w:p>
    <w:p>
      <w:r>
        <w:rPr>
          <w:rFonts w:ascii="Arial" w:hAnsi="Arial" w:eastAsia="Arial"/>
          <w:i w:val="0"/>
        </w:rPr>
        <w:t>Connection should deepen understanding and help people support one another without converting PeerSlate into a popularity contest. The product begins with real relationships and explicit permissions, not simulated community scale.</w:t>
      </w:r>
    </w:p>
    <w:p>
      <w:pPr>
        <w:pStyle w:val="ListBullet"/>
        <w:spacing w:after="50" w:line="247" w:lineRule="auto"/>
      </w:pPr>
      <w:r>
        <w:rPr>
          <w:rFonts w:ascii="Arial" w:hAnsi="Arial" w:eastAsia="Arial"/>
        </w:rPr>
        <w:t>Start with a real two-person loop: separate accounts, independent private records, deliberate sharing, permitted profile viewing, meaningful response, and clear return paths.</w:t>
      </w:r>
    </w:p>
    <w:p>
      <w:pPr>
        <w:pStyle w:val="ListBullet"/>
        <w:spacing w:after="50" w:line="247" w:lineRule="auto"/>
      </w:pPr>
      <w:r>
        <w:rPr>
          <w:rFonts w:ascii="Arial" w:hAnsi="Arial" w:eastAsia="Arial"/>
        </w:rPr>
        <w:t>Use finite, relevant, audience-labeled updates. Avoid infinite scroll, trending rails, public streaks, matched-people filler, and vanity popularity signals.</w:t>
      </w:r>
    </w:p>
    <w:p>
      <w:pPr>
        <w:pStyle w:val="ListBullet"/>
        <w:spacing w:after="50" w:line="247" w:lineRule="auto"/>
      </w:pPr>
      <w:r>
        <w:rPr>
          <w:rFonts w:ascii="Arial" w:hAnsi="Arial" w:eastAsia="Arial"/>
        </w:rPr>
        <w:t>Prefer meaningful responses such as Encourage, Celebrate, “This helped me understand,” or a written response over a generic engagement counter.</w:t>
      </w:r>
    </w:p>
    <w:p>
      <w:pPr>
        <w:pStyle w:val="ListBullet"/>
        <w:spacing w:after="50" w:line="247" w:lineRule="auto"/>
      </w:pPr>
      <w:r>
        <w:rPr>
          <w:rFonts w:ascii="Arial" w:hAnsi="Arial" w:eastAsia="Arial"/>
        </w:rPr>
        <w:t>A connection update should link back to the person’s Slate and the member-approved context—not become a detached post object.</w:t>
      </w:r>
    </w:p>
    <w:p>
      <w:pPr>
        <w:pStyle w:val="ListBullet"/>
        <w:spacing w:after="50" w:line="247" w:lineRule="auto"/>
      </w:pPr>
      <w:r>
        <w:rPr>
          <w:rFonts w:ascii="Arial" w:hAnsi="Arial" w:eastAsia="Arial"/>
        </w:rPr>
        <w:t>Public expression is deliberate projection from the member’s canonical Slate, not a separate identity database.</w:t>
      </w:r>
    </w:p>
    <w:p>
      <w:pPr>
        <w:pStyle w:val="Heading2"/>
      </w:pPr>
      <w:r>
        <w:t>Feed role</w:t>
      </w:r>
    </w:p>
    <w:p>
      <w:r>
        <w:rPr>
          <w:rFonts w:ascii="Arial" w:hAnsi="Arial" w:eastAsia="Arial"/>
          <w:i w:val="0"/>
        </w:rPr>
        <w:t>Feed is a finite viewing surface for approved updates from people and contexts the member intentionally follows. It is not the product’s center of gravity. The owner loop should remain valuable with zero connections, and the public Slate should remain understandable without a Feed.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896"/>
            <w:shd w:fill="17324D"/>
            <w:tcMar>
              <w:top w:w="90" w:type="dxa"/>
              <w:start w:w="95" w:type="dxa"/>
              <w:bottom w:w="90" w:type="dxa"/>
              <w:end w:w="95" w:type="dxa"/>
            </w:tcMar>
          </w:tcPr>
          <w:p>
            <w:pPr>
              <w:jc w:val="left"/>
            </w:pPr>
            <w:r>
              <w:rPr>
                <w:rFonts w:ascii="Arial" w:hAnsi="Arial" w:eastAsia="Arial"/>
                <w:b/>
                <w:color w:val="FFFFFF"/>
                <w:sz w:val="15"/>
              </w:rPr>
              <w:t>Keep</w:t>
            </w:r>
          </w:p>
        </w:tc>
        <w:tc>
          <w:tcPr>
            <w:tcW w:type="dxa" w:w="5184"/>
            <w:shd w:fill="17324D"/>
            <w:tcMar>
              <w:top w:w="90" w:type="dxa"/>
              <w:start w:w="95" w:type="dxa"/>
              <w:bottom w:w="90" w:type="dxa"/>
              <w:end w:w="95" w:type="dxa"/>
            </w:tcMar>
          </w:tcPr>
          <w:p>
            <w:pPr>
              <w:jc w:val="left"/>
            </w:pPr>
            <w:r>
              <w:rPr>
                <w:rFonts w:ascii="Arial" w:hAnsi="Arial" w:eastAsia="Arial"/>
                <w:b/>
                <w:color w:val="FFFFFF"/>
                <w:sz w:val="15"/>
              </w:rPr>
              <w:t>Exclude from the current program</w:t>
            </w:r>
          </w:p>
        </w:tc>
      </w:tr>
      <w:tr>
        <w:trPr>
          <w:cantSplit/>
        </w:trPr>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Clear audience labels, comments, meaningful responses, save, finite updates, return to source context</w:t>
            </w:r>
          </w:p>
        </w:tc>
        <w:tc>
          <w:tcPr>
            <w:tcW w:type="dxa" w:w="518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Polls, quote rails, job/news widgets, trends, public streaks, high-five counts, matched-people rails, decorative activity</w:t>
            </w:r>
          </w:p>
        </w:tc>
      </w:tr>
      <w:tr>
        <w:trPr>
          <w:cantSplit/>
        </w:trPr>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Owner-controlled sharing and exact preview</w:t>
            </w:r>
          </w:p>
        </w:tc>
        <w:tc>
          <w:tcPr>
            <w:tcW w:type="dxa" w:w="518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Automatic publication or audience broadening</w:t>
            </w:r>
          </w:p>
        </w:tc>
      </w:tr>
      <w:tr>
        <w:trPr>
          <w:cantSplit/>
        </w:trPr>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Relationship-aware permissions</w:t>
            </w:r>
          </w:p>
        </w:tc>
        <w:tc>
          <w:tcPr>
            <w:tcW w:type="dxa" w:w="518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Client-side filtering as privacy</w:t>
            </w:r>
          </w:p>
        </w:tc>
      </w:tr>
      <w:tr>
        <w:trPr>
          <w:cantSplit/>
        </w:trPr>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Honest empty states and small alpha scale</w:t>
            </w:r>
          </w:p>
        </w:tc>
        <w:tc>
          <w:tcPr>
            <w:tcW w:type="dxa" w:w="518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Fake community density or fixture behavior represented as live</w:t>
            </w:r>
          </w:p>
        </w:tc>
      </w:tr>
    </w:tbl>
    <w:p>
      <w:pPr>
        <w:spacing w:after="20"/>
      </w:pPr>
    </w:p>
    <w:p>
      <w:pPr>
        <w:pStyle w:val="Heading2"/>
      </w:pPr>
      <w:r>
        <w:t>Community culture</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CULTURAL RULE</w:t>
            </w:r>
          </w:p>
          <w:p>
            <w:pPr>
              <w:spacing w:after="0" w:line="250" w:lineRule="auto"/>
            </w:pPr>
            <w:r>
              <w:rPr>
                <w:rFonts w:ascii="Arial" w:hAnsi="Arial" w:eastAsia="Arial"/>
                <w:color w:val="111827"/>
                <w:sz w:val="18"/>
              </w:rPr>
              <w:t>PeerSlate should feel like people helping one another notice meaningful work, understand context, and prepare for important moments—not like a career-content performance arena.</w:t>
            </w:r>
          </w:p>
        </w:tc>
      </w:tr>
    </w:tbl>
    <w:p>
      <w:pPr>
        <w:spacing w:after="0"/>
      </w:pPr>
    </w:p>
    <w:p>
      <w:pPr>
        <w:pStyle w:val="Heading1"/>
      </w:pPr>
      <w:r>
        <w:t>11. Design, content, storytelling, and quiet delight</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constitutional experience qualities. Exact tokens, components, dimensions, and implementation guidance belong in the Experience System.</w:t>
            </w:r>
          </w:p>
        </w:tc>
      </w:tr>
    </w:tbl>
    <w:p>
      <w:pPr>
        <w:spacing w:after="0"/>
      </w:pPr>
    </w:p>
    <w:p>
      <w:pPr>
        <w:pStyle w:val="Heading2"/>
      </w:pPr>
      <w:r>
        <w:t>Experience qualities</w:t>
      </w:r>
    </w:p>
    <w:p>
      <w:pPr/>
      <w:r>
        <w:t>Deep Navy Gold is the approved shared design foundation for public and owner surfaces. Individual rooms may use restrained semantic accents only through approved tokens; they may not create a competing theme or overwrite shared owner-app styling.</w:t>
      </w:r>
    </w:p>
    <w:p>
      <w:pPr>
        <w:pStyle w:val="Heading2"/>
      </w:pPr>
      <w:r>
        <w:t>Approved owner experience visual baseline</w:t>
      </w:r>
    </w:p>
    <w:p>
      <w:pPr>
        <w:pStyle w:val="ListBullet"/>
      </w:pPr>
      <w:r>
        <w:t>The five July 18, 2026 owner-experience storyboard boards are the approved controlling reference for the signed-in dark-theme experience: Owner Home; Capture a Moment; Journal and My Slate; Story and Living Resume as connected projections; and Interview Studio / Moment Lab.</w:t>
      </w:r>
    </w:p>
    <w:p>
      <w:pPr>
        <w:pStyle w:val="ListBullet"/>
      </w:pPr>
      <w:r>
        <w:t>Implementation shall reproduce the same level of polish, composition, hierarchy, contrast, restraint, layered depth, and calm premium character. Responsive and accessibility adaptations may change geometry, but may not dilute the approved experience hierarchy or visual quality.</w:t>
      </w:r>
    </w:p>
    <w:p>
      <w:pPr>
        <w:pStyle w:val="ListBullet"/>
      </w:pPr>
      <w:r>
        <w:t>Deep Navy Gold is the phase-one owner theme. The dark theme is the implementation priority. A light theme is intentionally deferred and shall be designed later as an equivalent system rather than by mechanically inverting the dark interface.</w:t>
      </w:r>
    </w:p>
    <w:p>
      <w:pPr>
        <w:pStyle w:val="ListBullet"/>
      </w:pPr>
      <w:r>
        <w:t>The owner shell shall use a black and deep-navy foundation, ivory or warm-white working surfaces, restrained gold and metallic accents, cinematic imagery only where it strengthens orientation, and clear state language such as Owner View, Private, Shared, or Public Projection.</w:t>
      </w:r>
    </w:p>
    <w:p>
      <w:pPr>
        <w:pStyle w:val="ListBullet"/>
      </w:pPr>
      <w:r>
        <w:t>Sample names, dates, locations, metrics, and records shown in the boards are illustrative only. The approved design direction is controlling; product facts, member data, authorization behavior, and content remain governed by the canonical Slate and current repository evidence.</w:t>
      </w:r>
    </w:p>
    <w:p>
      <w:pPr>
        <w:pStyle w:val="Heading2"/>
      </w:pPr>
      <w:r>
        <w:t>Visual integrity and demonstration parity</w:t>
      </w:r>
    </w:p>
    <w:p>
      <w:pPr>
        <w:pStyle w:val="ListBullet"/>
      </w:pPr>
      <w:r>
        <w:t>An owner-approved production-intent mockup, storyboard, walkthrough, or demonstration is a binding product promise. The real experience shall be recognizably the same interaction model and shall match or exceed its hierarchy, composition, clarity, finish, and professional quality.</w:t>
      </w:r>
    </w:p>
    <w:p>
      <w:pPr>
        <w:pStyle w:val="ListBullet"/>
      </w:pPr>
      <w:r>
        <w:t>Demonstrations shall state what is illustrative, live, stored, transmitted, local-only, private, public, or future. A demonstration may show approved future behavior without claiming that behavior is already live; honest status labeling does not make the visual promise optional.</w:t>
      </w:r>
    </w:p>
    <w:p>
      <w:pPr>
        <w:pStyle w:val="ListBullet"/>
      </w:pPr>
      <w:r>
        <w:t>Production may depart from the named visual authority only to improve truthfulness, accessibility, responsive behavior, usability, or owner-approved quality. Every material deviation shall be recorded and may not become an unapproved visual downgrade.</w:t>
      </w:r>
    </w:p>
    <w:p>
      <w:pPr>
        <w:pStyle w:val="ListBullet"/>
      </w:pPr>
      <w:r>
        <w:t>A user-facing package shall not use function now, polish later as its release strategy. An explicitly owner-approved internal preview shall remain clearly labeled and In Progress until the professional finish gate passes.</w:t>
      </w:r>
    </w:p>
    <w:p>
      <w:pPr>
        <w:pStyle w:val="ListBullet"/>
      </w:pPr>
      <w:r>
        <w:t>When a flow approves multiple input alternatives, including Speak and Type, each shall remain first-class unless the owner-approved authority expressly changes that decision.</w:t>
      </w:r>
    </w:p>
    <w:p>
      <w:pPr>
        <w:pStyle w:val="ListBullet"/>
      </w:pPr>
      <w:r>
        <w:t>Functional, privacy, security, accessibility, test, deployment, and production evidence are necessary but not sufficient for material user-facing completion. Named visual comparison evidence plus Pete and ChatGPT Work visual acceptance are also required unless Pete explicitly delegates the gate.</w:t>
      </w:r>
    </w:p>
    <w:p>
      <w:pPr>
        <w:pStyle w:val="Heading2"/>
      </w:pPr>
      <w:r>
        <w:t>Public experience visual convergence</w:t>
      </w:r>
    </w:p>
    <w:p>
      <w:pPr>
        <w:pStyle w:val="ListBullet"/>
      </w:pPr>
      <w:r>
        <w:t>The public website shall eventually communicate the same product quality and visual confidence as the approved owner workspace so a visitor understands what to expect after sign-in.</w:t>
      </w:r>
    </w:p>
    <w:p>
      <w:pPr>
        <w:pStyle w:val="ListBullet"/>
      </w:pPr>
      <w:r>
        <w:t>The future public convergence includes the logged-out product/pitch homepage, public member Slate and profile views, Story, Work, selected project and projection pages, and public explanation or demonstration shells for gated experiences.</w:t>
      </w:r>
    </w:p>
    <w:p>
      <w:pPr>
        <w:pStyle w:val="ListBullet"/>
      </w:pPr>
      <w:r>
        <w:t>The future public system shall share the approved design tokens, typography, spacing discipline, component quality, state language, and responsive behavior while remaining appropriate for a visitor rather than copying the owner dashboard onto public pages.</w:t>
      </w:r>
    </w:p>
    <w:p>
      <w:pPr>
        <w:pStyle w:val="ListBullet"/>
      </w:pPr>
      <w:r>
        <w:t>The public experience may use clearly labeled illustrative walkthroughs of approved future behavior. It shall not imply that the walkthrough is live, persist data without disclosure, invent identity or AI behavior, or create a capability claim the real product cannot support. Once selected as production-intent authority, the walkthrough becomes a visual and interaction minimum for the eventual product.</w:t>
      </w:r>
    </w:p>
    <w:p>
      <w:pPr>
        <w:pStyle w:val="ListBullet"/>
      </w:pPr>
      <w:r>
        <w:t>A broad public redesign is deferred. Current authorized public work is limited to PS-RESUME-PUBLIC-REFINE-001 and PS-INTERVIEW-PUBLIC-GATE-001. Other public surfaces remain in their current design until the owner shell and essential private loop are stable enough to support convergence. The current homepage as a whole is not an approved final visual baseline; specifically approved demonstrations bind only their named packages until the broader public convergence initiative is authorized.</w:t>
      </w:r>
    </w:p>
    <w:p>
      <w:pPr>
        <w:pStyle w:val="Heading3"/>
      </w:pPr>
      <w:r>
        <w:t>Public visual convergence entry gate</w:t>
      </w:r>
    </w:p>
    <w:p>
      <w:pPr>
        <w:pStyle w:val="ListBullet"/>
      </w:pPr>
      <w:r>
        <w:t>The approved owner design tokens and shared components are implemented and verified across the owner shell, Home, Capture, and at least one deeper workspace.</w:t>
      </w:r>
    </w:p>
    <w:p>
      <w:pPr>
        <w:pStyle w:val="ListBullet"/>
      </w:pPr>
      <w:r>
        <w:t>The current public route and viewer-mode inventory is complete, and the public information architecture has no unresolved identity or authorization ambiguity.</w:t>
      </w:r>
    </w:p>
    <w:p>
      <w:pPr>
        <w:pStyle w:val="ListBullet"/>
      </w:pPr>
      <w:r>
        <w:t>The public redesign has an approved production-intent prototype for the logged-out homepage and representative public Slate, Story, Work, and gated-product states.</w:t>
      </w:r>
    </w:p>
    <w:p>
      <w:pPr>
        <w:pStyle w:val="ListBullet"/>
      </w:pPr>
      <w:r>
        <w:t>The redesign can be completed without interrupting higher-priority owner-loop, privacy, lifecycle, Moment, placement, or authentication work.</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Relevance</w:t>
            </w:r>
          </w:p>
          <w:p>
            <w:pPr>
              <w:spacing w:after="0" w:line="245" w:lineRule="auto"/>
            </w:pPr>
            <w:r>
              <w:rPr>
                <w:rFonts w:ascii="Arial" w:hAnsi="Arial" w:eastAsia="Arial"/>
                <w:color w:val="111827"/>
                <w:sz w:val="16"/>
              </w:rPr>
              <w:t>The first visible content relates to the member’s current context or chosen task.</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One-sentence value</w:t>
            </w:r>
          </w:p>
          <w:p>
            <w:pPr>
              <w:spacing w:after="0" w:line="245" w:lineRule="auto"/>
            </w:pPr>
            <w:r>
              <w:rPr>
                <w:rFonts w:ascii="Arial" w:hAnsi="Arial" w:eastAsia="Arial"/>
                <w:color w:val="111827"/>
                <w:sz w:val="16"/>
              </w:rPr>
              <w:t>A person can explain what the screen or feature is for without a product tour.</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Immediate action</w:t>
            </w:r>
          </w:p>
          <w:p>
            <w:pPr>
              <w:spacing w:after="0" w:line="245" w:lineRule="auto"/>
            </w:pPr>
            <w:r>
              <w:rPr>
                <w:rFonts w:ascii="Arial" w:hAnsi="Arial" w:eastAsia="Arial"/>
                <w:color w:val="111827"/>
                <w:sz w:val="16"/>
              </w:rPr>
              <w:t>The primary action is obvious, useful, and safe.</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Hidden complexity</w:t>
            </w:r>
          </w:p>
          <w:p>
            <w:pPr>
              <w:spacing w:after="0" w:line="245" w:lineRule="auto"/>
            </w:pPr>
            <w:r>
              <w:rPr>
                <w:rFonts w:ascii="Arial" w:hAnsi="Arial" w:eastAsia="Arial"/>
                <w:color w:val="111827"/>
                <w:sz w:val="16"/>
              </w:rPr>
              <w:t>Depth is available behind clear layers rather than displayed all at once.</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Architectural coherence</w:t>
            </w:r>
          </w:p>
          <w:p>
            <w:pPr>
              <w:spacing w:after="0" w:line="245" w:lineRule="auto"/>
            </w:pPr>
            <w:r>
              <w:rPr>
                <w:rFonts w:ascii="Arial" w:hAnsi="Arial" w:eastAsia="Arial"/>
                <w:color w:val="111827"/>
                <w:sz w:val="16"/>
              </w:rPr>
              <w:t>The interaction uses canonical records and real permissions instead of decorative simulation.</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Trust</w:t>
            </w:r>
          </w:p>
          <w:p>
            <w:pPr>
              <w:spacing w:after="0" w:line="245" w:lineRule="auto"/>
            </w:pPr>
            <w:r>
              <w:rPr>
                <w:rFonts w:ascii="Arial" w:hAnsi="Arial" w:eastAsia="Arial"/>
                <w:color w:val="111827"/>
                <w:sz w:val="16"/>
              </w:rPr>
              <w:t>Privacy, source, status, uncertainty, and audience are visible at the moment they matter.</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Distinctive craft</w:t>
            </w:r>
          </w:p>
          <w:p>
            <w:pPr>
              <w:spacing w:after="0" w:line="245" w:lineRule="auto"/>
            </w:pPr>
            <w:r>
              <w:rPr>
                <w:rFonts w:ascii="Arial" w:hAnsi="Arial" w:eastAsia="Arial"/>
                <w:color w:val="111827"/>
                <w:sz w:val="16"/>
              </w:rPr>
              <w:t>Small details reinforce memory, ownership, warmth, and professionalism without gimmicks.</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Accessible dignity</w:t>
            </w:r>
          </w:p>
          <w:p>
            <w:pPr>
              <w:spacing w:after="0" w:line="245" w:lineRule="auto"/>
            </w:pPr>
            <w:r>
              <w:rPr>
                <w:rFonts w:ascii="Arial" w:hAnsi="Arial" w:eastAsia="Arial"/>
                <w:color w:val="111827"/>
                <w:sz w:val="16"/>
              </w:rPr>
              <w:t>The experience remains complete under keyboard, zoom, screen reader, reduced motion, and failure.</w:t>
            </w:r>
          </w:p>
        </w:tc>
      </w:tr>
    </w:tbl>
    <w:p>
      <w:pPr>
        <w:spacing w:after="20"/>
      </w:pPr>
    </w:p>
    <w:p>
      <w:pPr>
        <w:pStyle w:val="Heading2"/>
      </w:pPr>
      <w:r>
        <w:t>Content voice</w:t>
      </w:r>
    </w:p>
    <w:p>
      <w:pPr>
        <w:pStyle w:val="ListBullet"/>
        <w:spacing w:after="50" w:line="247" w:lineRule="auto"/>
      </w:pPr>
      <w:r>
        <w:rPr>
          <w:rFonts w:ascii="Arial" w:hAnsi="Arial" w:eastAsia="Arial"/>
        </w:rPr>
        <w:t>Thoughtful, plain, professional, human, and at the member’s service.</w:t>
      </w:r>
    </w:p>
    <w:p>
      <w:pPr>
        <w:pStyle w:val="ListBullet"/>
        <w:spacing w:after="50" w:line="247" w:lineRule="auto"/>
      </w:pPr>
      <w:r>
        <w:rPr>
          <w:rFonts w:ascii="Arial" w:hAnsi="Arial" w:eastAsia="Arial"/>
        </w:rPr>
        <w:t>Warm without false praise; encouraging without pressure; specific rather than generic.</w:t>
      </w:r>
    </w:p>
    <w:p>
      <w:pPr>
        <w:pStyle w:val="ListBullet"/>
        <w:spacing w:after="50" w:line="247" w:lineRule="auto"/>
      </w:pPr>
      <w:r>
        <w:rPr>
          <w:rFonts w:ascii="Arial" w:hAnsi="Arial" w:eastAsia="Arial"/>
        </w:rPr>
        <w:t>Use “Sources” or clear provenance language rather than repeating “evidence” as marketing copy.</w:t>
      </w:r>
    </w:p>
    <w:p>
      <w:pPr>
        <w:pStyle w:val="ListBullet"/>
        <w:spacing w:after="50" w:line="247" w:lineRule="auto"/>
      </w:pPr>
      <w:r>
        <w:rPr>
          <w:rFonts w:ascii="Arial" w:hAnsi="Arial" w:eastAsia="Arial"/>
        </w:rPr>
        <w:t>State uncertainty and limitations directly. Do not anthropomorphize AI as an authority over the member.</w:t>
      </w:r>
    </w:p>
    <w:p>
      <w:pPr>
        <w:pStyle w:val="ListBullet"/>
        <w:spacing w:after="50" w:line="247" w:lineRule="auto"/>
      </w:pPr>
      <w:r>
        <w:rPr>
          <w:rFonts w:ascii="Arial" w:hAnsi="Arial" w:eastAsia="Arial"/>
        </w:rPr>
        <w:t>Explain privacy and audience in concrete language: who can see this, what will change, and what remains private.</w:t>
      </w:r>
    </w:p>
    <w:p>
      <w:pPr>
        <w:pStyle w:val="ListBullet"/>
        <w:spacing w:after="50" w:line="247" w:lineRule="auto"/>
      </w:pPr>
      <w:r>
        <w:rPr>
          <w:rFonts w:ascii="Arial" w:hAnsi="Arial" w:eastAsia="Arial"/>
        </w:rPr>
        <w:t>Use canonical feature names consistently and avoid duplicate labels for the same behavior.</w:t>
      </w:r>
    </w:p>
    <w:p>
      <w:pPr>
        <w:pStyle w:val="Heading2"/>
      </w:pPr>
      <w:r>
        <w:t>Quiet delight and found details</w:t>
      </w:r>
    </w:p>
    <w:p>
      <w:r>
        <w:rPr>
          <w:rFonts w:ascii="Arial" w:hAnsi="Arial" w:eastAsia="Arial"/>
          <w:i w:val="0"/>
        </w:rPr>
        <w:t>Distinctive craft should make the system feel observant and caring without increasing cognitive load or turning professional reflection into entertainment. These details are candidates for the Experience System and staged roadmap, not all immediate commitments.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17324D"/>
            <w:tcMar>
              <w:top w:w="90" w:type="dxa"/>
              <w:start w:w="95" w:type="dxa"/>
              <w:bottom w:w="90" w:type="dxa"/>
              <w:end w:w="95" w:type="dxa"/>
            </w:tcMar>
          </w:tcPr>
          <w:p>
            <w:pPr>
              <w:jc w:val="left"/>
            </w:pPr>
            <w:r>
              <w:rPr>
                <w:rFonts w:ascii="Arial" w:hAnsi="Arial" w:eastAsia="Arial"/>
                <w:b/>
                <w:color w:val="FFFFFF"/>
                <w:sz w:val="14"/>
              </w:rPr>
              <w:t>Pattern</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Value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“This connects to something you said before”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Makes the connected Slate visible and invites inspection of the relationship.</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Preserve the exact human sentence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Keeps the member’s language available beside a polished draft.</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“Same month, different year”</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Reveals longitudinal change without an algorithmic feed.</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year distilled into selected Moments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Turns the archive into an editorial story, not a dashboard.</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footnotes on public stories</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Lets the owner preserve context that is useful privately but not appropriate for the audience.</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Hear the original Moment</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Returns to the human voice when audio retention and permission allow.</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Exact audience preview</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Makes privacy a visible, trustworthy interaction.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Quiet completion</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clarity and calm confirmation—not confetti, streaks, or inflated praise.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Before and now</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Shows change across linked Moments and confirmed outcomes.</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Offline reassurance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Makes draft safety and later synchronization understandable.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“You may want this soon”</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Offers time-relevant value with explanation and dismissal—not pressure.</w:t>
            </w:r>
          </w:p>
        </w:tc>
      </w:tr>
    </w:tbl>
    <w:p>
      <w:pPr>
        <w:spacing w:after="20"/>
      </w:pPr>
    </w:p>
    <w:p>
      <w:pPr>
        <w:pStyle w:val="Heading2"/>
      </w:pPr>
      <w:r>
        <w:t>Storytelling rules</w:t>
      </w:r>
    </w:p>
    <w:p>
      <w:pPr>
        <w:pStyle w:val="ListBullet"/>
        <w:spacing w:after="50" w:line="247" w:lineRule="auto"/>
      </w:pPr>
      <w:r>
        <w:rPr>
          <w:rFonts w:ascii="Arial" w:hAnsi="Arial" w:eastAsia="Arial"/>
        </w:rPr>
        <w:t>Deep archive, shallow entry: the first view is simple; context remains available.</w:t>
      </w:r>
    </w:p>
    <w:p>
      <w:pPr>
        <w:pStyle w:val="ListBullet"/>
        <w:spacing w:after="50" w:line="247" w:lineRule="auto"/>
      </w:pPr>
      <w:r>
        <w:rPr>
          <w:rFonts w:ascii="Arial" w:hAnsi="Arial" w:eastAsia="Arial"/>
        </w:rPr>
        <w:t>One source, many presentations: Story, Work, Journal, résumé, and Studio remain connected to canonical truth.</w:t>
      </w:r>
    </w:p>
    <w:p>
      <w:pPr>
        <w:pStyle w:val="ListBullet"/>
        <w:spacing w:after="50" w:line="247" w:lineRule="auto"/>
      </w:pPr>
      <w:r>
        <w:rPr>
          <w:rFonts w:ascii="Arial" w:hAnsi="Arial" w:eastAsia="Arial"/>
        </w:rPr>
        <w:t>Curation includes removal: the member may remove an item from Story while keeping it in Journal.</w:t>
      </w:r>
    </w:p>
    <w:p>
      <w:pPr>
        <w:pStyle w:val="ListBullet"/>
        <w:spacing w:after="50" w:line="247" w:lineRule="auto"/>
      </w:pPr>
      <w:r>
        <w:rPr>
          <w:rFonts w:ascii="Arial" w:hAnsi="Arial" w:eastAsia="Arial"/>
        </w:rPr>
        <w:t>Important material receives unequal weight: not every month, project, or Moment deserves the same visual prominence.</w:t>
      </w:r>
    </w:p>
    <w:p>
      <w:pPr>
        <w:pStyle w:val="ListBullet"/>
        <w:spacing w:after="50" w:line="247" w:lineRule="auto"/>
      </w:pPr>
      <w:r>
        <w:rPr>
          <w:rFonts w:ascii="Arial" w:hAnsi="Arial" w:eastAsia="Arial"/>
        </w:rPr>
        <w:t>Interaction must clarify or accelerate: avoid ornamental interaction that does not help understanding or action.</w:t>
      </w:r>
    </w:p>
    <w:p>
      <w:pPr>
        <w:pStyle w:val="ListBullet"/>
        <w:spacing w:after="50" w:line="247" w:lineRule="auto"/>
      </w:pPr>
      <w:r>
        <w:rPr>
          <w:rFonts w:ascii="Arial" w:hAnsi="Arial" w:eastAsia="Arial"/>
        </w:rPr>
        <w:t>Different media should deepen one story rather than compete as independent content modules.</w:t>
      </w:r>
    </w:p>
    <w:p>
      <w:pPr>
        <w:pStyle w:val="Heading1"/>
      </w:pPr>
      <w:r>
        <w:t>12. Technical direction and architectural constraints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These are constitutional architecture decisions. Detailed diagrams, APIs, schemas, Azure inventory, ADRs, and capacity plans belong in the Architecture and Data Standard.</w:t>
            </w:r>
          </w:p>
        </w:tc>
      </w:tr>
    </w:tbl>
    <w:p>
      <w:pPr>
        <w:spacing w:after="0"/>
      </w:pPr>
    </w:p>
    <w:p>
      <w:pPr>
        <w:pStyle w:val="Heading2"/>
      </w:pPr>
      <w:r>
        <w:t>Architecture posture</w:t>
      </w:r>
    </w:p>
    <w:p>
      <w:r>
        <w:rPr>
          <w:rFonts w:ascii="Arial" w:hAnsi="Arial" w:eastAsia="Arial"/>
          <w:i w:val="0"/>
        </w:rPr>
        <w:t>PeerSlate will extend the current Flask and Azure foundation as a modular monolith with governed AI. It will not introduce premature microservices, Kubernetes, a separate vector platform, or duplicate systems of record merely to appear more sophisticated.</w:t>
      </w:r>
    </w:p>
    <w:p>
      <w:pPr>
        <w:keepNext/>
        <w:jc w:val="center"/>
      </w:pPr>
      <w:r>
        <w:drawing>
          <wp:inline xmlns:a="http://schemas.openxmlformats.org/drawingml/2006/main" xmlns:pic="http://schemas.openxmlformats.org/drawingml/2006/picture">
            <wp:extent cx="6217920" cy="4318000"/>
            <wp:docPr id="3" name="Picture 3" descr="PeerSlate governed modular monolith: experience, identity, canonical data, AI processing, and operations are separated by deterministic trust boundaries." title="PeerSlate diagram 3"/>
            <wp:cNvGraphicFramePr>
              <a:graphicFrameLocks noChangeAspect="1"/>
            </wp:cNvGraphicFramePr>
            <a:graphic>
              <a:graphicData uri="http://schemas.openxmlformats.org/drawingml/2006/picture">
                <pic:pic>
                  <pic:nvPicPr>
                    <pic:cNvPr id="0" name="image7-41.png"/>
                    <pic:cNvPicPr/>
                  </pic:nvPicPr>
                  <pic:blipFill>
                    <a:blip r:embed="rId14"/>
                    <a:stretch>
                      <a:fillRect/>
                    </a:stretch>
                  </pic:blipFill>
                  <pic:spPr>
                    <a:xfrm>
                      <a:off x="0" y="0"/>
                      <a:ext cx="6217920" cy="4318000"/>
                    </a:xfrm>
                    <a:prstGeom prst="rect"/>
                  </pic:spPr>
                </pic:pic>
              </a:graphicData>
            </a:graphic>
          </wp:inline>
        </w:drawing>
      </w:r>
    </w:p>
    <w:p>
      <w:pPr>
        <w:pStyle w:val="SmallNote"/>
        <w:jc w:val="center"/>
      </w:pPr>
      <w:r>
        <w:rPr>
          <w:rFonts w:ascii="Arial" w:hAnsi="Arial" w:eastAsia="Arial"/>
          <w:i/>
          <w:color w:val="36566F"/>
          <w:sz w:val="15"/>
        </w:rPr>
        <w:t>Preserved v1.5.1 reference: modular monolith with governed AI and deterministic trust boundaries.</w:t>
      </w:r>
    </w:p>
    <w:p>
      <w:pPr>
        <w:pStyle w:val="Heading2"/>
      </w:pPr>
      <w:r>
        <w:t>Seven non-negotiable architecture rules</w:t>
      </w: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1. CANONICAL SLATE IS TRUTH</w:t>
            </w:r>
          </w:p>
          <w:p>
            <w:pPr>
              <w:spacing w:after="0" w:line="250" w:lineRule="auto"/>
            </w:pPr>
            <w:r>
              <w:rPr>
                <w:rFonts w:ascii="Arial" w:hAnsi="Arial" w:eastAsia="Arial"/>
                <w:color w:val="111827"/>
                <w:sz w:val="18"/>
              </w:rPr>
              <w:t>AI interpretations are separate, private, time-bounded records and never overwrite confirmed history, identity, dates, metrics, ownership, audience, or publication state.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2. AUTHORIZATION BEFORE RETRIEVAL</w:t>
            </w:r>
          </w:p>
          <w:p>
            <w:pPr>
              <w:spacing w:after="0" w:line="250" w:lineRule="auto"/>
            </w:pPr>
            <w:r>
              <w:rPr>
                <w:rFonts w:ascii="Arial" w:hAnsi="Arial" w:eastAsia="Arial"/>
                <w:color w:val="111827"/>
                <w:sz w:val="18"/>
              </w:rPr>
              <w:t>Resolve trusted identity, relationship, audience, consent, sensitivity, and workflow scope before any SQL, search, media, cache, or AI retrieval.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3. DETERMINISTIC CONTROLS OWN TRUST</w:t>
            </w:r>
          </w:p>
          <w:p>
            <w:pPr>
              <w:spacing w:after="0" w:line="250" w:lineRule="auto"/>
            </w:pPr>
            <w:r>
              <w:rPr>
                <w:rFonts w:ascii="Arial" w:hAnsi="Arial" w:eastAsia="Arial"/>
                <w:color w:val="111827"/>
                <w:sz w:val="18"/>
              </w:rPr>
              <w:t>Application code controls identity, authorization, state transitions, publication, deletion, export, retention, schemas, rate limits, and release gates.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4. STRUCTURED DATA FIRST</w:t>
            </w:r>
          </w:p>
          <w:p>
            <w:pPr>
              <w:spacing w:after="0" w:line="250" w:lineRule="auto"/>
            </w:pPr>
            <w:r>
              <w:rPr>
                <w:rFonts w:ascii="Arial" w:hAnsi="Arial" w:eastAsia="Arial"/>
                <w:color w:val="111827"/>
                <w:sz w:val="18"/>
              </w:rPr>
              <w:t>Use canonical records, relationships, provenance, dates, activity, and full-text search before embeddings. Keep semantic retrieval behind an abstraction and justify it with measured need.</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5. INTERPRETATIONS HAVE LIFECYCLE</w:t>
            </w:r>
          </w:p>
          <w:p>
            <w:pPr>
              <w:spacing w:after="0" w:line="250" w:lineRule="auto"/>
            </w:pPr>
            <w:r>
              <w:rPr>
                <w:rFonts w:ascii="Arial" w:hAnsi="Arial" w:eastAsia="Arial"/>
                <w:color w:val="111827"/>
                <w:sz w:val="18"/>
              </w:rPr>
              <w:t>Trigger, authorized scope, retrieval, proposal, deterministic validation, member review, optional activation, and outcome closure are explicit states.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6. CORRECTIONS CHANGE FUTURE BEHAVIOR</w:t>
            </w:r>
          </w:p>
          <w:p>
            <w:pPr>
              <w:spacing w:after="0" w:line="250" w:lineRule="auto"/>
            </w:pPr>
            <w:r>
              <w:rPr>
                <w:rFonts w:ascii="Arial" w:hAnsi="Arial" w:eastAsia="Arial"/>
                <w:color w:val="111827"/>
                <w:sz w:val="18"/>
              </w:rPr>
              <w:t>Confirm, correct, dismiss, sensitivity, usefulness, contradiction, staleness, deletion, and revocation become governed product inputs.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7. AI FAILURE CANNOT BREAK THE PRODUCT</w:t>
            </w:r>
          </w:p>
          <w:p>
            <w:pPr>
              <w:spacing w:after="0" w:line="250" w:lineRule="auto"/>
            </w:pPr>
            <w:r>
              <w:rPr>
                <w:rFonts w:ascii="Arial" w:hAnsi="Arial" w:eastAsia="Arial"/>
                <w:color w:val="111827"/>
                <w:sz w:val="18"/>
              </w:rPr>
              <w:t>Core capture, review, editing, privacy, publication control, export, deletion, and approved public viewing remain safe and usable.</w:t>
            </w:r>
          </w:p>
        </w:tc>
      </w:tr>
    </w:tbl>
    <w:p>
      <w:pPr>
        <w:spacing w:after="0"/>
      </w:pPr>
    </w:p>
    <w:p>
      <w:pPr>
        <w:pStyle w:val="Heading2"/>
      </w:pPr>
      <w:r>
        <w:t>Environment and delivery boundaries</w:t>
      </w:r>
    </w:p>
    <w:p>
      <w:pPr>
        <w:pStyle w:val="ListBullet"/>
        <w:spacing w:after="50" w:line="247" w:lineRule="auto"/>
      </w:pPr>
      <w:r>
        <w:rPr>
          <w:rFonts w:ascii="Arial" w:hAnsi="Arial" w:eastAsia="Arial"/>
        </w:rPr>
        <w:t>Separate local, development, staging, and production configuration, data, identities, secrets, storage, callbacks, telemetry, and release permissions.</w:t>
      </w:r>
    </w:p>
    <w:p>
      <w:pPr>
        <w:pStyle w:val="ListBullet"/>
        <w:spacing w:after="50" w:line="247" w:lineRule="auto"/>
      </w:pPr>
      <w:r>
        <w:rPr>
          <w:rFonts w:ascii="Arial" w:hAnsi="Arial" w:eastAsia="Arial"/>
        </w:rPr>
        <w:t>Use database migrations with forward and rollback evidence; never depend on manual production schema drift.</w:t>
      </w:r>
    </w:p>
    <w:p>
      <w:pPr>
        <w:pStyle w:val="ListBullet"/>
        <w:spacing w:after="50" w:line="247" w:lineRule="auto"/>
      </w:pPr>
      <w:r>
        <w:rPr>
          <w:rFonts w:ascii="Arial" w:hAnsi="Arial" w:eastAsia="Arial"/>
        </w:rPr>
        <w:t>Use private Blob Storage containers and server-authorized delivery for resumes, source files, photos, audio, and other member media.</w:t>
      </w:r>
    </w:p>
    <w:p>
      <w:pPr>
        <w:pStyle w:val="ListBullet"/>
        <w:spacing w:after="50" w:line="247" w:lineRule="auto"/>
      </w:pPr>
      <w:r>
        <w:rPr>
          <w:rFonts w:ascii="Arial" w:hAnsi="Arial" w:eastAsia="Arial"/>
        </w:rPr>
        <w:t>Use managed identity and Key Vault where practical; no provider keys or durable secrets in the browser or source control.</w:t>
      </w:r>
    </w:p>
    <w:p>
      <w:pPr>
        <w:pStyle w:val="ListBullet"/>
        <w:spacing w:after="50" w:line="247" w:lineRule="auto"/>
      </w:pPr>
      <w:r>
        <w:rPr>
          <w:rFonts w:ascii="Arial" w:hAnsi="Arial" w:eastAsia="Arial"/>
        </w:rPr>
        <w:t>Long-running imports, transcription, media processing, and AI jobs use explicit queued, processing, needs-review, complete, failed, cancelled, and deleted states.</w:t>
      </w:r>
    </w:p>
    <w:p>
      <w:pPr>
        <w:pStyle w:val="ListBullet"/>
        <w:spacing w:after="50" w:line="247" w:lineRule="auto"/>
      </w:pPr>
      <w:r>
        <w:rPr>
          <w:rFonts w:ascii="Arial" w:hAnsi="Arial" w:eastAsia="Arial"/>
        </w:rPr>
        <w:t>Observability must be privacy-safe and sufficient to understand failures, latency, authorization, model/provider behavior, cost, release health, and rollback triggers without logging private payloads.</w:t>
      </w:r>
    </w:p>
    <w:p>
      <w:pPr>
        <w:pStyle w:val="Heading2"/>
      </w:pPr>
      <w:r>
        <w:t>Current Azure resource order</w:t>
      </w:r>
    </w:p>
    <w:p>
      <w:r>
        <w:rPr>
          <w:rFonts w:ascii="Arial" w:hAnsi="Arial" w:eastAsia="Arial"/>
          <w:i w:val="0"/>
        </w:rPr>
        <w:t>The current resource sequence is preserved as a roadmap dependency, not expanded into Bible-level cloud inventory:</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cantSplit/>
        </w:trPr>
        <w:tc>
          <w:tcPr>
            <w:tcW w:type="dxa" w:w="144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External identity</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Migration discipline</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Private Blob Storage</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Managed identity + Key Vault</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Speech</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Background work</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Monitoring + cost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POSTPONE UNTIL JUSTIFIED</w:t>
            </w:r>
          </w:p>
          <w:p>
            <w:pPr>
              <w:spacing w:after="0" w:line="250" w:lineRule="auto"/>
            </w:pPr>
            <w:r>
              <w:rPr>
                <w:rFonts w:ascii="Arial" w:hAnsi="Arial" w:eastAsia="Arial"/>
                <w:color w:val="111827"/>
                <w:sz w:val="18"/>
              </w:rPr>
              <w:t>Premature microservices, Kubernetes, broad semantic/vector infrastructure, public recruiter search, large-scale matching, advanced video processing, and marketplace capabilities remain outside the current architectural program.</w:t>
            </w:r>
          </w:p>
        </w:tc>
      </w:tr>
    </w:tbl>
    <w:p>
      <w:pPr>
        <w:spacing w:after="0"/>
      </w:pPr>
    </w:p>
    <w:p>
      <w:pPr>
        <w:pStyle w:val="Heading1"/>
      </w:pPr>
      <w:r>
        <w:t>13. Product Delivery and Assurance Loop</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Every material change must follow this loop. Detailed templates, methods, test suites, and evidence storage belong in the Delivery and Assurance Playbook.</w:t>
            </w:r>
          </w:p>
        </w:tc>
      </w:tr>
    </w:tbl>
    <w:p>
      <w:pPr>
        <w:spacing w:after="0"/>
      </w:pPr>
    </w:p>
    <w:p>
      <w:pPr>
        <w:pStyle w:val="Heading2"/>
      </w:pPr>
      <w:r>
        <w:t>Architecture and requirements are co-developed</w:t>
      </w:r>
    </w:p>
    <w:p>
      <w:r>
        <w:rPr>
          <w:rFonts w:ascii="Arial" w:hAnsi="Arial" w:eastAsia="Arial"/>
          <w:i w:val="0"/>
        </w:rPr>
        <w:t>PeerSlate should not “finish architecture” and then invent requirements, or write a feature list and ask architecture to absorb it afterward. The team starts with the member need and governing constraints, drafts measurable shall requirements, develops candidate architecture, allocates each requirement to architecture and data, identifies missing or unjustified elements, prototypes risk, and iterates until both baselines satisfy one another.</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BASELINE RULE</w:t>
            </w:r>
          </w:p>
          <w:p>
            <w:pPr>
              <w:spacing w:after="0" w:line="250" w:lineRule="auto"/>
            </w:pPr>
            <w:r>
              <w:rPr>
                <w:rFonts w:ascii="Arial" w:hAnsi="Arial" w:eastAsia="Arial"/>
                <w:color w:val="111827"/>
                <w:sz w:val="18"/>
              </w:rPr>
              <w:t>A requirements baseline is not approved while a mandatory requirement lacks architecture allocation. An architecture baseline is not approved while an element lacks a requirement, risk, constraint, or operational justification.</w:t>
            </w:r>
          </w:p>
        </w:tc>
      </w:tr>
    </w:tbl>
    <w:p>
      <w:pPr>
        <w:spacing w:after="0"/>
      </w:pPr>
    </w:p>
    <w:p>
      <w:pPr>
        <w:pStyle w:val="Heading2"/>
      </w:pPr>
      <w:r>
        <w:t>The Build Assurance Loop</w:t>
      </w:r>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cantSplit/>
        </w:trPr>
        <w:tc>
          <w:tcPr>
            <w:tcW w:type="dxa" w:w="112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Member need</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Initiative brief</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Requirements</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Prototype</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Architecture allocation</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Implement</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Verify</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8</w:t>
            </w:r>
          </w:p>
          <w:p>
            <w:pPr>
              <w:spacing w:after="0"/>
              <w:jc w:val="center"/>
            </w:pPr>
            <w:r>
              <w:rPr>
                <w:rFonts w:ascii="Arial" w:hAnsi="Arial" w:eastAsia="Arial"/>
                <w:b/>
                <w:color w:val="17324D"/>
                <w:sz w:val="14"/>
              </w:rPr>
              <w:t>Validate</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9</w:t>
            </w:r>
          </w:p>
          <w:p>
            <w:pPr>
              <w:spacing w:after="0"/>
              <w:jc w:val="center"/>
            </w:pPr>
            <w:r>
              <w:rPr>
                <w:rFonts w:ascii="Arial" w:hAnsi="Arial" w:eastAsia="Arial"/>
                <w:b/>
                <w:color w:val="17324D"/>
                <w:sz w:val="14"/>
              </w:rPr>
              <w:t>Release + learn</w:t>
            </w:r>
          </w:p>
        </w:tc>
      </w:tr>
    </w:tbl>
    <w:p>
      <w:pPr>
        <w:spacing w:after="20"/>
      </w:pPr>
    </w:p>
    <w:p>
      <w:pPr>
        <w:keepNext/>
        <w:jc w:val="center"/>
      </w:pPr>
      <w:r>
        <w:drawing>
          <wp:inline xmlns:a="http://schemas.openxmlformats.org/drawingml/2006/main" xmlns:pic="http://schemas.openxmlformats.org/drawingml/2006/picture">
            <wp:extent cx="6217920" cy="3454400"/>
            <wp:docPr id="4" name="Picture 4" descr="PeerSlate Build Assurance Loop: needs, requirements, architecture, prototype, implementation, verification, validation, release, production verification, and learning remain traceable." title="PeerSlate diagram 4"/>
            <wp:cNvGraphicFramePr>
              <a:graphicFrameLocks noChangeAspect="1"/>
            </wp:cNvGraphicFramePr>
            <a:graphic>
              <a:graphicData uri="http://schemas.openxmlformats.org/drawingml/2006/picture">
                <pic:pic>
                  <pic:nvPicPr>
                    <pic:cNvPr id="0" name="image9-45.png"/>
                    <pic:cNvPicPr/>
                  </pic:nvPicPr>
                  <pic:blipFill>
                    <a:blip r:embed="rId15"/>
                    <a:stretch>
                      <a:fillRect/>
                    </a:stretch>
                  </pic:blipFill>
                  <pic:spPr>
                    <a:xfrm>
                      <a:off x="0" y="0"/>
                      <a:ext cx="6217920" cy="3454400"/>
                    </a:xfrm>
                    <a:prstGeom prst="rect"/>
                  </pic:spPr>
                </pic:pic>
              </a:graphicData>
            </a:graphic>
          </wp:inline>
        </w:drawing>
      </w:r>
    </w:p>
    <w:p>
      <w:pPr>
        <w:pStyle w:val="SmallNote"/>
        <w:jc w:val="center"/>
      </w:pPr>
      <w:r>
        <w:rPr>
          <w:rFonts w:ascii="Arial" w:hAnsi="Arial" w:eastAsia="Arial"/>
          <w:i/>
          <w:color w:val="36566F"/>
          <w:sz w:val="15"/>
        </w:rPr>
        <w:t>Preserved v1.5.1 assurance model: requirements, implementation, tests, verification, validation, and release remain bidirectionally traceable.</w:t>
      </w:r>
    </w:p>
    <w:p>
      <w:pPr>
        <w:pStyle w:val="Heading2"/>
      </w:pPr>
      <w:r>
        <w:t>Required initiative workflow</w:t>
      </w:r>
    </w:p>
    <w:p>
      <w:pPr>
        <w:pStyle w:val="ListBullet"/>
        <w:spacing w:after="50" w:line="247" w:lineRule="auto"/>
      </w:pPr>
      <w:r>
        <w:rPr>
          <w:rFonts w:ascii="Arial" w:hAnsi="Arial" w:eastAsia="Arial"/>
          <w:b/>
        </w:rPr>
        <w:t xml:space="preserve">1. User problem and discovery. </w:t>
      </w:r>
      <w:r>
        <w:rPr>
          <w:rFonts w:ascii="Arial" w:hAnsi="Arial" w:eastAsia="Arial"/>
        </w:rPr>
        <w:t>Describe the real member moment, current workaround, risk, and desired outcome.</w:t>
      </w:r>
    </w:p>
    <w:p>
      <w:pPr>
        <w:pStyle w:val="ListBullet"/>
        <w:spacing w:after="50" w:line="247" w:lineRule="auto"/>
      </w:pPr>
      <w:r>
        <w:rPr>
          <w:rFonts w:ascii="Arial" w:hAnsi="Arial" w:eastAsia="Arial"/>
          <w:b/>
        </w:rPr>
        <w:t xml:space="preserve">2. Initiative brief. </w:t>
      </w:r>
      <w:r>
        <w:rPr>
          <w:rFonts w:ascii="Arial" w:hAnsi="Arial" w:eastAsia="Arial"/>
        </w:rPr>
        <w:t>State purpose, intended outcome, scope, out of scope, roles, dependencies, risks, success measures, and the Bible principles that authorize or constrain the work.</w:t>
      </w:r>
    </w:p>
    <w:p>
      <w:pPr>
        <w:pStyle w:val="ListBullet"/>
        <w:spacing w:after="50" w:line="247" w:lineRule="auto"/>
      </w:pPr>
      <w:r>
        <w:rPr>
          <w:rFonts w:ascii="Arial" w:hAnsi="Arial" w:eastAsia="Arial"/>
          <w:b/>
        </w:rPr>
        <w:t xml:space="preserve">3. Requirements baseline. </w:t>
      </w:r>
      <w:r>
        <w:rPr>
          <w:rFonts w:ascii="Arial" w:hAnsi="Arial" w:eastAsia="Arial"/>
        </w:rPr>
        <w:t>Write uniquely identified functional, data, AI, security/privacy, accessibility, performance, reliability, observability, migration, and assurance “shall” statements.</w:t>
      </w:r>
    </w:p>
    <w:p>
      <w:pPr>
        <w:pStyle w:val="ListBullet"/>
        <w:spacing w:after="50" w:line="247" w:lineRule="auto"/>
      </w:pPr>
      <w:r>
        <w:rPr>
          <w:rFonts w:ascii="Arial" w:hAnsi="Arial" w:eastAsia="Arial"/>
          <w:b/>
        </w:rPr>
        <w:t xml:space="preserve">4. Experience prototype. </w:t>
      </w:r>
      <w:r>
        <w:rPr>
          <w:rFonts w:ascii="Arial" w:hAnsi="Arial" w:eastAsia="Arial"/>
        </w:rPr>
        <w:t>Prototype the riskiest user journey with production-intent states, content, privacy, accessibility, and failure behavior. Do not fake persistence, sharing, AI, or completion.</w:t>
      </w:r>
    </w:p>
    <w:p>
      <w:pPr>
        <w:pStyle w:val="ListBullet"/>
        <w:spacing w:after="50" w:line="247" w:lineRule="auto"/>
      </w:pPr>
      <w:r>
        <w:rPr>
          <w:rFonts w:ascii="Arial" w:hAnsi="Arial" w:eastAsia="Arial"/>
          <w:b/>
        </w:rPr>
        <w:t xml:space="preserve">5. Architecture and data design. </w:t>
      </w:r>
      <w:r>
        <w:rPr>
          <w:rFonts w:ascii="Arial" w:hAnsi="Arial" w:eastAsia="Arial"/>
        </w:rPr>
        <w:t>Allocate every requirement to components, data, state, APIs, authorization, providers, monitoring, rollout, and rollback. Record significant decisions.</w:t>
      </w:r>
    </w:p>
    <w:p>
      <w:pPr>
        <w:pStyle w:val="ListBullet"/>
        <w:spacing w:after="50" w:line="247" w:lineRule="auto"/>
      </w:pPr>
      <w:r>
        <w:rPr>
          <w:rFonts w:ascii="Arial" w:hAnsi="Arial" w:eastAsia="Arial"/>
          <w:b/>
        </w:rPr>
        <w:t xml:space="preserve">6. Traceability baseline. </w:t>
      </w:r>
      <w:r>
        <w:rPr>
          <w:rFonts w:ascii="Arial" w:hAnsi="Arial" w:eastAsia="Arial"/>
        </w:rPr>
        <w:t>Connect member need → requirement → architecture → implementation → test → verification → validation → release.</w:t>
      </w:r>
    </w:p>
    <w:p>
      <w:pPr>
        <w:pStyle w:val="ListBullet"/>
        <w:spacing w:after="50" w:line="247" w:lineRule="auto"/>
      </w:pPr>
      <w:r>
        <w:rPr>
          <w:rFonts w:ascii="Arial" w:hAnsi="Arial" w:eastAsia="Arial"/>
          <w:b/>
        </w:rPr>
        <w:t xml:space="preserve">7. Implementation. </w:t>
      </w:r>
      <w:r>
        <w:rPr>
          <w:rFonts w:ascii="Arial" w:hAnsi="Arial" w:eastAsia="Arial"/>
        </w:rPr>
        <w:t>Build a vertical slice containing identity, data, behavior, privacy, UI, tests, telemetry, and user value together.</w:t>
      </w:r>
    </w:p>
    <w:p>
      <w:pPr>
        <w:pStyle w:val="ListBullet"/>
        <w:spacing w:after="50" w:line="247" w:lineRule="auto"/>
      </w:pPr>
      <w:r>
        <w:rPr>
          <w:rFonts w:ascii="Arial" w:hAnsi="Arial" w:eastAsia="Arial"/>
          <w:b/>
        </w:rPr>
        <w:t xml:space="preserve">8. Verification. </w:t>
      </w:r>
      <w:r>
        <w:rPr>
          <w:rFonts w:ascii="Arial" w:hAnsi="Arial" w:eastAsia="Arial"/>
        </w:rPr>
        <w:t>Produce objective evidence that the approved system was built correctly.</w:t>
      </w:r>
    </w:p>
    <w:p>
      <w:pPr>
        <w:pStyle w:val="ListBullet"/>
        <w:spacing w:after="50" w:line="247" w:lineRule="auto"/>
      </w:pPr>
      <w:r>
        <w:rPr>
          <w:rFonts w:ascii="Arial" w:hAnsi="Arial" w:eastAsia="Arial"/>
          <w:b/>
        </w:rPr>
        <w:t xml:space="preserve">9. Validation. </w:t>
      </w:r>
      <w:r>
        <w:rPr>
          <w:rFonts w:ascii="Arial" w:hAnsi="Arial" w:eastAsia="Arial"/>
        </w:rPr>
        <w:t>Observe real members performing real tasks and prove the experience solves the intended problem.</w:t>
      </w:r>
    </w:p>
    <w:p>
      <w:pPr>
        <w:pStyle w:val="ListBullet"/>
        <w:spacing w:after="50" w:line="247" w:lineRule="auto"/>
      </w:pPr>
      <w:r>
        <w:rPr>
          <w:rFonts w:ascii="Arial" w:hAnsi="Arial" w:eastAsia="Arial"/>
          <w:b/>
        </w:rPr>
        <w:t xml:space="preserve">10. Release and production verification. </w:t>
      </w:r>
      <w:r>
        <w:rPr>
          <w:rFonts w:ascii="Arial" w:hAnsi="Arial" w:eastAsia="Arial"/>
        </w:rPr>
        <w:t>Deploy with rollback, verify production behavior, monitor outcomes, record limitations, and update the Roadmap or Bible only when the evidence changes direction.</w:t>
      </w:r>
    </w:p>
    <w:p>
      <w:pPr>
        <w:pStyle w:val="Heading2"/>
      </w:pPr>
      <w:r>
        <w:t>The eight questions every initiative must answer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48"/>
            <w:shd w:fill="17324D"/>
            <w:tcMar>
              <w:top w:w="90" w:type="dxa"/>
              <w:start w:w="95" w:type="dxa"/>
              <w:bottom w:w="90" w:type="dxa"/>
              <w:end w:w="95" w:type="dxa"/>
            </w:tcMar>
          </w:tcPr>
          <w:p>
            <w:pPr>
              <w:jc w:val="left"/>
            </w:pPr>
            <w:r>
              <w:rPr>
                <w:rFonts w:ascii="Arial" w:hAnsi="Arial" w:eastAsia="Arial"/>
                <w:b/>
                <w:color w:val="FFFFFF"/>
                <w:sz w:val="15"/>
              </w:rPr>
              <w:t>#</w:t>
            </w:r>
          </w:p>
        </w:tc>
        <w:tc>
          <w:tcPr>
            <w:tcW w:type="dxa" w:w="9432"/>
            <w:shd w:fill="17324D"/>
            <w:tcMar>
              <w:top w:w="90" w:type="dxa"/>
              <w:start w:w="95" w:type="dxa"/>
              <w:bottom w:w="90" w:type="dxa"/>
              <w:end w:w="95" w:type="dxa"/>
            </w:tcMar>
          </w:tcPr>
          <w:p>
            <w:pPr>
              <w:jc w:val="left"/>
            </w:pPr>
            <w:r>
              <w:rPr>
                <w:rFonts w:ascii="Arial" w:hAnsi="Arial" w:eastAsia="Arial"/>
                <w:b/>
                <w:color w:val="FFFFFF"/>
                <w:sz w:val="15"/>
              </w:rPr>
              <w:t>Question</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1</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Which Bible principles authorize or constrain this initiative?</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2</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Which member need and real moment does it solve?</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3</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Which uniquely identified requirements define acceptable behavior?</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4</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Which architecture, data, privacy, security, and design elements satisfy each requirement?</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5</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Which tests verify each requirement and risk?</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6</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What validation proves the experience is valuable, understandable, and trustworthy to a real member?</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7</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What evidence proves the change is safe and complete, including migration and rollback?</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8</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What learning updates future behavior, the Roadmap, system standards, or the Bible?</w:t>
            </w:r>
          </w:p>
        </w:tc>
      </w:tr>
    </w:tbl>
    <w:p>
      <w:pPr>
        <w:spacing w:after="20"/>
      </w:pPr>
    </w:p>
    <w:p>
      <w:pPr>
        <w:pStyle w:val="Heading2"/>
      </w:pPr>
      <w:r>
        <w:t>Verification and validation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24D"/>
            <w:tcMar>
              <w:top w:w="90" w:type="dxa"/>
              <w:start w:w="95" w:type="dxa"/>
              <w:bottom w:w="90" w:type="dxa"/>
              <w:end w:w="95" w:type="dxa"/>
            </w:tcMar>
          </w:tcPr>
          <w:p>
            <w:pPr>
              <w:jc w:val="left"/>
            </w:pPr>
            <w:r>
              <w:rPr>
                <w:rFonts w:ascii="Arial" w:hAnsi="Arial" w:eastAsia="Arial"/>
                <w:b/>
                <w:color w:val="FFFFFF"/>
                <w:sz w:val="15"/>
              </w:rPr>
              <w:t>Discipline</w:t>
            </w:r>
          </w:p>
        </w:tc>
        <w:tc>
          <w:tcPr>
            <w:tcW w:type="dxa" w:w="2952"/>
            <w:shd w:fill="17324D"/>
            <w:tcMar>
              <w:top w:w="90" w:type="dxa"/>
              <w:start w:w="95" w:type="dxa"/>
              <w:bottom w:w="90" w:type="dxa"/>
              <w:end w:w="95" w:type="dxa"/>
            </w:tcMar>
          </w:tcPr>
          <w:p>
            <w:pPr>
              <w:jc w:val="left"/>
            </w:pPr>
            <w:r>
              <w:rPr>
                <w:rFonts w:ascii="Arial" w:hAnsi="Arial" w:eastAsia="Arial"/>
                <w:b/>
                <w:color w:val="FFFFFF"/>
                <w:sz w:val="15"/>
              </w:rPr>
              <w:t>Question</w:t>
            </w:r>
          </w:p>
        </w:tc>
        <w:tc>
          <w:tcPr>
            <w:tcW w:type="dxa" w:w="5616"/>
            <w:shd w:fill="17324D"/>
            <w:tcMar>
              <w:top w:w="90" w:type="dxa"/>
              <w:start w:w="95" w:type="dxa"/>
              <w:bottom w:w="90" w:type="dxa"/>
              <w:end w:w="95" w:type="dxa"/>
            </w:tcMar>
          </w:tcPr>
          <w:p>
            <w:pPr>
              <w:jc w:val="left"/>
            </w:pPr>
            <w:r>
              <w:rPr>
                <w:rFonts w:ascii="Arial" w:hAnsi="Arial" w:eastAsia="Arial"/>
                <w:b/>
                <w:color w:val="FFFFFF"/>
                <w:sz w:val="15"/>
              </w:rPr>
              <w:t>Minimum evidence</w:t>
            </w:r>
          </w:p>
        </w:tc>
      </w:tr>
      <w:tr>
        <w:trPr>
          <w:cantSplit/>
        </w:trPr>
        <w:tc>
          <w:tcPr>
            <w:tcW w:type="dxa" w:w="151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Verification</w:t>
            </w:r>
          </w:p>
        </w:tc>
        <w:tc>
          <w:tcPr>
            <w:tcW w:type="dxa" w:w="295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Was the approved system built correctly?</w:t>
            </w:r>
          </w:p>
        </w:tc>
        <w:tc>
          <w:tcPr>
            <w:tcW w:type="dxa" w:w="561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Unit, integration, contract, migration/rollback, authorization and isolation, audience, media, security, AI grounding/safety, accessibility, responsive, performance, resilience, observability, regression, export/deletion, and outage tests.</w:t>
            </w:r>
          </w:p>
        </w:tc>
      </w:tr>
      <w:tr>
        <w:trPr>
          <w:cantSplit/>
        </w:trPr>
        <w:tc>
          <w:tcPr>
            <w:tcW w:type="dxa" w:w="151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Validation</w:t>
            </w:r>
          </w:p>
        </w:tc>
        <w:tc>
          <w:tcPr>
            <w:tcW w:type="dxa" w:w="295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Did we build the right member experience?</w:t>
            </w:r>
          </w:p>
        </w:tc>
        <w:tc>
          <w:tcPr>
            <w:tcW w:type="dxa" w:w="561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Real member tasks without a product tour; privacy understanding; source/uncertainty comprehension; useful correction; successful completion; return value; trust; and decision to continue, revise, or remove.</w:t>
            </w:r>
          </w:p>
        </w:tc>
      </w:tr>
    </w:tbl>
    <w:p>
      <w:pPr>
        <w:spacing w:after="20"/>
      </w:pPr>
    </w:p>
    <w:p>
      <w:pPr>
        <w:pStyle w:val="Heading2"/>
      </w:pPr>
      <w:r>
        <w:t>Release status rule</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MISSING EVIDENCE MEANS IN PROGRESS</w:t>
            </w:r>
          </w:p>
          <w:p>
            <w:pPr>
              <w:spacing w:after="0" w:line="250" w:lineRule="auto"/>
            </w:pPr>
            <w:r>
              <w:rPr>
                <w:rFonts w:ascii="Arial" w:hAnsi="Arial" w:eastAsia="Arial"/>
                <w:color w:val="111827"/>
                <w:sz w:val="18"/>
              </w:rPr>
              <w:t>A release cannot be Complete while a mandatory requirement is untraced, an acceptance criterion failed, cross-user exposure is possible, accidental publication remains, a private payload leaked, a critical AI claim is unsupported, a high-risk privacy/security defect is unresolved, an accessibility blocker exists, a migration is unsafe, rollback is unproven, or production verification is missing.</w:t>
            </w:r>
          </w:p>
        </w:tc>
      </w:tr>
    </w:tbl>
    <w:p>
      <w:pPr>
        <w:spacing w:after="0"/>
      </w:pPr>
    </w:p>
    <w:p>
      <w:pPr>
        <w:pStyle w:val="Heading1"/>
      </w:pPr>
      <w:r>
        <w:t>14. Top-level mandatory requirements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These governing “shall” statements apply across the product. The detailed v1.5.1 requirements remain preserved and should be migrated into the Requirements Registry and initiative packages.</w:t>
            </w:r>
          </w:p>
        </w:tc>
      </w:tr>
    </w:tbl>
    <w:p>
      <w:pPr>
        <w:spacing w:after="0"/>
      </w:pPr>
    </w:p>
    <w:p>
      <w:r>
        <w:rPr>
          <w:rFonts w:ascii="Arial" w:hAnsi="Arial" w:eastAsia="Arial"/>
          <w:i w:val="0"/>
        </w:rPr>
        <w:t>Each requirement must be bidirectionally traceable through member need, architecture allocation, implementation artifact, test, verification evidence, validation evidence, and release decision. Initiative requirements may strengthen these statements but may not weaken them without an approved Bible change.</w:t>
      </w:r>
    </w:p>
    <w:p>
      <w:pPr>
        <w:pStyle w:val="Heading2"/>
      </w:pPr>
      <w:r>
        <w:t>14.1 Member value and ethics</w:t>
      </w:r>
    </w:p>
    <w:p>
      <w:pPr>
        <w:pStyle w:val="Requirement"/>
        <w:keepLines/>
      </w:pPr>
      <w:r>
        <w:rPr>
          <w:rStyle w:val="CodeID"/>
        </w:rPr>
        <w:t xml:space="preserve">PS-CORE-VAL-001  </w:t>
      </w:r>
      <w:r>
        <w:rPr>
          <w:rFonts w:ascii="Arial" w:hAnsi="Arial" w:eastAsia="Arial"/>
          <w:sz w:val="18"/>
        </w:rPr>
        <w:t>PeerSlate shall make the member the primary beneficiary of product behavior and shall not optimize engagement, popularity, recruiter convenience, or application volume at the member’s expense.</w:t>
      </w:r>
    </w:p>
    <w:p>
      <w:pPr>
        <w:pStyle w:val="Requirement"/>
        <w:keepLines/>
      </w:pPr>
      <w:r>
        <w:rPr>
          <w:rStyle w:val="CodeID"/>
        </w:rPr>
        <w:t xml:space="preserve">PS-CORE-VAL-002  </w:t>
      </w:r>
      <w:r>
        <w:rPr>
          <w:rFonts w:ascii="Arial" w:hAnsi="Arial" w:eastAsia="Arial"/>
          <w:sz w:val="18"/>
        </w:rPr>
        <w:t>PeerSlate shall preserve the member’s authority over facts, interpretation, audience, publication, retention, export, and deletion.</w:t>
      </w:r>
    </w:p>
    <w:p>
      <w:pPr>
        <w:pStyle w:val="Requirement"/>
        <w:keepLines/>
      </w:pPr>
      <w:r>
        <w:rPr>
          <w:rStyle w:val="CodeID"/>
        </w:rPr>
        <w:t xml:space="preserve">PS-CORE-VAL-003  </w:t>
      </w:r>
      <w:r>
        <w:rPr>
          <w:rFonts w:ascii="Arial" w:hAnsi="Arial" w:eastAsia="Arial"/>
          <w:sz w:val="18"/>
        </w:rPr>
        <w:t>PeerSlate shall disclose uncertainty, limitations, prototype status, and insufficient information in language a member can understand.</w:t>
      </w:r>
    </w:p>
    <w:p>
      <w:pPr>
        <w:pStyle w:val="Requirement"/>
        <w:keepLines/>
      </w:pPr>
      <w:r>
        <w:rPr>
          <w:rStyle w:val="CodeID"/>
        </w:rPr>
        <w:t xml:space="preserve">PS-CORE-VAL-004  </w:t>
      </w:r>
      <w:r>
        <w:rPr>
          <w:rFonts w:ascii="Arial" w:hAnsi="Arial" w:eastAsia="Arial"/>
          <w:sz w:val="18"/>
        </w:rPr>
        <w:t>PeerSlate shall provide useful value to an employed professional independent of an active job search, recruiter visit, or public audience.</w:t>
      </w:r>
    </w:p>
    <w:p>
      <w:pPr>
        <w:pStyle w:val="Heading2"/>
      </w:pPr>
      <w:r>
        <w:t>14.2 Information architecture and experience</w:t>
      </w:r>
    </w:p>
    <w:p>
      <w:pPr>
        <w:pStyle w:val="Requirement"/>
        <w:keepLines/>
      </w:pPr>
      <w:r>
        <w:rPr>
          <w:rStyle w:val="CodeID"/>
        </w:rPr>
        <w:t xml:space="preserve">PS-CORE-IA-001  </w:t>
      </w:r>
      <w:r>
        <w:rPr>
          <w:rFonts w:ascii="Arial" w:hAnsi="Arial" w:eastAsia="Arial"/>
          <w:sz w:val="18"/>
        </w:rPr>
        <w:t>PeerSlate shall present one connected Slate with a private owner workspace and a public or permissioned viewer experience rather than disconnected product islands.</w:t>
      </w:r>
    </w:p>
    <w:p>
      <w:pPr>
        <w:pStyle w:val="Requirement"/>
        <w:keepLines/>
      </w:pPr>
      <w:r>
        <w:rPr>
          <w:rStyle w:val="CodeID"/>
        </w:rPr>
        <w:t xml:space="preserve">PS-CORE-IA-002  </w:t>
      </w:r>
      <w:r>
        <w:rPr>
          <w:rFonts w:ascii="Arial" w:hAnsi="Arial" w:eastAsia="Arial"/>
          <w:sz w:val="18"/>
        </w:rPr>
        <w:t>PeerSlate shall provide five-second orientation, approximately thirty-second understanding, and optional deeper exploration for major experiences.</w:t>
      </w:r>
    </w:p>
    <w:p>
      <w:pPr>
        <w:pStyle w:val="Requirement"/>
        <w:keepLines/>
      </w:pPr>
      <w:r>
        <w:rPr>
          <w:rStyle w:val="CodeID"/>
        </w:rPr>
        <w:t xml:space="preserve">PS-CORE-IA-003  </w:t>
      </w:r>
      <w:r>
        <w:rPr>
          <w:rFonts w:ascii="Arial" w:hAnsi="Arial" w:eastAsia="Arial"/>
          <w:sz w:val="18"/>
        </w:rPr>
        <w:t>PeerSlate shall provide a mobile-first composition with Home, Journal, Capture, Slate, and More, while preserving equivalent essential capability on desktop.</w:t>
      </w:r>
    </w:p>
    <w:p>
      <w:pPr>
        <w:pStyle w:val="Requirement"/>
        <w:keepLines/>
      </w:pPr>
      <w:r>
        <w:rPr>
          <w:rStyle w:val="CodeID"/>
        </w:rPr>
        <w:t xml:space="preserve">PS-CORE-IA-004  </w:t>
      </w:r>
      <w:r>
        <w:rPr>
          <w:rFonts w:ascii="Arial" w:hAnsi="Arial" w:eastAsia="Arial"/>
          <w:sz w:val="18"/>
        </w:rPr>
        <w:t>PeerSlate shall keep Home finite and shall not depend on infinite scroll, streak pressure, trending modules, popularity rails, or simulated community density.</w:t>
      </w:r>
    </w:p>
    <w:p>
      <w:pPr>
        <w:pStyle w:val="Requirement"/>
        <w:keepLines/>
      </w:pPr>
      <w:r>
        <w:rPr>
          <w:rStyle w:val="CodeID"/>
        </w:rPr>
        <w:t xml:space="preserve">PS-CORE-IA-005  </w:t>
      </w:r>
      <w:r>
        <w:rPr>
          <w:rFonts w:ascii="Arial" w:hAnsi="Arial" w:eastAsia="Arial"/>
          <w:sz w:val="18"/>
        </w:rPr>
        <w:t>PeerSlate shall embed member intelligence and activation inside existing product domains and shall not require a new global AI destination.</w:t>
      </w:r>
    </w:p>
    <w:p>
      <w:pPr>
        <w:pStyle w:val="Requirement"/>
      </w:pPr>
      <w:r>
        <w:t>PS-CORE-IA-006  The signed-in owner experience shall implement the approved five-board Deep Navy Gold visual baseline, preserving its hierarchy, state clarity, premium layered composition, and responsive accessibility across Home, Capture, Journal/My Slate, connected projections, and Studio/Moment Lab.</w:t>
      </w:r>
    </w:p>
    <w:p>
      <w:pPr>
        <w:pStyle w:val="Requirement"/>
      </w:pPr>
      <w:r>
        <w:t>PS-CORE-IA-007  PeerSlate shall provide visual and narrative continuity between the logged-out public experience and the authenticated owner workspace so public pages accurately establish the quality, purpose, and trust model a member encounters after sign-in.</w:t>
      </w:r>
    </w:p>
    <w:p>
      <w:pPr>
        <w:pStyle w:val="Requirement"/>
      </w:pPr>
      <w:r>
        <w:t>PS-CORE-IA-008  A broad public visual overhaul shall remain deferred until the owner-shell design system and core private loop are stable, except for explicitly approved focused refinements such as the Living Resume and Interview Studio packages.</w:t>
      </w:r>
    </w:p>
    <w:p>
      <w:pPr>
        <w:pStyle w:val="Requirement"/>
      </w:pPr>
      <w:r>
        <w:t>PS-CORE-IA-009  Every owner-approved production-intent visual authority shall be named in its initiative, and the real experience shall match or exceed its recognizable interaction model, hierarchy, composition, clarity, and professional finish.</w:t>
      </w:r>
    </w:p>
    <w:p>
      <w:pPr>
        <w:pStyle w:val="Requirement"/>
      </w:pPr>
      <w:r>
        <w:t>PS-CORE-IA-010  Every approved essential input alternative shall remain a first-class, complete path unless a later explicit owner decision supersedes it.</w:t>
      </w:r>
    </w:p>
    <w:p>
      <w:pPr>
        <w:pStyle w:val="Heading2"/>
      </w:pPr>
      <w:r>
        <w:t>14.3 Core functional behavior</w:t>
      </w:r>
    </w:p>
    <w:p>
      <w:pPr>
        <w:pStyle w:val="Requirement"/>
        <w:keepLines/>
      </w:pPr>
      <w:r>
        <w:rPr>
          <w:rStyle w:val="CodeID"/>
        </w:rPr>
        <w:t xml:space="preserve">PS-CORE-FR-001  </w:t>
      </w:r>
      <w:r>
        <w:rPr>
          <w:rFonts w:ascii="Arial" w:hAnsi="Arial" w:eastAsia="Arial"/>
          <w:sz w:val="18"/>
        </w:rPr>
        <w:t>Universal Capture shall create an owner-scoped private draft before placement, sharing, or publication.</w:t>
      </w:r>
    </w:p>
    <w:p>
      <w:pPr>
        <w:pStyle w:val="Requirement"/>
        <w:keepLines/>
      </w:pPr>
      <w:r>
        <w:rPr>
          <w:rStyle w:val="CodeID"/>
        </w:rPr>
        <w:t xml:space="preserve">PS-CORE-FR-002  </w:t>
      </w:r>
      <w:r>
        <w:rPr>
          <w:rFonts w:ascii="Arial" w:hAnsi="Arial" w:eastAsia="Arial"/>
          <w:sz w:val="18"/>
        </w:rPr>
        <w:t>PeerSlate shall preserve the original member input and shall show editable structured proposals before canonical promotion.</w:t>
      </w:r>
    </w:p>
    <w:p>
      <w:pPr>
        <w:pStyle w:val="Requirement"/>
        <w:keepLines/>
      </w:pPr>
      <w:r>
        <w:rPr>
          <w:rStyle w:val="CodeID"/>
        </w:rPr>
        <w:t xml:space="preserve">PS-CORE-FR-003  </w:t>
      </w:r>
      <w:r>
        <w:rPr>
          <w:rFonts w:ascii="Arial" w:hAnsi="Arial" w:eastAsia="Arial"/>
          <w:sz w:val="18"/>
        </w:rPr>
        <w:t>PeerSlate shall permit a reviewed Moment to connect to multiple approved uses without duplicating or silently diverging canonical facts.</w:t>
      </w:r>
    </w:p>
    <w:p>
      <w:pPr>
        <w:pStyle w:val="Requirement"/>
        <w:keepLines/>
      </w:pPr>
      <w:r>
        <w:rPr>
          <w:rStyle w:val="CodeID"/>
        </w:rPr>
        <w:t xml:space="preserve">PS-CORE-FR-004  </w:t>
      </w:r>
      <w:r>
        <w:rPr>
          <w:rFonts w:ascii="Arial" w:hAnsi="Arial" w:eastAsia="Arial"/>
          <w:sz w:val="18"/>
        </w:rPr>
        <w:t>PeerSlate shall provide explicit member actions to approve, edit, split, defer, keep private, share, publish, revoke, and delete where applicable.</w:t>
      </w:r>
    </w:p>
    <w:p>
      <w:pPr>
        <w:pStyle w:val="Requirement"/>
        <w:keepLines/>
      </w:pPr>
      <w:r>
        <w:rPr>
          <w:rStyle w:val="CodeID"/>
        </w:rPr>
        <w:t xml:space="preserve">PS-CORE-FR-005  </w:t>
      </w:r>
      <w:r>
        <w:rPr>
          <w:rFonts w:ascii="Arial" w:hAnsi="Arial" w:eastAsia="Arial"/>
          <w:sz w:val="18"/>
        </w:rPr>
        <w:t>PeerSlate shall show an exact audience preview before a member commits a share or publication state transition.</w:t>
      </w:r>
    </w:p>
    <w:p>
      <w:pPr>
        <w:pStyle w:val="Requirement"/>
        <w:keepLines/>
      </w:pPr>
      <w:r>
        <w:rPr>
          <w:rStyle w:val="CodeID"/>
        </w:rPr>
        <w:t xml:space="preserve">PS-CORE-FR-006  </w:t>
      </w:r>
      <w:r>
        <w:rPr>
          <w:rFonts w:ascii="Arial" w:hAnsi="Arial" w:eastAsia="Arial"/>
          <w:sz w:val="18"/>
        </w:rPr>
        <w:t>PeerSlate shall remain useful for capture, private save, review, editing, privacy control, export, deletion, and approved public viewing when AI or speech is unavailable.</w:t>
      </w:r>
    </w:p>
    <w:p>
      <w:pPr>
        <w:pStyle w:val="Heading2"/>
      </w:pPr>
      <w:r>
        <w:t>14.4 Data, provenance, and lifecycle</w:t>
      </w:r>
    </w:p>
    <w:p>
      <w:pPr>
        <w:pStyle w:val="Requirement"/>
        <w:keepLines/>
      </w:pPr>
      <w:r>
        <w:rPr>
          <w:rStyle w:val="CodeID"/>
        </w:rPr>
        <w:t xml:space="preserve">PS-CORE-DATA-001  </w:t>
      </w:r>
      <w:r>
        <w:rPr>
          <w:rFonts w:ascii="Arial" w:hAnsi="Arial" w:eastAsia="Arial"/>
          <w:sz w:val="18"/>
        </w:rPr>
        <w:t>PeerSlate shall maintain canonical member records separately from AI interpretations and purpose-specific projections.</w:t>
      </w:r>
    </w:p>
    <w:p>
      <w:pPr>
        <w:pStyle w:val="Requirement"/>
        <w:keepLines/>
      </w:pPr>
      <w:r>
        <w:rPr>
          <w:rStyle w:val="CodeID"/>
        </w:rPr>
        <w:t xml:space="preserve">PS-CORE-DATA-002  </w:t>
      </w:r>
      <w:r>
        <w:rPr>
          <w:rFonts w:ascii="Arial" w:hAnsi="Arial" w:eastAsia="Arial"/>
          <w:sz w:val="18"/>
        </w:rPr>
        <w:t>PeerSlate shall link factual claims, interpretations, and generated drafts to permitted supporting records and shall preserve provenance sufficient for member inspection.</w:t>
      </w:r>
    </w:p>
    <w:p>
      <w:pPr>
        <w:pStyle w:val="Requirement"/>
        <w:keepLines/>
      </w:pPr>
      <w:r>
        <w:rPr>
          <w:rStyle w:val="CodeID"/>
        </w:rPr>
        <w:t xml:space="preserve">PS-CORE-DATA-003  </w:t>
      </w:r>
      <w:r>
        <w:rPr>
          <w:rFonts w:ascii="Arial" w:hAnsi="Arial" w:eastAsia="Arial"/>
          <w:sz w:val="18"/>
        </w:rPr>
        <w:t>PeerSlate shall implement explicit lifecycle states for captures, drafts, processing jobs, interpretations, publication, revocation, and deletion.</w:t>
      </w:r>
    </w:p>
    <w:p>
      <w:pPr>
        <w:pStyle w:val="Requirement"/>
        <w:keepLines/>
      </w:pPr>
      <w:r>
        <w:rPr>
          <w:rStyle w:val="CodeID"/>
        </w:rPr>
        <w:t xml:space="preserve">PS-CORE-DATA-004  </w:t>
      </w:r>
      <w:r>
        <w:rPr>
          <w:rFonts w:ascii="Arial" w:hAnsi="Arial" w:eastAsia="Arial"/>
          <w:sz w:val="18"/>
        </w:rPr>
        <w:t>PeerSlate shall propagate correction, deletion, revocation, and retention decisions to derived outputs, retrieval indexes, and future governed behavior as required.</w:t>
      </w:r>
    </w:p>
    <w:p>
      <w:pPr>
        <w:pStyle w:val="Heading2"/>
      </w:pPr>
      <w:r>
        <w:t>14.5 AI quality and safety</w:t>
      </w:r>
    </w:p>
    <w:p>
      <w:pPr>
        <w:pStyle w:val="Requirement"/>
        <w:keepLines/>
      </w:pPr>
      <w:r>
        <w:rPr>
          <w:rStyle w:val="CodeID"/>
        </w:rPr>
        <w:t xml:space="preserve">PS-CORE-AI-001  </w:t>
      </w:r>
      <w:r>
        <w:rPr>
          <w:rFonts w:ascii="Arial" w:hAnsi="Arial" w:eastAsia="Arial"/>
          <w:sz w:val="18"/>
        </w:rPr>
        <w:t>AI shall propose reviewable language, questions, connections, and interpretations and shall not control identity, authorization, publication, deletion, retention, or release state.</w:t>
      </w:r>
    </w:p>
    <w:p>
      <w:pPr>
        <w:pStyle w:val="Requirement"/>
        <w:keepLines/>
      </w:pPr>
      <w:r>
        <w:rPr>
          <w:rStyle w:val="CodeID"/>
        </w:rPr>
        <w:t xml:space="preserve">PS-CORE-AI-002  </w:t>
      </w:r>
      <w:r>
        <w:rPr>
          <w:rFonts w:ascii="Arial" w:hAnsi="Arial" w:eastAsia="Arial"/>
          <w:sz w:val="18"/>
        </w:rPr>
        <w:t>Every member-facing insight shall identify why it appeared, which permitted records support it, what is uncertain, and how the member can inspect, correct, dismiss, or activate it.</w:t>
      </w:r>
    </w:p>
    <w:p>
      <w:pPr>
        <w:pStyle w:val="Requirement"/>
        <w:keepLines/>
      </w:pPr>
      <w:r>
        <w:rPr>
          <w:rStyle w:val="CodeID"/>
        </w:rPr>
        <w:t xml:space="preserve">PS-CORE-AI-003  </w:t>
      </w:r>
      <w:r>
        <w:rPr>
          <w:rFonts w:ascii="Arial" w:hAnsi="Arial" w:eastAsia="Arial"/>
          <w:sz w:val="18"/>
        </w:rPr>
        <w:t>PeerSlate shall reject unsupported factual claims and shall not present similarity, fit, capability, identity, or future direction as an unexplained score.</w:t>
      </w:r>
    </w:p>
    <w:p>
      <w:pPr>
        <w:pStyle w:val="Requirement"/>
        <w:keepLines/>
      </w:pPr>
      <w:r>
        <w:rPr>
          <w:rStyle w:val="CodeID"/>
        </w:rPr>
        <w:t xml:space="preserve">PS-CORE-AI-004  </w:t>
      </w:r>
      <w:r>
        <w:rPr>
          <w:rFonts w:ascii="Arial" w:hAnsi="Arial" w:eastAsia="Arial"/>
          <w:sz w:val="18"/>
        </w:rPr>
        <w:t>PeerSlate shall record sufficient model, policy/prompt version, source-set, output-state, evaluation, latency, and cost metadata to support quality review and incident analysis without exposing private payloads unnecessarily.</w:t>
      </w:r>
    </w:p>
    <w:p>
      <w:pPr>
        <w:pStyle w:val="Heading2"/>
      </w:pPr>
      <w:r>
        <w:t>14.6 Security and privacy</w:t>
      </w:r>
    </w:p>
    <w:p>
      <w:pPr>
        <w:pStyle w:val="Requirement"/>
        <w:keepLines/>
      </w:pPr>
      <w:r>
        <w:rPr>
          <w:rStyle w:val="CodeID"/>
        </w:rPr>
        <w:t xml:space="preserve">PS-CORE-SEC-001  </w:t>
      </w:r>
      <w:r>
        <w:rPr>
          <w:rFonts w:ascii="Arial" w:hAnsi="Arial" w:eastAsia="Arial"/>
          <w:sz w:val="18"/>
        </w:rPr>
        <w:t>PeerSlate shall resolve identity from a trusted server session and shall authorize owner, viewer, relationship, audience, consent, sensitivity, and workflow scope before data, media, search, cache, or AI retrieval.</w:t>
      </w:r>
    </w:p>
    <w:p>
      <w:pPr>
        <w:pStyle w:val="Requirement"/>
        <w:keepLines/>
      </w:pPr>
      <w:r>
        <w:rPr>
          <w:rStyle w:val="CodeID"/>
        </w:rPr>
        <w:t xml:space="preserve">PS-CORE-SEC-002  </w:t>
      </w:r>
      <w:r>
        <w:rPr>
          <w:rFonts w:ascii="Arial" w:hAnsi="Arial" w:eastAsia="Arial"/>
          <w:sz w:val="18"/>
        </w:rPr>
        <w:t>PeerSlate shall prove cross-user isolation, audience enforcement, private-media authorization, secret protection, malicious-input handling, deletion, and export behavior before release.</w:t>
      </w:r>
    </w:p>
    <w:p>
      <w:pPr>
        <w:pStyle w:val="Heading2"/>
      </w:pPr>
      <w:r>
        <w:t>14.7 Nonfunctional quality</w:t>
      </w:r>
    </w:p>
    <w:p>
      <w:pPr>
        <w:pStyle w:val="Requirement"/>
        <w:keepLines/>
      </w:pPr>
      <w:r>
        <w:rPr>
          <w:rStyle w:val="CodeID"/>
        </w:rPr>
        <w:t xml:space="preserve">PS-CORE-NFR-001  </w:t>
      </w:r>
      <w:r>
        <w:rPr>
          <w:rFonts w:ascii="Arial" w:hAnsi="Arial" w:eastAsia="Arial"/>
          <w:sz w:val="18"/>
        </w:rPr>
        <w:t>Every essential member flow shall provide accessible text, keyboard, screen-reader, 200-percent zoom, reduced-motion, and understandable error-recovery behavior.</w:t>
      </w:r>
    </w:p>
    <w:p>
      <w:pPr>
        <w:pStyle w:val="Requirement"/>
        <w:keepLines/>
      </w:pPr>
      <w:r>
        <w:rPr>
          <w:rStyle w:val="CodeID"/>
        </w:rPr>
        <w:t xml:space="preserve">PS-CORE-NFR-002  </w:t>
      </w:r>
      <w:r>
        <w:rPr>
          <w:rFonts w:ascii="Arial" w:hAnsi="Arial" w:eastAsia="Arial"/>
          <w:sz w:val="18"/>
        </w:rPr>
        <w:t>PeerSlate shall define measurable performance, reliability, processing-state, retry, timeout, and degradation expectations for each release.</w:t>
      </w:r>
    </w:p>
    <w:p>
      <w:pPr>
        <w:pStyle w:val="Requirement"/>
        <w:keepLines/>
      </w:pPr>
      <w:r>
        <w:rPr>
          <w:rStyle w:val="CodeID"/>
        </w:rPr>
        <w:t xml:space="preserve">PS-CORE-NFR-003  </w:t>
      </w:r>
      <w:r>
        <w:rPr>
          <w:rFonts w:ascii="Arial" w:hAnsi="Arial" w:eastAsia="Arial"/>
          <w:sz w:val="18"/>
        </w:rPr>
        <w:t>PeerSlate shall provide privacy-safe observability sufficient to detect authorization failures, workflow failures, latency, model/provider behavior, cost, rollback triggers, and production regressions.</w:t>
      </w:r>
    </w:p>
    <w:p>
      <w:pPr>
        <w:pStyle w:val="Requirement"/>
        <w:keepLines/>
      </w:pPr>
      <w:r>
        <w:rPr>
          <w:rStyle w:val="CodeID"/>
        </w:rPr>
        <w:t xml:space="preserve">PS-CORE-NFR-004  </w:t>
      </w:r>
      <w:r>
        <w:rPr>
          <w:rFonts w:ascii="Arial" w:hAnsi="Arial" w:eastAsia="Arial"/>
          <w:sz w:val="18"/>
        </w:rPr>
        <w:t>PeerSlate shall separate local, development, staging, and production configuration, identities, data, storage, secrets, callbacks, telemetry, and release permissions.</w:t>
      </w:r>
    </w:p>
    <w:p>
      <w:pPr>
        <w:pStyle w:val="Requirement"/>
      </w:pPr>
      <w:r>
        <w:t>PS-CORE-NFR-005  Every material user-facing surface shall achieve professional visual finish across approved desktop, mobile, zoom, focus, reduced-motion, long-content, and failure states; functional completion alone shall not satisfy release acceptance.</w:t>
      </w:r>
    </w:p>
    <w:p>
      <w:pPr>
        <w:pStyle w:val="Heading2"/>
      </w:pPr>
      <w:r>
        <w:t>14.8 Testing, verification, and validation</w:t>
      </w:r>
    </w:p>
    <w:p>
      <w:pPr>
        <w:pStyle w:val="Requirement"/>
        <w:keepLines/>
      </w:pPr>
      <w:r>
        <w:rPr>
          <w:rStyle w:val="CodeID"/>
        </w:rPr>
        <w:t xml:space="preserve">PS-CORE-VNV-001  </w:t>
      </w:r>
      <w:r>
        <w:rPr>
          <w:rFonts w:ascii="Arial" w:hAnsi="Arial" w:eastAsia="Arial"/>
          <w:sz w:val="18"/>
        </w:rPr>
        <w:t>Every mandatory requirement shall have a unique identifier and bidirectional traceability to architecture, implementation, tests, verification evidence, validation evidence, and release status.</w:t>
      </w:r>
    </w:p>
    <w:p>
      <w:pPr>
        <w:pStyle w:val="Requirement"/>
        <w:keepLines/>
      </w:pPr>
      <w:r>
        <w:rPr>
          <w:rStyle w:val="CodeID"/>
        </w:rPr>
        <w:t xml:space="preserve">PS-CORE-VNV-002  </w:t>
      </w:r>
      <w:r>
        <w:rPr>
          <w:rFonts w:ascii="Arial" w:hAnsi="Arial" w:eastAsia="Arial"/>
          <w:sz w:val="18"/>
        </w:rPr>
        <w:t>Requirements and architecture baselines shall be approved only when every mandatory requirement is allocated and every architecture element is justified by a requirement, risk, constraint, or operational need.</w:t>
      </w:r>
    </w:p>
    <w:p>
      <w:pPr>
        <w:pStyle w:val="Requirement"/>
        <w:keepLines/>
      </w:pPr>
      <w:r>
        <w:rPr>
          <w:rStyle w:val="CodeID"/>
        </w:rPr>
        <w:t xml:space="preserve">PS-CORE-VNV-003  </w:t>
      </w:r>
      <w:r>
        <w:rPr>
          <w:rFonts w:ascii="Arial" w:hAnsi="Arial" w:eastAsia="Arial"/>
          <w:sz w:val="18"/>
        </w:rPr>
        <w:t>Every material initiative shall prototype its highest-risk member, privacy, data, AI, accessibility, and failure assumptions before irreversible implementation decisions.</w:t>
      </w:r>
    </w:p>
    <w:p>
      <w:pPr>
        <w:pStyle w:val="Requirement"/>
        <w:keepLines/>
      </w:pPr>
      <w:r>
        <w:rPr>
          <w:rStyle w:val="CodeID"/>
        </w:rPr>
        <w:t xml:space="preserve">PS-CORE-VNV-004  </w:t>
      </w:r>
      <w:r>
        <w:rPr>
          <w:rFonts w:ascii="Arial" w:hAnsi="Arial" w:eastAsia="Arial"/>
          <w:sz w:val="18"/>
        </w:rPr>
        <w:t>PeerSlate shall distinguish verification evidence that the approved system was built correctly from validation evidence that the right member experience was built.</w:t>
      </w:r>
    </w:p>
    <w:p>
      <w:pPr>
        <w:pStyle w:val="Requirement"/>
        <w:keepLines/>
      </w:pPr>
      <w:r>
        <w:rPr>
          <w:rStyle w:val="CodeID"/>
        </w:rPr>
        <w:t xml:space="preserve">PS-CORE-VNV-005  </w:t>
      </w:r>
      <w:r>
        <w:rPr>
          <w:rFonts w:ascii="Arial" w:hAnsi="Arial" w:eastAsia="Arial"/>
          <w:sz w:val="18"/>
        </w:rPr>
        <w:t>A release with missing mandatory evidence shall remain In Progress and shall not be represented as Complete.</w:t>
      </w:r>
    </w:p>
    <w:p>
      <w:pPr>
        <w:pStyle w:val="Requirement"/>
      </w:pPr>
      <w:r>
        <w:t>PS-CORE-VNV-006  Material user-facing releases shall provide named visual-authority comparison evidence, documented deviations, and explicit Pete and ChatGPT Work visual acceptance unless Pete delegates that gate in writing.</w:t>
      </w:r>
    </w:p>
    <w:p>
      <w:pPr>
        <w:pStyle w:val="Heading2"/>
      </w:pPr>
      <w:r>
        <w:t>14.9 Governance</w:t>
      </w:r>
    </w:p>
    <w:p>
      <w:pPr>
        <w:pStyle w:val="Requirement"/>
        <w:keepLines/>
      </w:pPr>
      <w:r>
        <w:rPr>
          <w:rStyle w:val="CodeID"/>
        </w:rPr>
        <w:t xml:space="preserve">PS-CORE-GOV-001  </w:t>
      </w:r>
      <w:r>
        <w:rPr>
          <w:rFonts w:ascii="Arial" w:hAnsi="Arial" w:eastAsia="Arial"/>
          <w:sz w:val="18"/>
        </w:rPr>
        <w:t>Every initiative shall cite the Bible principles and requirements that authorize and constrain it, plus scope, out of scope, risks, dependencies, success measures, rollout, and rollback.</w:t>
      </w:r>
    </w:p>
    <w:p>
      <w:pPr>
        <w:pStyle w:val="Requirement"/>
        <w:keepLines/>
      </w:pPr>
      <w:r>
        <w:rPr>
          <w:rStyle w:val="CodeID"/>
        </w:rPr>
        <w:t xml:space="preserve">PS-CORE-GOV-002  </w:t>
      </w:r>
      <w:r>
        <w:rPr>
          <w:rFonts w:ascii="Arial" w:hAnsi="Arial" w:eastAsia="Arial"/>
          <w:sz w:val="18"/>
        </w:rPr>
        <w:t>Architecturally significant decisions shall be recorded append-only with context, alternatives, decision, consequences, and supersession history.</w:t>
      </w:r>
    </w:p>
    <w:p>
      <w:pPr>
        <w:pStyle w:val="Requirement"/>
        <w:keepLines/>
      </w:pPr>
      <w:r>
        <w:rPr>
          <w:rStyle w:val="CodeID"/>
        </w:rPr>
        <w:t xml:space="preserve">PS-CORE-GOV-003  </w:t>
      </w:r>
      <w:r>
        <w:rPr>
          <w:rFonts w:ascii="Arial" w:hAnsi="Arial" w:eastAsia="Arial"/>
          <w:sz w:val="18"/>
        </w:rPr>
        <w:t>Prototype, fixture, browser-only, queued, processing, available, failed, complete, published, revoked, and deleted states shall be represented honestly and consistently in product, code, documentation, and release evidence.</w:t>
      </w:r>
    </w:p>
    <w:p>
      <w:pPr>
        <w:pStyle w:val="Requirement"/>
      </w:pPr>
      <w:r>
        <w:t>PS-CORE-GOV-004  PeerSlate shall maintain one authoritative operational repository and one root start-here pointer that identifies the current Bible, Roadmap, current-state baseline, active initiatives, decision register, and evidence locations.</w:t>
      </w:r>
    </w:p>
    <w:p>
      <w:pPr>
        <w:pStyle w:val="Requirement"/>
      </w:pPr>
      <w:r>
        <w:t>PS-CORE-GOV-005  Every production-changing merge shall update or explicitly affirm the current-state baseline, initiative status, documentation impact, verification evidence, and next controlled gate.</w:t>
      </w:r>
    </w:p>
    <w:p>
      <w:pPr>
        <w:pStyle w:val="Requirement"/>
      </w:pPr>
      <w:r>
        <w:t>PS-CORE-GOV-006  The repository shall make the current Owner Visual Integrity Standard part of mandatory startup and shall require every user-facing initiative to identify its visual authority and acceptance state.</w:t>
      </w:r>
    </w:p>
    <w:p>
      <w:pPr>
        <w:pStyle w:val="Requirement"/>
      </w:pPr>
      <w:r>
        <w:t>PS-CORE-GOV-007  Demonstration, implementation, deployment, and live-production states shall remain visually and verbally distinct even when a demonstration is the binding target for future implementation.</w:t>
      </w:r>
    </w:p>
    <w:p>
      <w:pPr>
        <w:pStyle w:val="Heading1"/>
      </w:pPr>
      <w:r>
        <w:t>15. Roadmap charter and immediate direction</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 Bible defines ordering principles and release gates; the companion Roadmap owns detailed sequencing and progress.</w:t>
            </w:r>
          </w:p>
        </w:tc>
      </w:tr>
    </w:tbl>
    <w:p>
      <w:pPr>
        <w:spacing w:after="0"/>
      </w:pPr>
    </w:p>
    <w:p>
      <w:pPr>
        <w:pStyle w:val="Heading2"/>
      </w:pPr>
      <w:r>
        <w:t>Roadmap principles</w:t>
      </w:r>
    </w:p>
    <w:p>
      <w:pPr>
        <w:pStyle w:val="ListBullet"/>
        <w:spacing w:after="50" w:line="247" w:lineRule="auto"/>
      </w:pPr>
      <w:r>
        <w:rPr>
          <w:rFonts w:ascii="Arial" w:hAnsi="Arial" w:eastAsia="Arial"/>
        </w:rPr>
        <w:t>Build user ownership, real identity, canonical data, authorization, and the recurring capture-to-value loop before expanding public pages or future career-matching concepts.</w:t>
      </w:r>
    </w:p>
    <w:p>
      <w:pPr>
        <w:pStyle w:val="ListBullet"/>
        <w:spacing w:after="50" w:line="247" w:lineRule="auto"/>
      </w:pPr>
      <w:r>
        <w:rPr>
          <w:rFonts w:ascii="Arial" w:hAnsi="Arial" w:eastAsia="Arial"/>
        </w:rPr>
        <w:t>Plan in vertical slices—not pages. A slice includes identity, data, behavior, privacy, UI, accessibility, tests, telemetry, release, rollback, and user value.</w:t>
      </w:r>
    </w:p>
    <w:p>
      <w:pPr>
        <w:pStyle w:val="ListBullet"/>
        <w:spacing w:after="50" w:line="247" w:lineRule="auto"/>
      </w:pPr>
      <w:r>
        <w:rPr>
          <w:rFonts w:ascii="Arial" w:hAnsi="Arial" w:eastAsia="Arial"/>
        </w:rPr>
        <w:t>Consolidate contradictions and misleading prototype states before adding another surface.</w:t>
      </w:r>
    </w:p>
    <w:p>
      <w:pPr>
        <w:pStyle w:val="ListBullet"/>
        <w:spacing w:after="50" w:line="247" w:lineRule="auto"/>
      </w:pPr>
      <w:r>
        <w:rPr>
          <w:rFonts w:ascii="Arial" w:hAnsi="Arial" w:eastAsia="Arial"/>
        </w:rPr>
        <w:t>Create a polished integrated prototype using production-intent contracts, but do not fake persistence, AI, sharing, or completion.</w:t>
      </w:r>
    </w:p>
    <w:p>
      <w:pPr>
        <w:pStyle w:val="ListBullet"/>
        <w:spacing w:after="50" w:line="247" w:lineRule="auto"/>
      </w:pPr>
      <w:r>
        <w:rPr>
          <w:rFonts w:ascii="Arial" w:hAnsi="Arial" w:eastAsia="Arial"/>
        </w:rPr>
        <w:t>Use Pete and Danielle as separate founding-alpha accounts and validate the same reusable logic with both.</w:t>
      </w:r>
    </w:p>
    <w:p>
      <w:pPr>
        <w:pStyle w:val="ListBullet"/>
        <w:spacing w:after="50" w:line="247" w:lineRule="auto"/>
      </w:pPr>
      <w:r>
        <w:rPr>
          <w:rFonts w:ascii="Arial" w:hAnsi="Arial" w:eastAsia="Arial"/>
        </w:rPr>
        <w:t>Deepen member intelligence only after the foundation and Use This Moment pass acceptance, verification, and validation gates.</w:t>
      </w:r>
    </w:p>
    <w:p>
      <w:pPr>
        <w:pStyle w:val="Heading2"/>
      </w:pPr>
      <w:r>
        <w:t>Current build sequence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Order</w:t>
            </w:r>
          </w:p>
        </w:tc>
        <w:tc>
          <w:tcPr>
            <w:tcW w:type="dxa" w:w="2376"/>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Program package</w:t>
            </w:r>
          </w:p>
        </w:tc>
        <w:tc>
          <w:tcPr>
            <w:tcW w:type="dxa" w:w="712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Purpose</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1</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PS-GOV-001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Synchronize authoritative Bible/Roadmap pointers, current-state baseline, active-initiative index, and agent startup rules in origin/main.</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2</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PS-BASELINE-001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Finish the evidence-based current-state audit without rebuilding verified authentication, Settings, Capture, migrations, tests, deployment, or Deep Navy Gold assets.</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3</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PS-RESUME-PUBLIC-REFINE-001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Tighten and compress the existing public Living Résumé while preserving meaning, public-source boundaries, PDF, Ask Pete AI, and Resume 2 separation.</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4</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PS-INTERVIEW-PUBLIC-GATE-001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Layer the public Interview Studio, separate demonstration from authenticated practice, and remove public identity ambiguity.</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5</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PS-CAPTURE-002</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Add revision-aware correction, archive, delete, and export controls to the verified private text-intake source.</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6</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PS-MOMENT-001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Create the member review and promotion boundary from original Capture to a source-linked canonical Moment.</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7</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PS-PLACEMENT-001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Implement create-once/place-many references from canonical records into approved destinations without duplicating authoritative text.</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8</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PS-CAPTURE-MEDIA-001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Add voice, photo, video, and document sources through the same owner, provenance, review, and lifecycle contracts.</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HOLD</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PS-JOURNAL-001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Journal UI remains on hold until explicit owner authorization; backend contracts may prepare for it without shipping the Journal experience.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vAlign w:val="center"/>
          </w:tcPr>
          <w:p>
            <w:pPr/>
            <w:r/>
            <w:r>
              <w:rPr>
                <w:rFonts w:ascii="Arial" w:hAnsi="Arial"/>
                <w:sz w:val="17"/>
              </w:rPr>
              <w:t>EVIDENCE-ALIGNED PROGRESS RULE / The July 18 handoff verifies specific production slices—identity, owner isolation, Settings, private text Capture, migration/release evidence, and Deep Navy Gold. Those assets are reusable and shall not be rebuilt. Broader phases remain partial until their remaining exit criteria are evidenced.</w:t>
            </w:r>
          </w:p>
        </w:tc>
      </w:tr>
    </w:tbl>
    <w:p>
      <w:pPr>
        <w:spacing w:after="0"/>
      </w:pPr>
    </w:p>
    <w:p>
      <w:pPr>
        <w:pStyle w:val="Heading2"/>
      </w:pPr>
      <w:r>
        <w:t>Release gates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1680"/>
            <w:shd w:fill="EAF2F7"/>
            <w:tcMar>
              <w:top w:w="120" w:type="dxa"/>
              <w:start w:w="80" w:type="dxa"/>
              <w:bottom w:w="120" w:type="dxa"/>
              <w:end w:w="80" w:type="dxa"/>
            </w:tcMar>
          </w:tcPr>
          <w:p>
            <w:pPr>
              <w:jc w:val="center"/>
            </w:pPr>
            <w:r>
              <w:rPr>
                <w:rFonts w:ascii="Arial" w:hAnsi="Arial" w:eastAsia="Arial"/>
                <w:b/>
                <w:color w:val="2F6E9E"/>
                <w:sz w:val="16"/>
              </w:rPr>
              <w:t>A</w:t>
            </w:r>
          </w:p>
          <w:p>
            <w:pPr>
              <w:spacing w:after="0"/>
              <w:jc w:val="center"/>
            </w:pPr>
            <w:r>
              <w:rPr>
                <w:rFonts w:ascii="Arial" w:hAnsi="Arial" w:eastAsia="Arial"/>
                <w:b/>
                <w:color w:val="17324D"/>
                <w:sz w:val="14"/>
              </w:rPr>
              <w:t>Direction</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B</w:t>
            </w:r>
          </w:p>
          <w:p>
            <w:pPr>
              <w:spacing w:after="0"/>
              <w:jc w:val="center"/>
            </w:pPr>
            <w:r>
              <w:rPr>
                <w:rFonts w:ascii="Arial" w:hAnsi="Arial" w:eastAsia="Arial"/>
                <w:b/>
                <w:color w:val="17324D"/>
                <w:sz w:val="14"/>
              </w:rPr>
              <w:t>Requirements + architecture</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C</w:t>
            </w:r>
          </w:p>
          <w:p>
            <w:pPr>
              <w:spacing w:after="0"/>
              <w:jc w:val="center"/>
            </w:pPr>
            <w:r>
              <w:rPr>
                <w:rFonts w:ascii="Arial" w:hAnsi="Arial" w:eastAsia="Arial"/>
                <w:b/>
                <w:color w:val="17324D"/>
                <w:sz w:val="14"/>
              </w:rPr>
              <w:t>Prototype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D</w:t>
            </w:r>
          </w:p>
          <w:p>
            <w:pPr>
              <w:spacing w:after="0"/>
              <w:jc w:val="center"/>
            </w:pPr>
            <w:r>
              <w:rPr>
                <w:rFonts w:ascii="Arial" w:hAnsi="Arial" w:eastAsia="Arial"/>
                <w:b/>
                <w:color w:val="17324D"/>
                <w:sz w:val="14"/>
              </w:rPr>
              <w:t>Implementation verification</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E</w:t>
            </w:r>
          </w:p>
          <w:p>
            <w:pPr>
              <w:spacing w:after="0"/>
              <w:jc w:val="center"/>
            </w:pPr>
            <w:r>
              <w:rPr>
                <w:rFonts w:ascii="Arial" w:hAnsi="Arial" w:eastAsia="Arial"/>
                <w:b/>
                <w:color w:val="17324D"/>
                <w:sz w:val="14"/>
              </w:rPr>
              <w:t>Member validation</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F</w:t>
            </w:r>
          </w:p>
          <w:p>
            <w:pPr>
              <w:spacing w:after="0"/>
              <w:jc w:val="center"/>
            </w:pPr>
            <w:r>
              <w:rPr>
                <w:rFonts w:ascii="Arial" w:hAnsi="Arial" w:eastAsia="Arial"/>
                <w:b/>
                <w:color w:val="17324D"/>
                <w:sz w:val="14"/>
              </w:rPr>
              <w:t>Production verification</w:t>
            </w:r>
          </w:p>
        </w:tc>
      </w:tr>
    </w:tbl>
    <w:p>
      <w:pPr>
        <w:spacing w:after="20"/>
      </w:pPr>
    </w:p>
    <w:p>
      <w:r>
        <w:rPr>
          <w:rFonts w:ascii="Arial" w:hAnsi="Arial" w:eastAsia="Arial"/>
          <w:i w:val="0"/>
        </w:rPr>
        <w:t>No package advances because a page looks finished. It advances when the required baseline, implementation, tests, evidence, member validation, deployment, monitoring, and rollback conditions are satisfied.</w:t>
      </w:r>
    </w:p>
    <w:p>
      <w:pPr>
        <w:pStyle w:val="Heading1"/>
      </w:pPr>
      <w:r>
        <w:t>16. Metrics, learning, and business direction</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what success means. Exact instruments, dashboards, targets, and economics belong in system and roadmap artifacts.</w:t>
            </w:r>
          </w:p>
        </w:tc>
      </w:tr>
    </w:tbl>
    <w:p>
      <w:pPr>
        <w:spacing w:after="0"/>
      </w:pPr>
    </w:p>
    <w:p>
      <w:pPr>
        <w:pStyle w:val="Heading2"/>
      </w:pPr>
      <w:r>
        <w:t>North-star behavior</w:t>
      </w:r>
    </w:p>
    <w:p>
      <w:r>
        <w:rPr>
          <w:rFonts w:ascii="Arial" w:hAnsi="Arial" w:eastAsia="Arial"/>
          <w:i w:val="0"/>
        </w:rPr>
        <w:t>A working professional captures a real Moment, receives useful and trustworthy value, approves or corrects the result, and returns later because PeerSlate helps them remember, prepare, decide, communicate, or understand—not because the product manufactured urgency.</w:t>
      </w:r>
    </w:p>
    <w:p>
      <w:pPr>
        <w:pStyle w:val="Heading2"/>
      </w:pPr>
      <w:r>
        <w:t>Core product measures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Mar>
              <w:top w:w="90" w:type="dxa"/>
              <w:start w:w="95" w:type="dxa"/>
              <w:bottom w:w="90" w:type="dxa"/>
              <w:end w:w="95" w:type="dxa"/>
            </w:tcMar>
          </w:tcPr>
          <w:p>
            <w:pPr>
              <w:jc w:val="left"/>
            </w:pPr>
            <w:r>
              <w:rPr>
                <w:rFonts w:ascii="Arial" w:hAnsi="Arial" w:eastAsia="Arial"/>
                <w:b/>
                <w:color w:val="FFFFFF"/>
                <w:sz w:val="15"/>
              </w:rPr>
              <w:t>Dimension</w:t>
            </w:r>
          </w:p>
        </w:tc>
        <w:tc>
          <w:tcPr>
            <w:tcW w:type="dxa" w:w="7992"/>
            <w:shd w:fill="17324D"/>
            <w:tcMar>
              <w:top w:w="90" w:type="dxa"/>
              <w:start w:w="95" w:type="dxa"/>
              <w:bottom w:w="90" w:type="dxa"/>
              <w:end w:w="95" w:type="dxa"/>
            </w:tcMar>
          </w:tcPr>
          <w:p>
            <w:pPr>
              <w:jc w:val="left"/>
            </w:pPr>
            <w:r>
              <w:rPr>
                <w:rFonts w:ascii="Arial" w:hAnsi="Arial" w:eastAsia="Arial"/>
                <w:b/>
                <w:color w:val="FFFFFF"/>
                <w:sz w:val="15"/>
              </w:rPr>
              <w:t>Questions to measure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Comprehension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Can a person explain what PeerSlate is, what is private, and the next action within five seconds?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Capture value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Can the member create a private record quickly, understand the proposal, and reach a useful next action?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Trust and control</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Can the member explain fact versus interpretation, inspect sources, correct the system, preview audience, export, and delete?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Return value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Does the member return while already employed because a past Moment, Replay, preparation, or connection is useful?</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Connected-system value</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Does one capture strengthen Journal, Story, Work, Studio, résumé, or another approved use without duplication?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Quality and reliability</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Are authorization, accessibility, performance, AI support, failure recovery, migrations, and rollback proven?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Human outcomes</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Did the member remember something important, communicate more clearly, prepare better, make a better decision, or feel more ownership of their story?</w:t>
            </w:r>
          </w:p>
        </w:tc>
      </w:tr>
    </w:tbl>
    <w:p>
      <w:pPr>
        <w:spacing w:after="20"/>
      </w:pPr>
    </w:p>
    <w:p>
      <w:pPr>
        <w:pStyle w:val="Heading2"/>
      </w:pPr>
      <w:r>
        <w:t>Guardrails</w:t>
      </w:r>
    </w:p>
    <w:p>
      <w:pPr>
        <w:pStyle w:val="ListBullet"/>
        <w:spacing w:after="50" w:line="247" w:lineRule="auto"/>
      </w:pPr>
      <w:r>
        <w:rPr>
          <w:rFonts w:ascii="Arial" w:hAnsi="Arial" w:eastAsia="Arial"/>
        </w:rPr>
        <w:t>Do not use time-on-site, public posting frequency, application volume, or popularity as primary success measures.</w:t>
      </w:r>
    </w:p>
    <w:p>
      <w:pPr>
        <w:pStyle w:val="ListBullet"/>
        <w:spacing w:after="50" w:line="247" w:lineRule="auto"/>
      </w:pPr>
      <w:r>
        <w:rPr>
          <w:rFonts w:ascii="Arial" w:hAnsi="Arial" w:eastAsia="Arial"/>
        </w:rPr>
        <w:t>Track correction, dismissal, “too personal,” “not useful,” staleness, source gaps, and abandonment as design and model quality signals—not user failure.</w:t>
      </w:r>
    </w:p>
    <w:p>
      <w:pPr>
        <w:pStyle w:val="ListBullet"/>
        <w:spacing w:after="50" w:line="247" w:lineRule="auto"/>
      </w:pPr>
      <w:r>
        <w:rPr>
          <w:rFonts w:ascii="Arial" w:hAnsi="Arial" w:eastAsia="Arial"/>
        </w:rPr>
        <w:t>Measure trust and comprehension at the moment of privacy, AI, publication, export, and deletion decisions.</w:t>
      </w:r>
    </w:p>
    <w:p>
      <w:pPr>
        <w:pStyle w:val="ListBullet"/>
        <w:spacing w:after="50" w:line="247" w:lineRule="auto"/>
      </w:pPr>
      <w:r>
        <w:rPr>
          <w:rFonts w:ascii="Arial" w:hAnsi="Arial" w:eastAsia="Arial"/>
        </w:rPr>
        <w:t>Use production cost, latency, reliability, and support burden to guide provider and infrastructure decisions.</w:t>
      </w:r>
    </w:p>
    <w:p>
      <w:pPr>
        <w:pStyle w:val="Heading2"/>
      </w:pPr>
      <w:r>
        <w:t>Business direction</w:t>
      </w:r>
    </w:p>
    <w:p>
      <w:r>
        <w:rPr>
          <w:rFonts w:ascii="Arial" w:hAnsi="Arial" w:eastAsia="Arial"/>
          <w:i w:val="0"/>
        </w:rPr>
        <w:t>Business value should follow demonstrated member value. The first paid capability should be selected from observed recurring usefulness, not from assumed recruiter demand. Azure credits and early resources should protect learning runway while the product proves the owner loop, trustworthy intelligence, and genuine return behavior.</w:t>
      </w:r>
    </w:p>
    <w:p>
      <w:pPr>
        <w:pStyle w:val="Heading1"/>
      </w:pPr>
      <w:r>
        <w:t>17. Governance and decision rights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how the product remains coherent while moving quickly.</w:t>
            </w:r>
          </w:p>
        </w:tc>
      </w:tr>
    </w:tbl>
    <w:p>
      <w:pPr>
        <w:spacing w:after="0"/>
      </w:pPr>
    </w:p>
    <w:p>
      <w:pPr>
        <w:pStyle w:val="Heading2"/>
      </w:pPr>
      <w:r>
        <w:t>Decision ownership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24D"/>
            <w:tcMar>
              <w:top w:w="90" w:type="dxa"/>
              <w:start w:w="95" w:type="dxa"/>
              <w:bottom w:w="90" w:type="dxa"/>
              <w:end w:w="95" w:type="dxa"/>
            </w:tcMar>
          </w:tcPr>
          <w:p>
            <w:pPr>
              <w:jc w:val="left"/>
            </w:pPr>
            <w:r>
              <w:rPr>
                <w:rFonts w:ascii="Arial" w:hAnsi="Arial" w:eastAsia="Arial"/>
                <w:b/>
                <w:color w:val="FFFFFF"/>
                <w:sz w:val="14"/>
              </w:rPr>
              <w:t>Decision type</w:t>
            </w:r>
          </w:p>
        </w:tc>
        <w:tc>
          <w:tcPr>
            <w:tcW w:type="dxa" w:w="3672"/>
            <w:shd w:fill="17324D"/>
            <w:tcMar>
              <w:top w:w="90" w:type="dxa"/>
              <w:start w:w="95" w:type="dxa"/>
              <w:bottom w:w="90" w:type="dxa"/>
              <w:end w:w="95" w:type="dxa"/>
            </w:tcMar>
          </w:tcPr>
          <w:p>
            <w:pPr>
              <w:jc w:val="left"/>
            </w:pPr>
            <w:r>
              <w:rPr>
                <w:rFonts w:ascii="Arial" w:hAnsi="Arial" w:eastAsia="Arial"/>
                <w:b/>
                <w:color w:val="FFFFFF"/>
                <w:sz w:val="14"/>
              </w:rPr>
              <w:t>Authoritative artifact</w:t>
            </w:r>
          </w:p>
        </w:tc>
        <w:tc>
          <w:tcPr>
            <w:tcW w:type="dxa" w:w="3384"/>
            <w:shd w:fill="17324D"/>
            <w:tcMar>
              <w:top w:w="90" w:type="dxa"/>
              <w:start w:w="95" w:type="dxa"/>
              <w:bottom w:w="90" w:type="dxa"/>
              <w:end w:w="95" w:type="dxa"/>
            </w:tcMar>
          </w:tcPr>
          <w:p>
            <w:pPr>
              <w:jc w:val="left"/>
            </w:pPr>
            <w:r>
              <w:rPr>
                <w:rFonts w:ascii="Arial" w:hAnsi="Arial" w:eastAsia="Arial"/>
                <w:b/>
                <w:color w:val="FFFFFF"/>
                <w:sz w:val="14"/>
              </w:rPr>
              <w:t>Approval evidence</w:t>
            </w:r>
          </w:p>
        </w:tc>
      </w:tr>
      <w:tr>
        <w:trPr>
          <w:cantSplit/>
        </w:trPr>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Mission, principles, boundaries, canonical product model</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Company and Product Bible</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Explicit owner approval and version note</w:t>
            </w:r>
          </w:p>
        </w:tc>
      </w:tr>
      <w:tr>
        <w:trPr>
          <w:cantSplit/>
        </w:trPr>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Strategic priority, phase order, progress, dependencies</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Product Strategy and Architecture Roadmap</w:t>
            </w:r>
          </w:p>
        </w:tc>
        <w:tc>
          <w:tcPr>
            <w:tcW w:type="dxa" w:w="33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Roadmap decision and evidence-based status</w:t>
            </w:r>
          </w:p>
        </w:tc>
      </w:tr>
      <w:tr>
        <w:trPr>
          <w:cantSplit/>
        </w:trPr>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Reusable UX, content, architecture, data, trust, and delivery rules</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System standards</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Approved standard or ADR</w:t>
            </w:r>
          </w:p>
        </w:tc>
      </w:tr>
      <w:tr>
        <w:trPr>
          <w:cantSplit/>
        </w:trPr>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Feature behavior and scope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Initiative package</w:t>
            </w:r>
          </w:p>
        </w:tc>
        <w:tc>
          <w:tcPr>
            <w:tcW w:type="dxa" w:w="33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Approved brief, requirements, prototype, architecture, and acceptance baseline</w:t>
            </w:r>
          </w:p>
        </w:tc>
      </w:tr>
      <w:tr>
        <w:trPr>
          <w:cantSplit/>
        </w:trPr>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Completion and release</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Evidence package / release record</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Verification, validation, deployment, production verification, known limitations, rollback</w:t>
            </w:r>
          </w:p>
        </w:tc>
      </w:tr>
    </w:tbl>
    <w:p>
      <w:pPr>
        <w:spacing w:after="20"/>
      </w:pPr>
    </w:p>
    <w:p>
      <w:pPr>
        <w:pStyle w:val="Heading2"/>
      </w:pPr>
      <w:r>
        <w:t>Decision and change register</w:t>
      </w:r>
    </w:p>
    <w:p>
      <w:r>
        <w:rPr>
          <w:rFonts w:ascii="Arial" w:hAnsi="Arial" w:eastAsia="Arial"/>
          <w:i w:val="0"/>
        </w:rPr>
        <w:t>Architecturally or strategically significant decisions are append-only. A later decision may supersede an earlier one, but the earlier context and rationale remain visible. Old roadmaps and prompt sets should be archived as historical records rather than left beside current direction as if equally authoritative.</w:t>
      </w:r>
    </w:p>
    <w:p>
      <w:pPr>
        <w:pStyle w:val="Heading2"/>
      </w:pPr>
      <w:r>
        <w:t>Definition of Done</w:t>
      </w:r>
    </w:p>
    <w:p>
      <w:r>
        <w:rPr>
          <w:rFonts w:ascii="Arial" w:hAnsi="Arial" w:eastAsia="Arial"/>
          <w:i w:val="0"/>
        </w:rPr>
        <w:t>PeerSlate has one shared release definition, not separate competing definitions scattered across sections and appendices. An initiative is Complete only when:</w:t>
      </w:r>
    </w:p>
    <w:p>
      <w:pPr>
        <w:pStyle w:val="ListBullet"/>
        <w:spacing w:after="50" w:line="247" w:lineRule="auto"/>
      </w:pPr>
      <w:r>
        <w:rPr>
          <w:rFonts w:ascii="Arial" w:hAnsi="Arial" w:eastAsia="Arial"/>
        </w:rPr>
        <w:t>Approved scope, requirements, architecture allocation, prototype, risks, rollout, rollback, and success measures exist.</w:t>
      </w:r>
    </w:p>
    <w:p>
      <w:pPr>
        <w:pStyle w:val="ListBullet"/>
        <w:spacing w:after="50" w:line="247" w:lineRule="auto"/>
      </w:pPr>
      <w:r>
        <w:rPr>
          <w:rFonts w:ascii="Arial" w:hAnsi="Arial" w:eastAsia="Arial"/>
        </w:rPr>
        <w:t>Implementation and migrations match the approved design and contain no unapproved scope drift.</w:t>
      </w:r>
    </w:p>
    <w:p>
      <w:pPr>
        <w:pStyle w:val="ListBullet"/>
        <w:spacing w:after="50" w:line="247" w:lineRule="auto"/>
      </w:pPr>
      <w:r>
        <w:rPr>
          <w:rFonts w:ascii="Arial" w:hAnsi="Arial" w:eastAsia="Arial"/>
        </w:rPr>
        <w:t>All mandatory traceability links are present and automated checks reject orphaned requirements or unknown IDs.</w:t>
      </w:r>
    </w:p>
    <w:p>
      <w:pPr>
        <w:pStyle w:val="ListBullet"/>
        <w:spacing w:after="50" w:line="247" w:lineRule="auto"/>
      </w:pPr>
      <w:r>
        <w:rPr>
          <w:rFonts w:ascii="Arial" w:hAnsi="Arial" w:eastAsia="Arial"/>
        </w:rPr>
        <w:t>Acceptance, security/privacy, accessibility, performance, resilience, AI quality, migration/rollback, and regression evidence pass.</w:t>
      </w:r>
    </w:p>
    <w:p>
      <w:pPr>
        <w:pStyle w:val="ListBullet"/>
        <w:spacing w:after="50" w:line="247" w:lineRule="auto"/>
      </w:pPr>
      <w:r>
        <w:rPr>
          <w:rFonts w:ascii="Arial" w:hAnsi="Arial" w:eastAsia="Arial"/>
        </w:rPr>
        <w:t>Validation demonstrates that real members can complete the intended task, understand privacy and AI, correct the system, and receive the intended value.</w:t>
      </w:r>
    </w:p>
    <w:p>
      <w:pPr>
        <w:pStyle w:val="ListBullet"/>
        <w:spacing w:after="50" w:line="247" w:lineRule="auto"/>
      </w:pPr>
      <w:r>
        <w:rPr>
          <w:rFonts w:ascii="Arial" w:hAnsi="Arial" w:eastAsia="Arial"/>
        </w:rPr>
        <w:t>Production verification, observability, known limitations, support notes, and release decision are recorded.</w:t>
      </w:r>
    </w:p>
    <w:p>
      <w:pPr>
        <w:pStyle w:val="ListBullet"/>
      </w:pPr>
      <w:r>
        <w:t>For material user-facing work, named visual-authority comparisons, responsive/accessibility states, and every intentional deviation are recorded.</w:t>
      </w:r>
    </w:p>
    <w:p>
      <w:pPr>
        <w:pStyle w:val="ListBullet"/>
      </w:pPr>
      <w:r>
        <w:t>Pete and ChatGPT Work have accepted the implemented professional finish, or Pete has explicitly delegated that acceptance in writing.</w:t>
      </w:r>
    </w:p>
    <w:p>
      <w:pPr>
        <w:pStyle w:val="Heading2"/>
      </w:pPr>
      <w:r>
        <w:t>AI-assisted development</w:t>
      </w:r>
    </w:p>
    <w:p>
      <w:r>
        <w:rPr>
          <w:rFonts w:ascii="Arial" w:hAnsi="Arial" w:eastAsia="Arial"/>
          <w:i w:val="0"/>
        </w:rPr>
        <w:t>Claude, Codex, and other agents may accelerate implementation, review, documentation, and testing, but they work from controlled initiative packages. Prompt instructions, repository procedures, coding conventions, and evidence-collection steps belong in the Delivery and Assurance Playbook or initiative README—not in the constitutional Bible.</w:t>
      </w:r>
    </w:p>
    <w:p>
      <w:pPr>
        <w:pStyle w:val="Heading1"/>
      </w:pPr>
      <w:r>
        <w:t>18. Canonical vocabulary</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Canonical product language is controlled to prevent drift.</w:t>
            </w:r>
          </w:p>
        </w:tc>
      </w:tr>
    </w:tbl>
    <w:p>
      <w:pPr>
        <w:spacing w:after="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90" w:type="dxa"/>
              <w:start w:w="95" w:type="dxa"/>
              <w:bottom w:w="90" w:type="dxa"/>
              <w:end w:w="95" w:type="dxa"/>
            </w:tcMar>
          </w:tcPr>
          <w:p>
            <w:pPr>
              <w:jc w:val="left"/>
            </w:pPr>
            <w:r>
              <w:rPr>
                <w:rFonts w:ascii="Arial" w:hAnsi="Arial" w:eastAsia="Arial"/>
                <w:b/>
                <w:color w:val="FFFFFF"/>
                <w:sz w:val="14"/>
              </w:rPr>
              <w:t>Term</w:t>
            </w:r>
          </w:p>
        </w:tc>
        <w:tc>
          <w:tcPr>
            <w:tcW w:type="dxa" w:w="7704"/>
            <w:shd w:fill="17324D"/>
            <w:tcMar>
              <w:top w:w="90" w:type="dxa"/>
              <w:start w:w="95" w:type="dxa"/>
              <w:bottom w:w="90" w:type="dxa"/>
              <w:end w:w="95" w:type="dxa"/>
            </w:tcMar>
          </w:tcPr>
          <w:p>
            <w:pPr>
              <w:jc w:val="left"/>
            </w:pPr>
            <w:r>
              <w:rPr>
                <w:rFonts w:ascii="Arial" w:hAnsi="Arial" w:eastAsia="Arial"/>
                <w:b/>
                <w:color w:val="FFFFFF"/>
                <w:sz w:val="14"/>
              </w:rPr>
              <w:t>Canonical meaning</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member-owned connected system of canonical records, sources, relationships, approved interpretations, and projections.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My Slate</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owner’s view and preview of the Slate; not a second data model.</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captured event, observation, decision, lesson, win, setback, question, or update.</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Journal</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private-first reviewed home for Moments and their context.</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Story</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curated, audience-specific narrative projection from canonical Slate records.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Work</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Projects, roles, contributions, decisions, outcomes, skills in practice, and professional context.</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Source</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provenance object supporting a record, draft, or interpretation.</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Insight</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private, source-linked, time-bounded AI interpretation with lifecycle and member controls.</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What PeerSlate noticed</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primary member-facing surface for insights.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Mirror</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canonical capability that reveals reviewable patterns across the connected Slate.</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 Replay</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narrative periodic experience generated from approved Slate context.</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This Moment</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post-review activation flow that turns a Moment into a useful next action.</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 Lab</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Studio experiences that prepare the member for real professional conversations and explanations.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Next Chapter</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member-first view of confirmed strengths, transferability, real gaps, and small experiments.</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Qualification Alignment</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Transparent comparison of confirmed member history to a member-supplied role, standard, or need.</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FitSlate</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tabled future opportunity-evaluation experience; no current build authorization.</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Projection</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purpose- and audience-specific presentation of canonical records.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Verification</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Objective evidence that the approved system was built correctly.</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Evidence that the right experience was built for the member.</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LANGUAGE CLEANUP</w:t>
            </w:r>
          </w:p>
          <w:p>
            <w:pPr>
              <w:spacing w:after="0" w:line="250" w:lineRule="auto"/>
            </w:pPr>
            <w:r>
              <w:rPr>
                <w:rFonts w:ascii="Arial" w:hAnsi="Arial" w:eastAsia="Arial"/>
                <w:color w:val="111827"/>
                <w:sz w:val="18"/>
              </w:rPr>
              <w:t>Avoid using “Evidence” as a top-level product destination or repetitive marketing claim. Use Source, provenance, record, supporting context, or verified claim only when the exact meaning and verification method are defined.</w:t>
            </w:r>
          </w:p>
        </w:tc>
      </w:tr>
    </w:tbl>
    <w:p>
      <w:pPr>
        <w:spacing w:after="0"/>
      </w:pPr>
    </w:p>
    <w:p>
      <w:pPr>
        <w:pStyle w:val="Heading1"/>
      </w:pPr>
      <w:r>
        <w:t>19. Locked, open, later, and tabled decisions</w:t>
      </w:r>
    </w:p>
    <w:p>
      <w:pPr>
        <w:pStyle w:val="Heading2"/>
      </w:pPr>
      <w:r>
        <w:t>Locked / current</w:t>
      </w:r>
    </w:p>
    <w:p>
      <w:pPr>
        <w:pStyle w:val="ListBullet"/>
        <w:spacing w:after="50" w:line="247" w:lineRule="auto"/>
      </w:pPr>
      <w:r>
        <w:rPr>
          <w:rFonts w:ascii="Arial" w:hAnsi="Arial" w:eastAsia="Arial"/>
        </w:rPr>
        <w:t>Member-first, private-first, capture-once/connect-many direction.</w:t>
      </w:r>
    </w:p>
    <w:p>
      <w:pPr>
        <w:pStyle w:val="ListBullet"/>
        <w:spacing w:after="50" w:line="247" w:lineRule="auto"/>
      </w:pPr>
      <w:r>
        <w:rPr>
          <w:rFonts w:ascii="Arial" w:hAnsi="Arial" w:eastAsia="Arial"/>
        </w:rPr>
        <w:t>One connected Slate with owner and viewer modes.</w:t>
      </w:r>
    </w:p>
    <w:p>
      <w:pPr>
        <w:pStyle w:val="ListBullet"/>
        <w:spacing w:after="50" w:line="247" w:lineRule="auto"/>
      </w:pPr>
      <w:r>
        <w:rPr>
          <w:rFonts w:ascii="Arial" w:hAnsi="Arial" w:eastAsia="Arial"/>
        </w:rPr>
        <w:t>Working professionals—not recruiters—are the first beneficiary.</w:t>
      </w:r>
    </w:p>
    <w:p>
      <w:pPr>
        <w:pStyle w:val="ListBullet"/>
        <w:spacing w:after="50" w:line="247" w:lineRule="auto"/>
      </w:pPr>
      <w:r>
        <w:rPr>
          <w:rFonts w:ascii="Arial" w:hAnsi="Arial" w:eastAsia="Arial"/>
        </w:rPr>
        <w:t>No job board, sponsored jobs, marketplace, or job-recommendation feed.</w:t>
      </w:r>
    </w:p>
    <w:p>
      <w:pPr>
        <w:pStyle w:val="ListBullet"/>
        <w:spacing w:after="50" w:line="247" w:lineRule="auto"/>
      </w:pPr>
      <w:r>
        <w:rPr>
          <w:rFonts w:ascii="Arial" w:hAnsi="Arial" w:eastAsia="Arial"/>
        </w:rPr>
        <w:t>Modular monolith with governed AI and deterministic trust controls.</w:t>
      </w:r>
    </w:p>
    <w:p>
      <w:pPr>
        <w:pStyle w:val="ListBullet"/>
        <w:spacing w:after="50" w:line="247" w:lineRule="auto"/>
      </w:pPr>
      <w:r>
        <w:rPr>
          <w:rFonts w:ascii="Arial" w:hAnsi="Arial" w:eastAsia="Arial"/>
        </w:rPr>
        <w:t>Authorization before retrieval and server-derived ownership.</w:t>
      </w:r>
    </w:p>
    <w:p>
      <w:pPr>
        <w:pStyle w:val="ListBullet"/>
        <w:spacing w:after="50" w:line="247" w:lineRule="auto"/>
      </w:pPr>
      <w:r>
        <w:rPr>
          <w:rFonts w:ascii="Arial" w:hAnsi="Arial" w:eastAsia="Arial"/>
        </w:rPr>
        <w:t>What PeerSlate noticed, Slate Mirror, Slate Replay, Use This Moment, Moment Lab, and Next Chapter as the canonical member-intelligence family.</w:t>
      </w:r>
    </w:p>
    <w:p>
      <w:pPr>
        <w:pStyle w:val="ListBullet"/>
        <w:spacing w:after="50" w:line="247" w:lineRule="auto"/>
      </w:pPr>
      <w:r>
        <w:rPr>
          <w:rFonts w:ascii="Arial" w:hAnsi="Arial" w:eastAsia="Arial"/>
        </w:rPr>
        <w:t>Requirements, traceability, testing, verification, validation, production verification, and missing-evidence-is-In-Progress rule.</w:t>
      </w:r>
    </w:p>
    <w:p>
      <w:pPr>
        <w:pStyle w:val="ListBullet"/>
        <w:spacing w:after="50" w:line="247" w:lineRule="auto"/>
      </w:pPr>
      <w:r>
        <w:rPr>
          <w:rFonts w:ascii="Arial" w:hAnsi="Arial" w:eastAsia="Arial"/>
        </w:rPr>
        <w:t>Two-member founding alpha with Pete and Danielle as separate real accounts.</w:t>
      </w:r>
    </w:p>
    <w:p>
      <w:pPr>
        <w:pStyle w:val="ListBullet"/>
      </w:pPr>
      <w:r>
        <w:t>Microsoft Entra External ID is the approved member identity platform; email/password, email one-time passcode, Google, and Microsoft personal-account sign-in are the current verified production methods.</w:t>
      </w:r>
    </w:p>
    <w:p>
      <w:pPr>
        <w:pStyle w:val="ListBullet"/>
      </w:pPr>
      <w:r>
        <w:t>Azure DevOps origin/main is the operational source of truth; the GitHub mirror is a backup and must match the authoritative branch after approved merges.</w:t>
      </w:r>
    </w:p>
    <w:p>
      <w:pPr>
        <w:pStyle w:val="ListBullet"/>
      </w:pPr>
      <w:r>
        <w:t>Deep Navy Gold is the approved shared visual theme. Iris, indigo, and purple are retired directions and shall not be reintroduced through isolated page work or local owner CSS.</w:t>
      </w:r>
    </w:p>
    <w:p>
      <w:pPr>
        <w:pStyle w:val="ListBullet"/>
      </w:pPr>
      <w:r>
        <w:t>The five July 18 owner-experience storyboard boards are the approved controlling design reference for the dark-theme owner workspace. They shall be stored in the authoritative repository and cited by owner-experience initiatives.</w:t>
      </w:r>
    </w:p>
    <w:p>
      <w:pPr>
        <w:pStyle w:val="ListBullet"/>
      </w:pPr>
      <w:r>
        <w:t>The initial owner experience is dark-theme first. The light theme is deferred and shall not block implementation of the approved dark experience.</w:t>
      </w:r>
    </w:p>
    <w:p>
      <w:pPr>
        <w:pStyle w:val="ListBullet"/>
      </w:pPr>
      <w:r>
        <w:t>A Capture record is the private owner-scoped original/source intake. It is not automatically a reviewed canonical Moment. Original input must remain preserved through correction, promotion, placement, export, and deletion policy.</w:t>
      </w:r>
    </w:p>
    <w:p>
      <w:pPr>
        <w:pStyle w:val="ListBullet"/>
      </w:pPr>
      <w:r>
        <w:t>Owner-approved production-intent demonstrations are binding visual and interaction minimums for their named packages; the real experience must match or exceed them.</w:t>
      </w:r>
    </w:p>
    <w:p>
      <w:pPr>
        <w:pStyle w:val="ListBullet"/>
      </w:pPr>
      <w:r>
        <w:t>Material user-facing completion requires both objective technical evidence and explicit owner/manager visual acceptance.</w:t>
      </w:r>
    </w:p>
    <w:p>
      <w:pPr>
        <w:pStyle w:val="Heading2"/>
      </w:pPr>
      <w:r>
        <w:t>Open decisions</w:t>
      </w:r>
    </w:p>
    <w:p>
      <w:pPr>
        <w:pStyle w:val="ListBullet"/>
        <w:spacing w:after="50" w:line="247" w:lineRule="auto"/>
      </w:pPr>
      <w:r>
        <w:t>Exact environment-separation, callback-hardening, managed-identity, Key Vault, and production-operations sequence after the approved Microsoft Entra External ID foundation.</w:t>
      </w:r>
    </w:p>
    <w:p>
      <w:pPr>
        <w:pStyle w:val="ListBullet"/>
        <w:spacing w:after="50" w:line="247" w:lineRule="auto"/>
      </w:pPr>
      <w:r>
        <w:rPr>
          <w:rFonts w:ascii="Arial" w:hAnsi="Arial" w:eastAsia="Arial"/>
        </w:rPr>
        <w:t>Exact speech client flow, raw-audio retention, supported languages, and vocabulary strategy.</w:t>
      </w:r>
    </w:p>
    <w:p>
      <w:pPr>
        <w:pStyle w:val="ListBullet"/>
        <w:spacing w:after="50" w:line="247" w:lineRule="auto"/>
      </w:pPr>
      <w:r>
        <w:rPr>
          <w:rFonts w:ascii="Arial" w:hAnsi="Arial" w:eastAsia="Arial"/>
        </w:rPr>
        <w:t>First AI provider-routing policy and evaluation thresholds.</w:t>
      </w:r>
    </w:p>
    <w:p>
      <w:pPr>
        <w:pStyle w:val="ListBullet"/>
        <w:spacing w:after="50" w:line="247" w:lineRule="auto"/>
      </w:pPr>
      <w:r>
        <w:rPr>
          <w:rFonts w:ascii="Arial" w:hAnsi="Arial" w:eastAsia="Arial"/>
        </w:rPr>
        <w:t>Initial search/retrieval implementation beyond structured relationships and full text.</w:t>
      </w:r>
    </w:p>
    <w:p>
      <w:pPr>
        <w:pStyle w:val="ListBullet"/>
        <w:spacing w:after="50" w:line="247" w:lineRule="auto"/>
      </w:pPr>
      <w:r>
        <w:rPr>
          <w:rFonts w:ascii="Arial" w:hAnsi="Arial" w:eastAsia="Arial"/>
        </w:rPr>
        <w:t>Background-job technology and retry strategy.</w:t>
      </w:r>
    </w:p>
    <w:p>
      <w:pPr>
        <w:pStyle w:val="ListBullet"/>
        <w:spacing w:after="50" w:line="247" w:lineRule="auto"/>
      </w:pPr>
      <w:r>
        <w:rPr>
          <w:rFonts w:ascii="Arial" w:hAnsi="Arial" w:eastAsia="Arial"/>
        </w:rPr>
        <w:t>Exact migration sequence from current Azure SQL state.</w:t>
      </w:r>
    </w:p>
    <w:p>
      <w:pPr>
        <w:pStyle w:val="ListBullet"/>
        <w:spacing w:after="50" w:line="247" w:lineRule="auto"/>
      </w:pPr>
      <w:r>
        <w:rPr>
          <w:rFonts w:ascii="Arial" w:hAnsi="Arial" w:eastAsia="Arial"/>
        </w:rPr>
        <w:t>Narrow verification method and UI language required before “Verified” may be used.</w:t>
      </w:r>
    </w:p>
    <w:p>
      <w:pPr>
        <w:pStyle w:val="ListBullet"/>
        <w:spacing w:after="50" w:line="247" w:lineRule="auto"/>
      </w:pPr>
      <w:r>
        <w:rPr>
          <w:rFonts w:ascii="Arial" w:hAnsi="Arial" w:eastAsia="Arial"/>
        </w:rPr>
        <w:t>First paid capability after credits, based on observed member value.</w:t>
      </w:r>
    </w:p>
    <w:p>
      <w:pPr>
        <w:pStyle w:val="Heading2"/>
      </w:pPr>
      <w:r>
        <w:t>Later</w:t>
      </w:r>
    </w:p>
    <w:p>
      <w:pPr>
        <w:pStyle w:val="ListBullet"/>
        <w:spacing w:after="50" w:line="247" w:lineRule="auto"/>
      </w:pPr>
      <w:r>
        <w:rPr>
          <w:rFonts w:ascii="Arial" w:hAnsi="Arial" w:eastAsia="Arial"/>
        </w:rPr>
        <w:t>Decision Replay.</w:t>
      </w:r>
    </w:p>
    <w:p>
      <w:pPr>
        <w:pStyle w:val="ListBullet"/>
        <w:spacing w:after="50" w:line="247" w:lineRule="auto"/>
      </w:pPr>
      <w:r>
        <w:rPr>
          <w:rFonts w:ascii="Arial" w:hAnsi="Arial" w:eastAsia="Arial"/>
        </w:rPr>
        <w:t>Broader connection/community expansion after the real two-person loop works.</w:t>
      </w:r>
    </w:p>
    <w:p>
      <w:pPr>
        <w:pStyle w:val="ListBullet"/>
        <w:spacing w:after="50" w:line="247" w:lineRule="auto"/>
      </w:pPr>
      <w:r>
        <w:rPr>
          <w:rFonts w:ascii="Arial" w:hAnsi="Arial" w:eastAsia="Arial"/>
        </w:rPr>
        <w:t>Selected PWA/offline enhancements and optional short video after core mobile capture succeeds.</w:t>
      </w:r>
    </w:p>
    <w:p>
      <w:pPr>
        <w:pStyle w:val="ListBullet"/>
        <w:spacing w:after="50" w:line="247" w:lineRule="auto"/>
      </w:pPr>
      <w:r>
        <w:rPr>
          <w:rFonts w:ascii="Arial" w:hAnsi="Arial" w:eastAsia="Arial"/>
        </w:rPr>
        <w:t>Advanced semantic retrieval only when structured/full-text approaches demonstrably fail a valuable task.</w:t>
      </w:r>
    </w:p>
    <w:p>
      <w:pPr>
        <w:pStyle w:val="ListBullet"/>
        <w:spacing w:after="50" w:line="247" w:lineRule="auto"/>
      </w:pPr>
      <w:r>
        <w:rPr>
          <w:rFonts w:ascii="Arial" w:hAnsi="Arial" w:eastAsia="Arial"/>
        </w:rPr>
        <w:t>Recruiter-facing views only as downstream, owner-controlled outputs after the member system is trustworthy.</w:t>
      </w:r>
    </w:p>
    <w:p>
      <w:pPr>
        <w:pStyle w:val="ListBullet"/>
      </w:pPr>
      <w:r>
        <w:t>PS-PUBLIC-VISUAL-001 — Public Experience Visual Convergence: redesign the logged-out product/pitch homepage and representative public Slate, Story, Work, projection, and gated-product surfaces to match the approved owner-system quality after the owner shell and core private loop are stable.</w:t>
      </w:r>
    </w:p>
    <w:p>
      <w:pPr>
        <w:pStyle w:val="Heading2"/>
      </w:pPr>
      <w:r>
        <w:t>Tabled</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FITSLATE</w:t>
            </w:r>
          </w:p>
          <w:p>
            <w:pPr>
              <w:spacing w:after="0" w:line="250" w:lineRule="auto"/>
            </w:pPr>
            <w:r>
              <w:rPr>
                <w:rFonts w:ascii="Arial" w:hAnsi="Arial" w:eastAsia="Arial"/>
                <w:color w:val="111827"/>
                <w:sz w:val="18"/>
              </w:rPr>
              <w:t>Preserved for future reconsideration only. It receives no active design, architecture, work-package, prototype, or release authorization in the current program.</w:t>
            </w:r>
          </w:p>
        </w:tc>
      </w:tr>
    </w:tbl>
    <w:p>
      <w:pPr>
        <w:spacing w:after="0"/>
      </w:pPr>
    </w:p>
    <w:p>
      <w:pPr>
        <w:pStyle w:val="Heading1"/>
      </w:pPr>
      <w:r>
        <w:t>20. Review agenda</w:t>
      </w:r>
    </w:p>
    <w:p>
      <w:r>
        <w:rPr>
          <w:rFonts w:ascii="Arial" w:hAnsi="Arial" w:eastAsia="Arial"/>
          <w:i w:val="0"/>
        </w:rPr>
        <w:t>The next owner review should make a small number of explicit decisions rather than reopen the entire source document.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24D"/>
            <w:tcMar>
              <w:top w:w="90" w:type="dxa"/>
              <w:start w:w="95" w:type="dxa"/>
              <w:bottom w:w="90" w:type="dxa"/>
              <w:end w:w="95" w:type="dxa"/>
            </w:tcMar>
          </w:tcPr>
          <w:p>
            <w:pPr>
              <w:jc w:val="left"/>
            </w:pPr>
            <w:r>
              <w:rPr>
                <w:rFonts w:ascii="Arial" w:hAnsi="Arial" w:eastAsia="Arial"/>
                <w:b/>
                <w:color w:val="FFFFFF"/>
                <w:sz w:val="14"/>
              </w:rPr>
              <w:t>Decision</w:t>
            </w:r>
          </w:p>
        </w:tc>
        <w:tc>
          <w:tcPr>
            <w:tcW w:type="dxa" w:w="3024"/>
            <w:shd w:fill="17324D"/>
            <w:tcMar>
              <w:top w:w="90" w:type="dxa"/>
              <w:start w:w="95" w:type="dxa"/>
              <w:bottom w:w="90" w:type="dxa"/>
              <w:end w:w="95" w:type="dxa"/>
            </w:tcMar>
          </w:tcPr>
          <w:p>
            <w:pPr>
              <w:jc w:val="left"/>
            </w:pPr>
            <w:r>
              <w:rPr>
                <w:rFonts w:ascii="Arial" w:hAnsi="Arial" w:eastAsia="Arial"/>
                <w:b/>
                <w:color w:val="FFFFFF"/>
                <w:sz w:val="14"/>
              </w:rPr>
              <w:t>Recommended disposition</w:t>
            </w:r>
          </w:p>
        </w:tc>
        <w:tc>
          <w:tcPr>
            <w:tcW w:type="dxa" w:w="3888"/>
            <w:shd w:fill="17324D"/>
            <w:tcMar>
              <w:top w:w="90" w:type="dxa"/>
              <w:start w:w="95" w:type="dxa"/>
              <w:bottom w:w="90" w:type="dxa"/>
              <w:end w:w="95" w:type="dxa"/>
            </w:tcMar>
          </w:tcPr>
          <w:p>
            <w:pPr>
              <w:jc w:val="left"/>
            </w:pPr>
            <w:r>
              <w:rPr>
                <w:rFonts w:ascii="Arial" w:hAnsi="Arial" w:eastAsia="Arial"/>
                <w:b/>
                <w:color w:val="FFFFFF"/>
                <w:sz w:val="14"/>
              </w:rPr>
              <w:t>Why it matters</w:t>
            </w:r>
          </w:p>
        </w:tc>
      </w:tr>
      <w:tr>
        <w:trPr>
          <w:cantSplit/>
        </w:trPr>
        <w:tc>
          <w:tcPr>
            <w:tcW w:type="dxa" w:w="31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v2.0 constitutional structure</w:t>
            </w:r>
          </w:p>
        </w:tc>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with edits</w:t>
            </w:r>
          </w:p>
        </w:tc>
        <w:tc>
          <w:tcPr>
            <w:tcW w:type="dxa" w:w="38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Allows the Bible to become usable instead of carrying every implementation detail.</w:t>
            </w:r>
          </w:p>
        </w:tc>
      </w:tr>
      <w:tr>
        <w:trPr>
          <w:cantSplit/>
        </w:trPr>
        <w:tc>
          <w:tcPr>
            <w:tcW w:type="dxa" w:w="31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the product operating-system artifact stack</w:t>
            </w:r>
          </w:p>
        </w:tc>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w:t>
            </w:r>
          </w:p>
        </w:tc>
        <w:tc>
          <w:tcPr>
            <w:tcW w:type="dxa" w:w="38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Creates a durable home for roadmap, architecture, trust, delivery, initiatives, evidence, and decision history.</w:t>
            </w:r>
          </w:p>
        </w:tc>
      </w:tr>
      <w:tr>
        <w:trPr>
          <w:cantSplit/>
        </w:trPr>
        <w:tc>
          <w:tcPr>
            <w:tcW w:type="dxa" w:w="31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Confirm canonical feature hierarchy</w:t>
            </w:r>
          </w:p>
        </w:tc>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Use This Moment → What PeerSlate noticed / Slate Mirror → Replay → Moment Lab → Next Chapter; FitSlate tabled</w:t>
            </w:r>
          </w:p>
        </w:tc>
        <w:tc>
          <w:tcPr>
            <w:tcW w:type="dxa" w:w="38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Stops duplicate names and competing build sequences.</w:t>
            </w:r>
          </w:p>
        </w:tc>
      </w:tr>
      <w:tr>
        <w:trPr>
          <w:cantSplit/>
        </w:trPr>
        <w:tc>
          <w:tcPr>
            <w:tcW w:type="dxa" w:w="31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top-level shall requirements</w:t>
            </w:r>
          </w:p>
        </w:tc>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with ID edits as needed</w:t>
            </w:r>
          </w:p>
        </w:tc>
        <w:tc>
          <w:tcPr>
            <w:tcW w:type="dxa" w:w="38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Makes architecture, requirements, tests, V&amp;V, and release gates enforceable.</w:t>
            </w:r>
          </w:p>
        </w:tc>
      </w:tr>
      <w:tr>
        <w:trPr>
          <w:cantSplit/>
        </w:trPr>
        <w:tc>
          <w:tcPr>
            <w:tcW w:type="dxa" w:w="31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companion Roadmap as the single current sequence</w:t>
            </w:r>
          </w:p>
        </w:tc>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after current-state audit fields are completed</w:t>
            </w:r>
          </w:p>
        </w:tc>
        <w:tc>
          <w:tcPr>
            <w:tcW w:type="dxa" w:w="38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Removes conflicting phases and makes progress evidence-based.</w:t>
            </w:r>
          </w:p>
        </w:tc>
      </w:tr>
      <w:tr>
        <w:trPr>
          <w:cantSplit/>
        </w:trPr>
        <w:tc>
          <w:tcPr>
            <w:tcW w:type="dxa" w:w="31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relocation/cut list</w:t>
            </w:r>
          </w:p>
        </w:tc>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Review individually in Editorial Review</w:t>
            </w:r>
          </w:p>
        </w:tc>
        <w:tc>
          <w:tcPr>
            <w:tcW w:type="dxa" w:w="38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Reduces waste without losing source material.</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RECOMMENDED MEETING ORDER</w:t>
            </w:r>
          </w:p>
          <w:p>
            <w:pPr>
              <w:spacing w:after="0" w:line="250" w:lineRule="auto"/>
            </w:pPr>
            <w:r>
              <w:rPr>
                <w:rFonts w:ascii="Arial" w:hAnsi="Arial" w:eastAsia="Arial"/>
                <w:color w:val="111827"/>
                <w:sz w:val="18"/>
              </w:rPr>
              <w:t>1) Principles and boundaries; 2) feature hierarchy; 3) roadmap phase order; 4) assurance loop and shall requirements; 5) proposed relocations/cuts; 6) assign current-state audit and Phase 0 decisions.</w:t>
            </w:r>
          </w:p>
        </w:tc>
      </w:tr>
    </w:tbl>
    <w:p>
      <w:pPr>
        <w:spacing w:after="0"/>
      </w:pPr>
    </w:p>
    <w:p>
      <w:pPr>
        <w:pStyle w:val="Heading1"/>
      </w:pPr>
      <w:r>
        <w:t>Appendix A — Initiative traceability template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tcMar>
              <w:top w:w="90" w:type="dxa"/>
              <w:start w:w="95" w:type="dxa"/>
              <w:bottom w:w="90" w:type="dxa"/>
              <w:end w:w="95" w:type="dxa"/>
            </w:tcMar>
          </w:tcPr>
          <w:p>
            <w:pPr>
              <w:jc w:val="left"/>
            </w:pPr>
            <w:r>
              <w:rPr>
                <w:rFonts w:ascii="Arial" w:hAnsi="Arial" w:eastAsia="Arial"/>
                <w:b/>
                <w:color w:val="FFFFFF"/>
                <w:sz w:val="14"/>
              </w:rPr>
              <w:t>Field</w:t>
            </w:r>
          </w:p>
        </w:tc>
        <w:tc>
          <w:tcPr>
            <w:tcW w:type="dxa" w:w="7848"/>
            <w:shd w:fill="17324D"/>
            <w:tcMar>
              <w:top w:w="90" w:type="dxa"/>
              <w:start w:w="95" w:type="dxa"/>
              <w:bottom w:w="90" w:type="dxa"/>
              <w:end w:w="95" w:type="dxa"/>
            </w:tcMar>
          </w:tcPr>
          <w:p>
            <w:pPr>
              <w:jc w:val="left"/>
            </w:pPr>
            <w:r>
              <w:rPr>
                <w:rFonts w:ascii="Arial" w:hAnsi="Arial" w:eastAsia="Arial"/>
                <w:b/>
                <w:color w:val="FFFFFF"/>
                <w:sz w:val="14"/>
              </w:rPr>
              <w:t>Required content</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 ID / title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Stable identifier and canonical name.</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 problem</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Real moment, current workaround, evidence, affected roles.</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Bible authorization</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Applicable PS-P and PS-CORE IDs plus any tension or exception.</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Outcome / measures</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What changes for the member and how success/guardrails are measured.</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Scope / out of scope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Explicit boundaries and postponed work.</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Requirements</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Unique shall IDs across functional, data, AI, privacy/security, accessibility, performance, reliability, observability, migration, and assurance.</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Prototype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Risk-focused experience prototype with real states, content, accessibility, privacy, and failure behavior.</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Architecture allocation</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Components, data, APIs, authorization, lifecycle, external services, monitoring, rollout, rollback.</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Implementation artifacts</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Repository paths, migrations, configuration, infrastructure, feature flags.</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Tests / verification</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Requirement-linked automated/manual evidence and reviewer decision.</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Participants, tasks, observations, comprehension, trust, outcome, decision.</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Release</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Deployment, production verification, known limitations, rollback proof, status.</w:t>
            </w:r>
          </w:p>
        </w:tc>
      </w:tr>
    </w:tbl>
    <w:p>
      <w:pPr>
        <w:spacing w:after="20"/>
      </w:pPr>
    </w:p>
    <w:p>
      <w:pPr>
        <w:pStyle w:val="Heading1"/>
      </w:pPr>
      <w:r>
        <w:t>Appendix B — Example requirements-to-evidence chain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Mar>
              <w:top w:w="90" w:type="dxa"/>
              <w:start w:w="95" w:type="dxa"/>
              <w:bottom w:w="90" w:type="dxa"/>
              <w:end w:w="95" w:type="dxa"/>
            </w:tcMar>
          </w:tcPr>
          <w:p>
            <w:pPr>
              <w:jc w:val="left"/>
            </w:pPr>
            <w:r>
              <w:rPr>
                <w:rFonts w:ascii="Arial" w:hAnsi="Arial" w:eastAsia="Arial"/>
                <w:b/>
                <w:color w:val="FFFFFF"/>
                <w:sz w:val="14"/>
              </w:rPr>
              <w:t>Trace element</w:t>
            </w:r>
          </w:p>
        </w:tc>
        <w:tc>
          <w:tcPr>
            <w:tcW w:type="dxa" w:w="7992"/>
            <w:shd w:fill="17324D"/>
            <w:tcMar>
              <w:top w:w="90" w:type="dxa"/>
              <w:start w:w="95" w:type="dxa"/>
              <w:bottom w:w="90" w:type="dxa"/>
              <w:end w:w="95" w:type="dxa"/>
            </w:tcMar>
          </w:tcPr>
          <w:p>
            <w:pPr>
              <w:jc w:val="left"/>
            </w:pPr>
            <w:r>
              <w:rPr>
                <w:rFonts w:ascii="Arial" w:hAnsi="Arial" w:eastAsia="Arial"/>
                <w:b/>
                <w:color w:val="FFFFFF"/>
                <w:sz w:val="14"/>
              </w:rPr>
              <w:t>Example: PS-CORE-FR-001 Universal Capture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need</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 need to capture a real work Moment quickly without deciding where it belongs or accidentally publishing it.</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Requirement</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Universal Capture shall create an owner-scoped private draft before placement, sharing, or publication.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Architecture allocation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Trusted-session owner resolution; captures table; private draft state; server-enforced audience; transaction; audit-safe event; failure recovery.</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Prototype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Mobile text/voice Capture with visible private state, cancel, transcript correction, retry, offline-safe draft explanation, and next-step review.</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Implementation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Route/service/data-access/migration/UI/state/telemetry artifacts linked by requirement ID.</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Verification</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Unit save-state tests; integration transaction test; cross-user isolation; publication-negative tests; offline/retry; accessibility; telemetry without payload.</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Pete and Danielle independently capture a Moment, explain that it is private, correct it, save it, and find the review step without a product tour.</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Release evidence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Traceability complete; staging pass; production smoke; rollback tested; no high-risk defects; status Complete.</w:t>
            </w:r>
          </w:p>
        </w:tc>
      </w:tr>
    </w:tbl>
    <w:p>
      <w:pPr>
        <w:spacing w:after="20"/>
      </w:pPr>
    </w:p>
    <w:p>
      <w:pPr>
        <w:pStyle w:val="Heading1"/>
      </w:pPr>
      <w:r>
        <w:t>Appendix C — Feature evaluation card</w:t>
      </w:r>
    </w:p>
    <w:p>
      <w:pPr>
        <w:pStyle w:val="ListBullet"/>
        <w:spacing w:after="50" w:line="247" w:lineRule="auto"/>
      </w:pPr>
      <w:r>
        <w:rPr>
          <w:rFonts w:ascii="Arial" w:hAnsi="Arial" w:eastAsia="Arial"/>
        </w:rPr>
        <w:t>Relevance: Is this useful to the first working-professional member now?</w:t>
      </w:r>
    </w:p>
    <w:p>
      <w:pPr>
        <w:pStyle w:val="ListBullet"/>
        <w:spacing w:after="50" w:line="247" w:lineRule="auto"/>
      </w:pPr>
      <w:r>
        <w:rPr>
          <w:rFonts w:ascii="Arial" w:hAnsi="Arial" w:eastAsia="Arial"/>
        </w:rPr>
        <w:t>One-sentence value: Can the member explain what it does and why it matters?</w:t>
      </w:r>
    </w:p>
    <w:p>
      <w:pPr>
        <w:pStyle w:val="ListBullet"/>
        <w:spacing w:after="50" w:line="247" w:lineRule="auto"/>
      </w:pPr>
      <w:r>
        <w:rPr>
          <w:rFonts w:ascii="Arial" w:hAnsi="Arial" w:eastAsia="Arial"/>
        </w:rPr>
        <w:t>Immediate action: Is the next action obvious, safe, and reversible?</w:t>
      </w:r>
    </w:p>
    <w:p>
      <w:pPr>
        <w:pStyle w:val="ListBullet"/>
        <w:spacing w:after="50" w:line="247" w:lineRule="auto"/>
      </w:pPr>
      <w:r>
        <w:rPr>
          <w:rFonts w:ascii="Arial" w:hAnsi="Arial" w:eastAsia="Arial"/>
        </w:rPr>
        <w:t>Connected system: Which canonical objects and existing domains does it strengthen?</w:t>
      </w:r>
    </w:p>
    <w:p>
      <w:pPr>
        <w:pStyle w:val="ListBullet"/>
        <w:spacing w:after="50" w:line="247" w:lineRule="auto"/>
      </w:pPr>
      <w:r>
        <w:rPr>
          <w:rFonts w:ascii="Arial" w:hAnsi="Arial" w:eastAsia="Arial"/>
        </w:rPr>
        <w:t>Private-first trust: Who owns the data, who can retrieve it, and what requires approval?</w:t>
      </w:r>
    </w:p>
    <w:p>
      <w:pPr>
        <w:pStyle w:val="ListBullet"/>
        <w:spacing w:after="50" w:line="247" w:lineRule="auto"/>
      </w:pPr>
      <w:r>
        <w:rPr>
          <w:rFonts w:ascii="Arial" w:hAnsi="Arial" w:eastAsia="Arial"/>
        </w:rPr>
        <w:t>AI boundary: What may AI propose, and what must deterministic software control?</w:t>
      </w:r>
    </w:p>
    <w:p>
      <w:pPr>
        <w:pStyle w:val="ListBullet"/>
        <w:spacing w:after="50" w:line="247" w:lineRule="auto"/>
      </w:pPr>
      <w:r>
        <w:rPr>
          <w:rFonts w:ascii="Arial" w:hAnsi="Arial" w:eastAsia="Arial"/>
        </w:rPr>
        <w:t>Progressive depth: What is visible in five seconds, 30 seconds, and deeper inspection?</w:t>
      </w:r>
    </w:p>
    <w:p>
      <w:pPr>
        <w:pStyle w:val="ListBullet"/>
        <w:spacing w:after="50" w:line="247" w:lineRule="auto"/>
      </w:pPr>
      <w:r>
        <w:rPr>
          <w:rFonts w:ascii="Arial" w:hAnsi="Arial" w:eastAsia="Arial"/>
        </w:rPr>
        <w:t>Accessibility and failure: Does essential capability survive alternative input, zoom, reduced motion, provider failure, and recovery?</w:t>
      </w:r>
    </w:p>
    <w:p>
      <w:pPr>
        <w:pStyle w:val="ListBullet"/>
        <w:spacing w:after="50" w:line="247" w:lineRule="auto"/>
      </w:pPr>
      <w:r>
        <w:rPr>
          <w:rFonts w:ascii="Arial" w:hAnsi="Arial" w:eastAsia="Arial"/>
        </w:rPr>
        <w:t>Evidence: Which tests, V&amp;V, monitoring, rollout, and rollback prove completion?</w:t>
      </w:r>
    </w:p>
    <w:p>
      <w:pPr>
        <w:pStyle w:val="ListBullet"/>
        <w:spacing w:after="50" w:line="247" w:lineRule="auto"/>
      </w:pPr>
      <w:r>
        <w:rPr>
          <w:rFonts w:ascii="Arial" w:hAnsi="Arial" w:eastAsia="Arial"/>
        </w:rPr>
        <w:t>Tradeoff: What will be removed, consolidated, or postponed to make room?</w:t>
      </w:r>
    </w:p>
    <w:p>
      <w:pPr>
        <w:pStyle w:val="Heading1"/>
      </w:pPr>
      <w:r>
        <w:t>Appendix D — Founding-alpha validation tasks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24D"/>
            <w:tcMar>
              <w:top w:w="90" w:type="dxa"/>
              <w:start w:w="95" w:type="dxa"/>
              <w:bottom w:w="90" w:type="dxa"/>
              <w:end w:w="95" w:type="dxa"/>
            </w:tcMar>
          </w:tcPr>
          <w:p>
            <w:pPr>
              <w:jc w:val="left"/>
            </w:pPr>
            <w:r>
              <w:rPr>
                <w:rFonts w:ascii="Arial" w:hAnsi="Arial" w:eastAsia="Arial"/>
                <w:b/>
                <w:color w:val="FFFFFF"/>
                <w:sz w:val="15"/>
              </w:rPr>
              <w:t>Task</w:t>
            </w:r>
          </w:p>
        </w:tc>
        <w:tc>
          <w:tcPr>
            <w:tcW w:type="dxa" w:w="7632"/>
            <w:shd w:fill="17324D"/>
            <w:tcMar>
              <w:top w:w="90" w:type="dxa"/>
              <w:start w:w="95" w:type="dxa"/>
              <w:bottom w:w="90" w:type="dxa"/>
              <w:end w:w="95" w:type="dxa"/>
            </w:tcMar>
          </w:tcPr>
          <w:p>
            <w:pPr>
              <w:jc w:val="left"/>
            </w:pPr>
            <w:r>
              <w:rPr>
                <w:rFonts w:ascii="Arial" w:hAnsi="Arial" w:eastAsia="Arial"/>
                <w:b/>
                <w:color w:val="FFFFFF"/>
                <w:sz w:val="15"/>
              </w:rPr>
              <w:t>Pass condition</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Five-second comprehension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identifies product purpose, whose space it is, privacy state, and primary action.</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First Capture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Member records a real Moment and reaches a private reviewed draft without a tour.</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Correction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corrects transcript/structure/interpretation and understands what changed.</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Audience confidence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Member previews exactly what the other person or public will see and can explain what remains private.</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Cross-user isolation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Pete and Danielle cannot retrieve each other’s private captures, sources, media, drafts, insights, settings, or Studio sessions.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Selective share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One member shares a permitted item; the other sees only the approved context and can respond meaningfully.</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Return value</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revisits or receives a useful resurfaced Moment, Replay, preparation, or next action.</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AI failure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Core private capture/review/control continues safely during simulated provider failure.</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Export/deletion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can understand and complete export/deletion behavior and derived effects.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Mobile accessibility</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Essential flow works one-handed, by keyboard/assistive technology, at large text/200% zoom, and with reduced motion.</w:t>
            </w:r>
          </w:p>
        </w:tc>
      </w:tr>
    </w:tbl>
    <w:p>
      <w:pPr>
        <w:spacing w:after="20"/>
      </w:pPr>
    </w:p>
    <w:p>
      <w:pPr>
        <w:pStyle w:val="Heading1"/>
      </w:pPr>
      <w:r>
        <w:t>Appendix E — Source preservation note</w:t>
      </w:r>
    </w:p>
    <w:p>
      <w:r>
        <w:rPr>
          <w:rFonts w:ascii="Arial" w:hAnsi="Arial" w:eastAsia="Arial"/>
          <w:i w:val="0"/>
        </w:rPr>
        <w:t>This Bible is a synthesis and reorganization, not an authorized deletion of PeerSlate Company and Product Bible v1.5.1. The original 112-page source, including its 28 sections and Appendices A–K, remains the historical baseline until the owner approves this draft and the relocation register. Detailed requirements, schemas, Azure inventory, prompts, work-package instructions, test scripts, and historical roadmap material should be migrated to their named controlled artifacts before any duplicate copy is retired.</w:t>
      </w:r>
    </w:p>
    <w:p>
      <w:r>
        <w:rPr>
          <w:rFonts w:ascii="Arial" w:hAnsi="Arial" w:eastAsia="Arial"/>
          <w:i w:val="0"/>
        </w:rPr>
        <w:t>The companion Editorial Review identifies each proposed move or cut, its rationale, target home, risk, and approval status. The companion Product Strategy and Architecture Roadmap converts the current roadmap, pages 68–70 Azure build sequence, member-intelligence build order, and Platform Vision priorities into one evidence-based sequence that assumes no current phase is complete until verified.</w:t>
      </w:r>
    </w:p>
    <w:p>
      <w:pPr>
        <w:pStyle w:val="Heading1"/>
      </w:pPr>
      <w:r>
        <w:t>Appendix F — Approval record</w:t>
      </w:r>
    </w:p>
    <w:tbl>
      <w:tblPr>
        <w:tblW w:type="auto" w:w="0"/>
        <w:jc w:val="center"/>
        <w:tblLayout w:type="fixed"/>
        <w:tblLook w:firstColumn="1" w:firstRow="1" w:lastColumn="0" w:lastRow="0" w:noHBand="0" w:noVBand="1" w:val="04A0"/>
      </w:tblPr>
      <w:tblGrid>
        <w:gridCol w:w="5083"/>
        <w:gridCol w:w="5083"/>
      </w:tblGrid>
      <w:tr>
        <w:trPr>
          <w:cantSplit/>
        </w:trPr>
        <w:tc>
          <w:tcPr>
            <w:tcW w:type="dxa" w:w="3024"/>
            <w:shd w:fill="EAF2F7"/>
            <w:tcMar>
              <w:top w:w="110" w:type="dxa"/>
              <w:start w:w="110" w:type="dxa"/>
              <w:bottom w:w="110" w:type="dxa"/>
              <w:end w:w="110" w:type="dxa"/>
            </w:tcMar>
          </w:tcPr>
          <w:p>
            <w:r>
              <w:rPr>
                <w:rFonts w:ascii="Arial" w:hAnsi="Arial" w:eastAsia="Arial"/>
                <w:b/>
                <w:color w:val="36566F"/>
                <w:sz w:val="16"/>
              </w:rPr>
              <w:t>Owner approval / decision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Approved version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Required edits</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Effective date</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Superseded source treatment</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Decision Register entry</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bl>
    <w:p>
      <w:pPr>
        <w:spacing w:after="20"/>
      </w:pPr>
    </w:p>
    <w:p>
      <w:r>
        <w:br w:type="page"/>
      </w:r>
    </w:p>
    <w:p>
      <w:pPr>
        <w:pStyle w:val="Heading1"/>
      </w:pPr>
      <w:r>
        <w:t>Appendix G — July 18, 2026 production alignment amendment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36566F"/>
            <w:tcMar>
              <w:top w:w="80" w:type="dxa"/>
              <w:start w:w="90" w:type="dxa"/>
              <w:bottom w:w="80" w:type="dxa"/>
              <w:end w:w="90" w:type="dxa"/>
            </w:tcMar>
          </w:tcPr>
          <w:p>
            <w:pPr/>
            <w:r>
              <w:rPr>
                <w:b/>
                <w:color w:val="FFFFFF"/>
              </w:rPr>
            </w:r>
            <w:r>
              <w:rPr>
                <w:rFonts w:ascii="Arial" w:hAnsi="Arial"/>
                <w:b/>
                <w:color w:val="FFFFFF"/>
                <w:sz w:val="17"/>
              </w:rPr>
              <w:t>CURRENT</w:t>
            </w:r>
          </w:p>
        </w:tc>
        <w:tc>
          <w:tcPr>
            <w:tcW w:type="dxa" w:w="5083"/>
            <w:vAlign w:val="center"/>
            <w:tcMar>
              <w:top w:w="80" w:type="dxa"/>
              <w:start w:w="90" w:type="dxa"/>
              <w:bottom w:w="80" w:type="dxa"/>
              <w:end w:w="90" w:type="dxa"/>
            </w:tcMar>
          </w:tcPr>
          <w:p>
            <w:pPr/>
            <w:r/>
            <w:r>
              <w:rPr>
                <w:rFonts w:ascii="Arial" w:hAnsi="Arial"/>
                <w:sz w:val="17"/>
              </w:rPr>
              <w:t>This appendix records the verified implementation foundation and the decisions required to align future work. Exact commit, pipeline, and package status remain controlled by the Roadmap and repository current-state record.</w:t>
            </w:r>
          </w:p>
        </w:tc>
      </w:tr>
    </w:tbl>
    <w:p>
      <w:pPr>
        <w:pStyle w:val="Heading2"/>
      </w:pPr>
      <w:r>
        <w:t>Verified reusable foundation</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Area</w:t>
            </w:r>
          </w:p>
        </w:tc>
        <w:tc>
          <w:tcPr>
            <w:tcW w:type="dxa" w:w="396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Verified production state</w:t>
            </w:r>
          </w:p>
        </w:tc>
        <w:tc>
          <w:tcPr>
            <w:tcW w:type="dxa" w:w="4752"/>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Constitutional interpretation</w:t>
            </w:r>
          </w:p>
        </w:tc>
      </w:tr>
      <w:tr>
        <w:tc>
          <w:tcPr>
            <w:tcW w:type="dxa" w:w="1584"/>
            <w:vAlign w:val="center"/>
            <w:tcMar>
              <w:top w:w="80" w:type="dxa"/>
              <w:start w:w="90" w:type="dxa"/>
              <w:bottom w:w="80" w:type="dxa"/>
              <w:end w:w="90" w:type="dxa"/>
            </w:tcMar>
          </w:tcPr>
          <w:p>
            <w:pPr>
              <w:spacing w:after="0" w:before="0"/>
            </w:pPr>
            <w:r>
              <w:rPr>
                <w:rFonts w:ascii="Arial" w:hAnsi="Arial"/>
                <w:sz w:val="16"/>
              </w:rPr>
            </w:r>
            <w:r>
              <w:rPr>
                <w:rFonts w:ascii="Arial" w:hAnsi="Arial"/>
                <w:sz w:val="16"/>
              </w:rPr>
              <w:t>Identity</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Real member sign-in; separate owner bootstrap; fail-closed handling of untrusted identity headers; two-owner isolation proven.</w:t>
            </w:r>
          </w:p>
        </w:tc>
        <w:tc>
          <w:tcPr>
            <w:tcW w:type="dxa" w:w="4752"/>
            <w:vAlign w:val="center"/>
            <w:tcMar>
              <w:top w:w="80" w:type="dxa"/>
              <w:start w:w="90" w:type="dxa"/>
              <w:bottom w:w="80" w:type="dxa"/>
              <w:end w:w="90" w:type="dxa"/>
            </w:tcMar>
          </w:tcPr>
          <w:p>
            <w:pPr>
              <w:spacing w:after="0" w:before="0"/>
            </w:pPr>
            <w:r>
              <w:rPr>
                <w:rFonts w:ascii="Arial" w:hAnsi="Arial"/>
                <w:sz w:val="16"/>
              </w:rPr>
            </w:r>
            <w:r>
              <w:rPr>
                <w:rFonts w:ascii="Arial" w:hAnsi="Arial"/>
                <w:sz w:val="16"/>
              </w:rPr>
              <w:t>Do not replace or bypass trusted server-derived ownership for feature work.</w:t>
            </w:r>
          </w:p>
        </w:tc>
      </w:tr>
      <w:tr>
        <w:tc>
          <w:tcPr>
            <w:tcW w:type="dxa" w:w="1584"/>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Owner workspace</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Protected Settings and Capture routes are live.</w:t>
            </w:r>
          </w:p>
        </w:tc>
        <w:tc>
          <w:tcPr>
            <w:tcW w:type="dxa" w:w="475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These are foundations of the owner workspace, not proof that the full owner shell is complete.</w:t>
            </w:r>
          </w:p>
        </w:tc>
      </w:tr>
      <w:tr>
        <w:tc>
          <w:tcPr>
            <w:tcW w:type="dxa" w:w="1584"/>
            <w:vAlign w:val="center"/>
            <w:tcMar>
              <w:top w:w="80" w:type="dxa"/>
              <w:start w:w="90" w:type="dxa"/>
              <w:bottom w:w="80" w:type="dxa"/>
              <w:end w:w="90" w:type="dxa"/>
            </w:tcMar>
          </w:tcPr>
          <w:p>
            <w:pPr>
              <w:spacing w:after="0" w:before="0"/>
            </w:pPr>
            <w:r>
              <w:rPr>
                <w:rFonts w:ascii="Arial" w:hAnsi="Arial"/>
                <w:sz w:val="16"/>
              </w:rPr>
            </w:r>
            <w:r>
              <w:rPr>
                <w:rFonts w:ascii="Arial" w:hAnsi="Arial"/>
                <w:sz w:val="16"/>
              </w:rPr>
              <w:t>Capture</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Private text composer, recent owner-only list, owner-scoped dbo.captures, stored procedures, validation, privacy-safe audit, migration, and production evidence.</w:t>
            </w:r>
          </w:p>
        </w:tc>
        <w:tc>
          <w:tcPr>
            <w:tcW w:type="dxa" w:w="4752"/>
            <w:vAlign w:val="center"/>
            <w:tcMar>
              <w:top w:w="80" w:type="dxa"/>
              <w:start w:w="90" w:type="dxa"/>
              <w:bottom w:w="80" w:type="dxa"/>
              <w:end w:w="90" w:type="dxa"/>
            </w:tcMar>
          </w:tcPr>
          <w:p>
            <w:pPr>
              <w:spacing w:after="0" w:before="0"/>
            </w:pPr>
            <w:r>
              <w:rPr>
                <w:rFonts w:ascii="Arial" w:hAnsi="Arial"/>
                <w:sz w:val="16"/>
              </w:rPr>
            </w:r>
            <w:r>
              <w:rPr>
                <w:rFonts w:ascii="Arial" w:hAnsi="Arial"/>
                <w:sz w:val="16"/>
              </w:rPr>
              <w:t>The Capture row is an original/source intake. Review and canonical Moment promotion remain separate work.</w:t>
            </w:r>
          </w:p>
        </w:tc>
      </w:tr>
      <w:tr>
        <w:tc>
          <w:tcPr>
            <w:tcW w:type="dxa" w:w="1584"/>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Design</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Deep Navy Gold shared theme is live.</w:t>
            </w:r>
          </w:p>
        </w:tc>
        <w:tc>
          <w:tcPr>
            <w:tcW w:type="dxa" w:w="475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New visual work must extend the approved tokens and shared owner CSS rather than revive retired palette systems.</w:t>
            </w:r>
          </w:p>
        </w:tc>
      </w:tr>
      <w:tr>
        <w:tc>
          <w:tcPr>
            <w:tcW w:type="dxa" w:w="1584"/>
            <w:vAlign w:val="center"/>
            <w:tcMar>
              <w:top w:w="80" w:type="dxa"/>
              <w:start w:w="90" w:type="dxa"/>
              <w:bottom w:w="80" w:type="dxa"/>
              <w:end w:w="90" w:type="dxa"/>
            </w:tcMar>
          </w:tcPr>
          <w:p>
            <w:pPr>
              <w:spacing w:after="0" w:before="0"/>
            </w:pPr>
            <w:r>
              <w:rPr>
                <w:rFonts w:ascii="Arial" w:hAnsi="Arial"/>
                <w:sz w:val="16"/>
              </w:rPr>
            </w:r>
            <w:r>
              <w:rPr>
                <w:rFonts w:ascii="Arial" w:hAnsi="Arial"/>
                <w:sz w:val="16"/>
              </w:rPr>
              <w:t>Delivery</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Azure DevOps main, green pipeline, synchronized GitHub mirror, controlled migrations and release evidence.</w:t>
            </w:r>
          </w:p>
        </w:tc>
        <w:tc>
          <w:tcPr>
            <w:tcW w:type="dxa" w:w="4752"/>
            <w:vAlign w:val="center"/>
            <w:tcMar>
              <w:top w:w="80" w:type="dxa"/>
              <w:start w:w="90" w:type="dxa"/>
              <w:bottom w:w="80" w:type="dxa"/>
              <w:end w:w="90" w:type="dxa"/>
            </w:tcMar>
          </w:tcPr>
          <w:p>
            <w:pPr>
              <w:spacing w:after="0" w:before="0"/>
            </w:pPr>
            <w:r>
              <w:rPr>
                <w:rFonts w:ascii="Arial" w:hAnsi="Arial"/>
                <w:sz w:val="16"/>
              </w:rPr>
            </w:r>
            <w:r>
              <w:rPr>
                <w:rFonts w:ascii="Arial" w:hAnsi="Arial"/>
                <w:sz w:val="16"/>
              </w:rPr>
              <w:t>Repository evidence may advance package status; document age or visual polish may not.</w:t>
            </w:r>
          </w:p>
        </w:tc>
      </w:tr>
      <w:tr>
        <w:tc>
          <w:tcPr>
            <w:tcW w:type="dxa" w:w="1584"/>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Journal</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Explicitly on hold.</w:t>
            </w:r>
          </w:p>
        </w:tc>
        <w:tc>
          <w:tcPr>
            <w:tcW w:type="dxa" w:w="475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Do not start Journal UI until owner authorization. Do not block source lifecycle, canonical Moment, projection, résumé, or Studio work that is architecturally independent.</w:t>
            </w:r>
          </w:p>
        </w:tc>
      </w:tr>
    </w:tbl>
    <w:p>
      <w:pPr>
        <w:pStyle w:val="Heading2"/>
      </w:pPr>
      <w:r>
        <w:t>Alignment corrections</w:t>
      </w:r>
    </w:p>
    <w:p>
      <w:pPr>
        <w:pStyle w:val="ListBullet"/>
      </w:pPr>
      <w:r>
        <w:t>PS-CAPTURE-001 is preserved as the completed historical private text-intake slice. It must not be retroactively declared incomplete because the new Roadmap describes a broader universal Capture capability.</w:t>
      </w:r>
    </w:p>
    <w:p>
      <w:pPr>
        <w:pStyle w:val="ListBullet"/>
      </w:pPr>
      <w:r>
        <w:t>The broader safe path is split into PS-CAPTURE-002 lifecycle controls, PS-MOMENT-001 review and canonical promotion, and PS-PLACEMENT-001 create-once/place-many references.</w:t>
      </w:r>
    </w:p>
    <w:p>
      <w:pPr>
        <w:pStyle w:val="ListBullet"/>
      </w:pPr>
      <w:r>
        <w:t>Correction must preserve original input and provenance. A corrected display or canonical interpretation may supersede a prior proposal without silently rewriting what the member originally entered.</w:t>
      </w:r>
    </w:p>
    <w:p>
      <w:pPr>
        <w:pStyle w:val="ListBullet"/>
      </w:pPr>
      <w:r>
        <w:t>Résumé compression and Interview Studio gating are authorized as focused public-surface refinements while the backend convergence work continues. Neither package may create a second source of truth.</w:t>
      </w:r>
    </w:p>
    <w:p>
      <w:pPr>
        <w:pStyle w:val="ListBullet"/>
      </w:pPr>
      <w:r>
        <w:t>Journal remains a deliberate hold, not an accidental blocker and not an implied cancellation.</w:t>
      </w:r>
    </w:p>
    <w:p>
      <w:pPr>
        <w:pStyle w:val="Heading2"/>
      </w:pPr>
      <w:r>
        <w:t>Repository authority rule</w:t>
      </w:r>
    </w:p>
    <w:p>
      <w:pPr>
        <w:pStyle w:val="ListBullet"/>
      </w:pPr>
      <w:r>
        <w:t>Azure DevOps origin/main is authoritative; GitHub is a synchronized mirror.</w:t>
      </w:r>
    </w:p>
    <w:p>
      <w:pPr>
        <w:pStyle w:val="ListBullet"/>
      </w:pPr>
      <w:r>
        <w:t>A root START_HERE.md points to the current Bible, Roadmap, current-state baseline, active initiatives, AI workflow, decision register, and evidence index.</w:t>
      </w:r>
    </w:p>
    <w:p>
      <w:pPr>
        <w:pStyle w:val="ListBullet"/>
      </w:pPr>
      <w:r>
        <w:t>CLAUDE.md and AGENTS.md are short pointer files. They must not carry competing roadmap or Bible copies.</w:t>
      </w:r>
    </w:p>
    <w:p>
      <w:pPr>
        <w:pStyle w:val="ListBullet"/>
      </w:pPr>
      <w:r>
        <w:t>Every agent begins by synchronizing main from origin, reading the pointer chain, and branching from the current authoritative commit.</w:t>
      </w:r>
    </w:p>
    <w:p>
      <w:pPr>
        <w:pStyle w:val="ListBullet"/>
      </w:pPr>
      <w:r>
        <w:t>Every production-changing merge updates or explicitly affirms CURRENT_STATE.md, ACTIVE_INITIATIVES.md, roadmap status, decision records, and evidence links.</w:t>
      </w:r>
    </w:p>
    <w:p>
      <w:r>
        <w:br w:type="page"/>
      </w:r>
    </w:p>
    <w:p>
      <w:pPr>
        <w:pStyle w:val="Heading1"/>
      </w:pPr>
      <w:r>
        <w:t>Appendix H — Approved owner dark-theme visual baseline</w:t>
      </w:r>
    </w:p>
    <w:p>
      <w:pPr/>
      <w:r>
        <w:t>The following five boards are the approved controlling visual reference for the signed-in owner experience. They define intended composition, hierarchy, tone, quality, and relationship between desktop and mobile. They do not authorize illustrative sample facts as production data. The original image files shall be stored in the authoritative repository under a versioned design-reference path and cited from initiative packages.</w:t>
      </w:r>
    </w:p>
    <w:p>
      <w:pPr>
        <w:pStyle w:val="Heading2"/>
      </w:pPr>
      <w:r>
        <w:t>Figure H-1. Owner Home</w:t>
      </w:r>
    </w:p>
    <w:p>
      <w:pPr>
        <w:jc w:val="center"/>
      </w:pPr>
      <w:r>
        <w:drawing>
          <wp:inline xmlns:a="http://schemas.openxmlformats.org/drawingml/2006/main" xmlns:pic="http://schemas.openxmlformats.org/drawingml/2006/picture">
            <wp:extent cx="6355080" cy="3576633"/>
            <wp:docPr id="5" name="Picture 5" title="PeerSlate Owner Home approved visual baseline" descr="Approved owner Home baseline: calm finite workspace, dark Deep Navy Gold shell, ivory content stage, visible Owner View, and persistent Capture access."/>
            <wp:cNvGraphicFramePr>
              <a:graphicFrameLocks noChangeAspect="1"/>
            </wp:cNvGraphicFramePr>
            <a:graphic>
              <a:graphicData uri="http://schemas.openxmlformats.org/drawingml/2006/picture">
                <pic:pic>
                  <pic:nvPicPr>
                    <pic:cNvPr id="0" name="owner_home_interface_mockup.png"/>
                    <pic:cNvPicPr/>
                  </pic:nvPicPr>
                  <pic:blipFill>
                    <a:blip r:embed="rId18"/>
                    <a:stretch>
                      <a:fillRect/>
                    </a:stretch>
                  </pic:blipFill>
                  <pic:spPr>
                    <a:xfrm>
                      <a:off x="0" y="0"/>
                      <a:ext cx="6355080" cy="3576633"/>
                    </a:xfrm>
                    <a:prstGeom prst="rect"/>
                  </pic:spPr>
                </pic:pic>
              </a:graphicData>
            </a:graphic>
          </wp:inline>
        </w:drawing>
      </w:r>
    </w:p>
    <w:p>
      <w:pPr>
        <w:pStyle w:val="SmallNote"/>
        <w:jc w:val="center"/>
      </w:pPr>
      <w:r>
        <w:t>Approved owner Home baseline: calm finite workspace, dark Deep Navy Gold shell, ivory content stage, visible Owner View, and persistent Capture access.</w:t>
      </w:r>
    </w:p>
    <w:p>
      <w:r>
        <w:br w:type="page"/>
      </w:r>
    </w:p>
    <w:p>
      <w:pPr>
        <w:pStyle w:val="Heading2"/>
      </w:pPr>
      <w:r>
        <w:t>Figure H-2. Capture a Moment</w:t>
      </w:r>
    </w:p>
    <w:p>
      <w:pPr>
        <w:jc w:val="center"/>
      </w:pPr>
      <w:r>
        <w:drawing>
          <wp:inline xmlns:a="http://schemas.openxmlformats.org/drawingml/2006/main" xmlns:pic="http://schemas.openxmlformats.org/drawingml/2006/picture">
            <wp:extent cx="6355080" cy="3576633"/>
            <wp:docPr id="6" name="Picture 6" title="PeerSlate Capture a Moment approved visual baseline" descr="Approved Capture baseline: voice or text enters one path, review precedes canonical promotion, privacy is visible, and Use This Moment follows capture."/>
            <wp:cNvGraphicFramePr>
              <a:graphicFrameLocks noChangeAspect="1"/>
            </wp:cNvGraphicFramePr>
            <a:graphic>
              <a:graphicData uri="http://schemas.openxmlformats.org/drawingml/2006/picture">
                <pic:pic>
                  <pic:nvPicPr>
                    <pic:cNvPr id="0" name="capturing_moments_with_peerslate.png"/>
                    <pic:cNvPicPr/>
                  </pic:nvPicPr>
                  <pic:blipFill>
                    <a:blip r:embed="rId19"/>
                    <a:stretch>
                      <a:fillRect/>
                    </a:stretch>
                  </pic:blipFill>
                  <pic:spPr>
                    <a:xfrm>
                      <a:off x="0" y="0"/>
                      <a:ext cx="6355080" cy="3576633"/>
                    </a:xfrm>
                    <a:prstGeom prst="rect"/>
                  </pic:spPr>
                </pic:pic>
              </a:graphicData>
            </a:graphic>
          </wp:inline>
        </w:drawing>
      </w:r>
    </w:p>
    <w:p>
      <w:pPr>
        <w:pStyle w:val="SmallNote"/>
        <w:jc w:val="center"/>
      </w:pPr>
      <w:r>
        <w:t>Approved Capture baseline: voice or text enters one path, review precedes canonical promotion, privacy is visible, and Use This Moment follows capture.</w:t>
      </w:r>
    </w:p>
    <w:p>
      <w:r>
        <w:br w:type="page"/>
      </w:r>
    </w:p>
    <w:p>
      <w:pPr>
        <w:pStyle w:val="Heading2"/>
      </w:pPr>
      <w:r>
        <w:t>Figure H-3. Journal and My Slate</w:t>
      </w:r>
    </w:p>
    <w:p>
      <w:pPr>
        <w:jc w:val="center"/>
      </w:pPr>
      <w:r>
        <w:drawing>
          <wp:inline xmlns:a="http://schemas.openxmlformats.org/drawingml/2006/main" xmlns:pic="http://schemas.openxmlformats.org/drawingml/2006/picture">
            <wp:extent cx="6355080" cy="3576633"/>
            <wp:docPr id="7" name="Picture 7" title="PeerSlate Journal and My Slate approved visual baseline" descr="Approved Journal/My Slate baseline: private profile hub, explicit projection state, connected media and timeline, and one-person/many-views behavior."/>
            <wp:cNvGraphicFramePr>
              <a:graphicFrameLocks noChangeAspect="1"/>
            </wp:cNvGraphicFramePr>
            <a:graphic>
              <a:graphicData uri="http://schemas.openxmlformats.org/drawingml/2006/picture">
                <pic:pic>
                  <pic:nvPicPr>
                    <pic:cNvPr id="0" name="dark_ui_concept_with_gold_accents.png"/>
                    <pic:cNvPicPr/>
                  </pic:nvPicPr>
                  <pic:blipFill>
                    <a:blip r:embed="rId20"/>
                    <a:stretch>
                      <a:fillRect/>
                    </a:stretch>
                  </pic:blipFill>
                  <pic:spPr>
                    <a:xfrm>
                      <a:off x="0" y="0"/>
                      <a:ext cx="6355080" cy="3576633"/>
                    </a:xfrm>
                    <a:prstGeom prst="rect"/>
                  </pic:spPr>
                </pic:pic>
              </a:graphicData>
            </a:graphic>
          </wp:inline>
        </w:drawing>
      </w:r>
    </w:p>
    <w:p>
      <w:pPr>
        <w:pStyle w:val="SmallNote"/>
        <w:jc w:val="center"/>
      </w:pPr>
      <w:r>
        <w:t>Approved Journal/My Slate baseline: private profile hub, explicit projection state, connected media and timeline, and one-person/many-views behavior.</w:t>
      </w:r>
    </w:p>
    <w:p>
      <w:r>
        <w:br w:type="page"/>
      </w:r>
    </w:p>
    <w:p>
      <w:pPr>
        <w:pStyle w:val="Heading2"/>
      </w:pPr>
      <w:r>
        <w:t>Figure H-4. Story and Living Resume</w:t>
      </w:r>
    </w:p>
    <w:p>
      <w:pPr>
        <w:jc w:val="center"/>
      </w:pPr>
      <w:r>
        <w:drawing>
          <wp:inline xmlns:a="http://schemas.openxmlformats.org/drawingml/2006/main" xmlns:pic="http://schemas.openxmlformats.org/drawingml/2006/picture">
            <wp:extent cx="6355080" cy="3576633"/>
            <wp:docPr id="8" name="Picture 8" title="PeerSlate Story and Living Resume approved visual baseline" descr="Approved connected-view baseline: cinematic Story and disciplined Living Resume remain distinct projections of one confirmed Slate."/>
            <wp:cNvGraphicFramePr>
              <a:graphicFrameLocks noChangeAspect="1"/>
            </wp:cNvGraphicFramePr>
            <a:graphic>
              <a:graphicData uri="http://schemas.openxmlformats.org/drawingml/2006/picture">
                <pic:pic>
                  <pic:nvPicPr>
                    <pic:cNvPr id="0" name="polished_ui_ux_storyboard_mockup.png"/>
                    <pic:cNvPicPr/>
                  </pic:nvPicPr>
                  <pic:blipFill>
                    <a:blip r:embed="rId21"/>
                    <a:stretch>
                      <a:fillRect/>
                    </a:stretch>
                  </pic:blipFill>
                  <pic:spPr>
                    <a:xfrm>
                      <a:off x="0" y="0"/>
                      <a:ext cx="6355080" cy="3576633"/>
                    </a:xfrm>
                    <a:prstGeom prst="rect"/>
                  </pic:spPr>
                </pic:pic>
              </a:graphicData>
            </a:graphic>
          </wp:inline>
        </w:drawing>
      </w:r>
    </w:p>
    <w:p>
      <w:pPr>
        <w:pStyle w:val="SmallNote"/>
        <w:jc w:val="center"/>
      </w:pPr>
      <w:r>
        <w:t>Approved connected-view baseline: cinematic Story and disciplined Living Resume remain distinct projections of one confirmed Slate.</w:t>
      </w:r>
    </w:p>
    <w:p>
      <w:r>
        <w:br w:type="page"/>
      </w:r>
    </w:p>
    <w:p>
      <w:pPr>
        <w:pStyle w:val="Heading2"/>
      </w:pPr>
      <w:r>
        <w:t>Figure H-5. Interview Studio and Moment Lab</w:t>
      </w:r>
    </w:p>
    <w:p>
      <w:pPr>
        <w:jc w:val="center"/>
      </w:pPr>
      <w:r>
        <w:drawing>
          <wp:inline xmlns:a="http://schemas.openxmlformats.org/drawingml/2006/main" xmlns:pic="http://schemas.openxmlformats.org/drawingml/2006/picture">
            <wp:extent cx="6355080" cy="3576633"/>
            <wp:docPr id="9" name="Picture 9" title="PeerSlate Interview Studio and Moment Lab approved visual baseline" descr="Approved authenticated Studio baseline: structured professional-practice workspace, real-history mode, source-linked context, progressive coaching, and mobile continuity."/>
            <wp:cNvGraphicFramePr>
              <a:graphicFrameLocks noChangeAspect="1"/>
            </wp:cNvGraphicFramePr>
            <a:graphic>
              <a:graphicData uri="http://schemas.openxmlformats.org/drawingml/2006/picture">
                <pic:pic>
                  <pic:nvPicPr>
                    <pic:cNvPr id="0" name="sleek_dark_ui_for_interview_practice.png"/>
                    <pic:cNvPicPr/>
                  </pic:nvPicPr>
                  <pic:blipFill>
                    <a:blip r:embed="rId22"/>
                    <a:stretch>
                      <a:fillRect/>
                    </a:stretch>
                  </pic:blipFill>
                  <pic:spPr>
                    <a:xfrm>
                      <a:off x="0" y="0"/>
                      <a:ext cx="6355080" cy="3576633"/>
                    </a:xfrm>
                    <a:prstGeom prst="rect"/>
                  </pic:spPr>
                </pic:pic>
              </a:graphicData>
            </a:graphic>
          </wp:inline>
        </w:drawing>
      </w:r>
    </w:p>
    <w:p>
      <w:pPr>
        <w:pStyle w:val="SmallNote"/>
        <w:jc w:val="center"/>
      </w:pPr>
      <w:r>
        <w:t>Approved authenticated Studio baseline: structured professional-practice workspace, real-history mode, source-linked context, progressive coaching, and mobile continuity.</w:t>
      </w:r>
    </w:p>
    <w:p>
      <w:r>
        <w:br w:type="page"/>
      </w:r>
    </w:p>
    <w:p>
      <w:pPr>
        <w:pStyle w:val="Heading1"/>
      </w:pPr>
      <w:r>
        <w:t>Appendix I — Mandatory agent startup and owner-understanding standard</w:t>
      </w:r>
    </w:p>
    <w:p>
      <w:r>
        <w:t>PeerSlate shall be operated so the owner never has to reconstruct the project from scattered technical handoffs. The repository must tell every human and AI worker where to begin, what is current, what work is authorized, what was proven, and what comes next. Technical rigor and owner comprehension are both completion requirements.</w:t>
      </w:r>
    </w:p>
    <w:p>
      <w:pPr>
        <w:pStyle w:val="Heading2"/>
      </w:pPr>
      <w:r>
        <w:t>Universal startup is mandatory, not optional</w:t>
      </w:r>
    </w:p>
    <w:p>
      <w:pPr>
        <w:pStyle w:val="ListBullet"/>
      </w:pPr>
      <w:r>
        <w:t>Every coding agent, Cowork session, Claude Code session, Codex task, reviewer, contractor, and human developer shall begin at the repository root START_HERE.md before reading or changing implementation files.</w:t>
      </w:r>
    </w:p>
    <w:p>
      <w:pPr>
        <w:pStyle w:val="ListBullet"/>
      </w:pPr>
      <w:r>
        <w:t>Every work session shall synchronize from authoritative Azure DevOps origin/main, verify a clean current base, read the current baseline and active-initiative records, open the current Bible and Roadmap through repository pointers, and read the assigned initiative package before writing.</w:t>
      </w:r>
    </w:p>
    <w:p>
      <w:pPr>
        <w:pStyle w:val="ListBullet"/>
      </w:pPr>
      <w:r>
        <w:t>AGENTS.md and CLAUDE.md shall contain short mandatory pointers to START_HERE.md rather than duplicated or competing project instructions.</w:t>
      </w:r>
    </w:p>
    <w:p>
      <w:pPr>
        <w:pStyle w:val="ListBullet"/>
      </w:pPr>
      <w:r>
        <w:t>Guardrail tests shall fail when the Bible/Roadmap pointer is stale, START_HERE.md is missing, a material initiative lacks an initiative package, or the production/current-state record is not updated as required.</w:t>
      </w:r>
    </w:p>
    <w:p>
      <w:pPr>
        <w:pStyle w:val="ListBullet"/>
      </w:pPr>
      <w:r>
        <w:t>A worker shall stop rather than guess when repository authority, package ownership, migration ownership, identity boundaries, active branch, or current document version is unclear.</w:t>
      </w:r>
    </w:p>
    <w:p>
      <w:pPr>
        <w:pStyle w:val="ListBullet"/>
      </w:pPr>
      <w:r>
        <w:t>A downloaded Bible, a prior chat, a copied folder, or an agent memory is not operational authority. The merged repository pointer chain is authority.</w:t>
      </w:r>
    </w:p>
    <w:p>
      <w:pPr>
        <w:pStyle w:val="Heading2"/>
      </w:pPr>
      <w:r>
        <w:t>Dual-layer completion and handoff report</w:t>
      </w:r>
    </w:p>
    <w:p>
      <w:r>
        <w:t>Every material work package, release, investigation, or handoff shall include both the complete technical record and a separate plain-language owner translation. Neither layer replaces the other.</w:t>
      </w:r>
    </w:p>
    <w:p>
      <w:pPr>
        <w:pStyle w:val="ListNumber"/>
      </w:pPr>
      <w:r>
        <w:t>Status: Complete, In Progress, Blocked, Not Assessed, or On Hold, with the exact package and production state.</w:t>
      </w:r>
    </w:p>
    <w:p>
      <w:pPr>
        <w:pStyle w:val="ListNumber"/>
      </w:pPr>
      <w:r>
        <w:t>What changed technically: code, architecture, routes, data, migrations, permissions, infrastructure, tests, deployment, and evidence with sufficient detail for the next technical worker.</w:t>
      </w:r>
    </w:p>
    <w:p>
      <w:pPr>
        <w:pStyle w:val="ListNumber"/>
      </w:pPr>
      <w:r>
        <w:t>What this means in plain English: a jargon-light explanation written for a first-time product owner. Any unavoidable technical term is defined when first used.</w:t>
      </w:r>
    </w:p>
    <w:p>
      <w:pPr>
        <w:pStyle w:val="ListNumber"/>
      </w:pPr>
      <w:r>
        <w:t>What the website or member can do now: the concrete functional behavior that exists after the work, including what remains simulated, unavailable, protected, or unchanged.</w:t>
      </w:r>
    </w:p>
    <w:p>
      <w:pPr>
        <w:pStyle w:val="ListNumber"/>
      </w:pPr>
      <w:r>
        <w:t>How it connects: the relationship to the Bible, Roadmap phase, canonical Capture-to-Moment model, owner/public boundary, current design baseline, and any dependent or downstream experiences.</w:t>
      </w:r>
    </w:p>
    <w:p>
      <w:pPr>
        <w:pStyle w:val="ListNumber"/>
      </w:pPr>
      <w:r>
        <w:t>What was verified and validated: tests, production checks, member validation, limitations of the evidence, and an honest distinction between a polished screen and a proven working capability.</w:t>
      </w:r>
    </w:p>
    <w:p>
      <w:pPr>
        <w:pStyle w:val="ListNumber"/>
      </w:pPr>
      <w:r>
        <w:t>What is not included: deferred behavior, known gaps, risks, temporary implementations, and anything that must not be inferred from the completed slice.</w:t>
      </w:r>
    </w:p>
    <w:p>
      <w:pPr>
        <w:pStyle w:val="ListNumber"/>
      </w:pPr>
      <w:r>
        <w:t>The next recommended step: one clear next action, why it is next, what it unlocks, and what could safely proceed in parallel.</w:t>
      </w:r>
    </w:p>
    <w:p>
      <w:pPr>
        <w:pStyle w:val="ListNumber"/>
      </w:pPr>
      <w:r>
        <w:t>What the owner must decide or do: only the decisions, approvals, credentials, or real-member validation that cannot be completed by the delivery lane.</w:t>
      </w:r>
    </w:p>
    <w:p>
      <w:pPr>
        <w:pStyle w:val="Heading2"/>
      </w:pPr>
      <w:r>
        <w:t>Owner-comprehension rules</w:t>
      </w:r>
    </w:p>
    <w:p>
      <w:pPr>
        <w:pStyle w:val="ListBullet"/>
      </w:pPr>
      <w:r>
        <w:t>Do not report only commits, pull requests, stored procedures, cloud resources, or test counts. Translate them into product behavior and architectural consequence.</w:t>
      </w:r>
    </w:p>
    <w:p>
      <w:pPr>
        <w:pStyle w:val="ListBullet"/>
      </w:pPr>
      <w:r>
        <w:t>Do not use completion language when the owner-facing behavior, authorization boundary, validation, production deployment, or required evidence is incomplete.</w:t>
      </w:r>
    </w:p>
    <w:p>
      <w:pPr>
        <w:pStyle w:val="ListBullet"/>
      </w:pPr>
      <w:r>
        <w:t>Do not hide uncertainty behind confident technical language. State what is known, inferred, unverified, and blocked.</w:t>
      </w:r>
    </w:p>
    <w:p>
      <w:pPr>
        <w:pStyle w:val="ListBullet"/>
      </w:pPr>
      <w:r>
        <w:t>Always identify the present location on the Roadmap and the next decision gate so the owner can see the path forward.</w:t>
      </w:r>
    </w:p>
    <w:p>
      <w:pPr>
        <w:pStyle w:val="ListBullet"/>
      </w:pPr>
      <w:r>
        <w:t>Use diagrams, simple flows, examples, screenshots, or before/after explanations when words alone would leave the owner uncertain.</w:t>
      </w:r>
    </w:p>
    <w:p>
      <w:pPr>
        <w:pStyle w:val="ListBullet"/>
      </w:pPr>
      <w:r>
        <w:t>The owner report shall be understandable without requiring the owner to read source code, SQL, pipeline logs, or the complete initiative package.</w:t>
      </w:r>
    </w:p>
    <w:p>
      <w:pPr>
        <w:pStyle w:val="Heading2"/>
      </w:pPr>
      <w:r>
        <w:t>Additional constitutional requirements</w:t>
      </w:r>
    </w:p>
    <w:p>
      <w:pPr>
        <w:pStyle w:val="Requirement"/>
      </w:pPr>
      <w:r>
        <w:t>PS-CORE-GOV-010  Every PeerSlate work session shall execute the repository-defined mandatory startup procedure before any write, deployment, migration, or product decision.</w:t>
      </w:r>
    </w:p>
    <w:p>
      <w:pPr>
        <w:pStyle w:val="Requirement"/>
      </w:pPr>
      <w:r>
        <w:t>PS-CORE-GOV-011  Repository guardrails shall detect stale or missing authority pointers and shall prevent undocumented material work from being represented as aligned.</w:t>
      </w:r>
    </w:p>
    <w:p>
      <w:pPr>
        <w:pStyle w:val="Requirement"/>
      </w:pPr>
      <w:r>
        <w:t>PS-CORE-GOV-012  Every material technical completion or handoff shall include a separate plain-language owner translation describing functionality, architectural connection, evidence, limitations, and the next recommended step.</w:t>
      </w:r>
    </w:p>
    <w:p>
      <w:pPr>
        <w:pStyle w:val="Requirement"/>
      </w:pPr>
      <w:r>
        <w:t>PS-CORE-GOV-013  A work package shall not be considered fully complete until both its technical evidence and its owner-comprehension report are present in the authoritative repository.</w:t>
      </w:r>
    </w:p>
    <w:p>
      <w:pPr>
        <w:pStyle w:val="Requirement"/>
      </w:pPr>
      <w:r>
        <w:t>PS-CORE-GOV-014  Every status report shall identify one current roadmap position and one clear next action, including what may safely proceed in parallel and what remains gated.</w:t>
      </w:r>
    </w:p>
    <w:p>
      <w:pPr>
        <w:pStyle w:val="Heading2"/>
      </w:pPr>
      <w:r>
        <w:t>One-time activation requirement</w:t>
      </w:r>
    </w:p>
    <w:p>
      <w:r>
        <w:t>These startup and owner-understanding rules are active through the merged START_HERE pointer chain, templates, and governance guardrails. Visual-integrity enforcement is active when v2.4 and the Owner Visual Integrity Standard are named in CURRENT_BASELINE.yaml. The owner should not have to restate either procedure to a new agent or computer.</w:t>
      </w:r>
    </w:p>
    <w:p>
      <w:pPr>
        <w:pStyle w:val="Heading1"/>
        <w:pageBreakBefore/>
      </w:pPr>
      <w:r>
        <w:t>Appendix J - Visual integrity and professional finish covenant</w:t>
      </w:r>
    </w:p>
    <w:p>
      <w:pPr/>
      <w:r>
        <w:t>PeerSlate visual quality is part of product integrity, not decorative cleanup.</w:t>
      </w:r>
    </w:p>
    <w:p>
      <w:pPr>
        <w:pStyle w:val="Heading2"/>
      </w:pPr>
      <w:r>
        <w:t>Constitutional acceptance rule</w:t>
      </w:r>
    </w:p>
    <w:p>
      <w:pPr>
        <w:pStyle w:val="ListBullet"/>
      </w:pPr>
      <w:r>
        <w:t>Every initiative names one durable visual authority or explicitly states that visual authority is not applicable.</w:t>
      </w:r>
    </w:p>
    <w:p>
      <w:pPr>
        <w:pStyle w:val="ListBullet"/>
      </w:pPr>
      <w:r>
        <w:t>Implementation evidence compares the real experience with the named authority across required responsive, accessible, and failure states.</w:t>
      </w:r>
    </w:p>
    <w:p>
      <w:pPr>
        <w:pStyle w:val="Heading2"/>
      </w:pPr>
      <w:r>
        <w:t>Current operational control</w:t>
      </w:r>
    </w:p>
    <w:p>
      <w:pPr/>
      <w:r>
        <w:t>The detailed gate and current package bindings are maintained in docs/governance/OWNER_VISUAL_INTEGRITY_STANDARD.md.</w:t>
      </w:r>
    </w:p>
    <w:sectPr w:rsidR="00FC693F" w:rsidRPr="0006063C" w:rsidSect="00034616">
      <w:headerReference w:type="default" r:id="rId9"/>
      <w:footerReference w:type="default" r:id="rId10"/>
      <w:footerReference w:type="first" r:id="rId11"/>
      <w:headerReference w:type="first" r:id="rId16"/>
      <w:headerReference w:type="even" r:id="rId17"/>
      <w:pgSz w:w="12240" w:h="15840"/>
      <w:pgMar w:top="979" w:right="1037" w:bottom="922" w:left="1037" w:header="389" w:footer="37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36566F"/>
        <w:sz w:val="14"/>
      </w:rPr>
      <w:t xml:space="preserve">PEERSLATE • CURRENT BIBLE • JULY 18, 2026   |   </w:t>
    </w:r>
    <w:r>
      <w:fldChar w:fldCharType="begin"/>
    </w:r>
    <w:r>
      <w:instrText xml:space="preserve"> PAGE </w:instrText>
    </w:r>
    <w:r>
      <w:fldChar w:fldCharType="separate"/>
    </w:r>
    <w:r>
      <w:rPr>
        <w:rFonts w:ascii="Arial" w:hAnsi="Arial" w:eastAsia="Arial"/>
        <w:color w:val="36566F"/>
        <w:sz w:val="1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color w:val="36566F"/>
        <w:sz w:val="15"/>
      </w:rPr>
      <w:t>CURRENT AUTHORITY — VISUAL INTEGRITY AND PRODUCT TRUTH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PeerSlate Company and Product Bible  |  Version 2.4 current visual-integrity authority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60"/>
      <w:outlineLvl w:val="0"/>
    </w:pPr>
    <w:rPr>
      <w:rFonts w:asciiTheme="majorHAnsi" w:eastAsiaTheme="majorEastAsia" w:hAnsiTheme="majorHAnsi" w:cstheme="majorBidi" w:ascii="Arial" w:hAnsi="Arial" w:eastAsia="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eastAsia="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hAnsi="Arial" w:eastAsia="Arial"/>
      <w:color w:val="36566F"/>
      <w:sz w:val="16"/>
    </w:rPr>
  </w:style>
  <w:style w:type="paragraph" w:customStyle="1" w:styleId="Requirement">
    <w:name w:val="Requirement"/>
    <w:pPr>
      <w:spacing w:after="80"/>
      <w:ind w:left="216" w:hanging="216"/>
    </w:pPr>
    <w:rPr>
      <w:rFonts w:ascii="Arial" w:hAnsi="Arial" w:eastAsia="Arial"/>
      <w:color w:val="111827"/>
      <w:sz w:val="18"/>
    </w:rPr>
  </w:style>
  <w:style w:type="character" w:customStyle="1" w:styleId="CodeID">
    <w:name w:val="Code ID"/>
    <w:rPr>
      <w:rFonts w:ascii="Arial" w:hAnsi="Arial" w:eastAsia="Arial"/>
      <w:b/>
      <w:color w:val="2F6E9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and Product Bible v2.4</dc:title>
  <dc:subject>Current product constitution including visual integrity and demonstration parity</dc:subject>
  <dc:creator>PeerSlate</dc:creator>
  <cp:keywords/>
  <dc:description>v2.4 adds the owner-approved visual integrity, demonstration parity, professional finish, and owner/manager visual acceptance requirements.</dc:description>
  <cp:lastModifiedBy/>
  <cp:revision>24</cp:revision>
  <dcterms:created xsi:type="dcterms:W3CDTF">2013-12-23T23:15:00Z</dcterms:created>
  <dcterms:modified xsi:type="dcterms:W3CDTF">2013-12-23T23:15:00Z</dcterms:modified>
  <cp:category/>
</cp:coreProperties>
</file>