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C6A15B"/>
          <w:sz w:val="20"/>
        </w:rPr>
        <w:t>PEERSLATE</w:t>
      </w:r>
    </w:p>
    <w:p>
      <w:pPr>
        <w:pStyle w:val="Title"/>
      </w:pPr>
      <w:r>
        <w:t>PeerSlate Repository Source-of-Truth, Multi-Agent Sync, and Owner-Translation Standard</w:t>
      </w:r>
    </w:p>
    <w:p>
      <w:pPr>
        <w:pStyle w:val="Subtitle"/>
      </w:pPr>
      <w:r>
        <w:t>How every computer, program, Cowork session, Claude Code session, Codex task, and human developer stays aligned</w:t>
      </w:r>
    </w:p>
    <w:p>
      <w:pPr>
        <w:spacing w:after="160"/>
      </w:pPr>
      <w:r>
        <w:rPr>
          <w:color w:val="C6A15B"/>
          <w:sz w:val="14"/>
        </w:rPr>
        <w:t>━━━━━━━━━━━━━━━━━━━━━━━━━━━━━━━━━━━━━━━━━━━━</w:t>
      </w:r>
    </w:p>
    <w:p>
      <w:pPr>
        <w:pStyle w:val="Heading1"/>
      </w:pPr>
      <w:r>
        <w:t>Table of Contents</w:t>
      </w:r>
    </w:p>
    <w:p>
      <w:pPr>
        <w:pStyle w:val="SmallNote"/>
      </w:pPr>
      <w:r>
        <w:rPr>
          <w:rFonts w:ascii="Arial" w:hAnsi="Arial" w:eastAsia="Arial"/>
          <w:i/>
          <w:color w:val="36566F"/>
          <w:sz w:val="16"/>
        </w:rPr>
        <w:t xml:space="preserve">This table updates automatically. If page numbers do not appear, click inside it and press F9 (or right-click and choose "Update Field").</w:t>
      </w:r>
    </w:p>
    <w:p>
      <w:r>
        <w:fldChar w:fldCharType="begin" w:dirty="true"/>
      </w:r>
      <w:r>
        <w:instrText xml:space="preserve"> TOC \o "1-2" \h \z \u </w:instrText>
      </w:r>
      <w:r>
        <w:fldChar w:fldCharType="separate"/>
      </w:r>
      <w:r>
        <w:rPr>
          <w:rFonts w:ascii="Arial" w:hAnsi="Arial" w:eastAsia="Arial"/>
          <w:color w:val="36566F"/>
          <w:i/>
          <w:sz w:val="18"/>
        </w:rPr>
        <w:t xml:space="preserve">Right-click here and choose "Update Field" to generate the table of contents.</w:t>
      </w:r>
      <w:r>
        <w:fldChar w:fldCharType="end"/>
      </w:r>
    </w:p>
    <w:p>
      <w:r>
        <w:br w:type="page"/>
      </w:r>
    </w:p>
    <w:tbl>
      <w:tblPr>
        <w:tblStyle w:val="TableGrid"/>
        <w:tblW w:type="auto" w:w="0"/>
        <w:jc w:val="center"/>
        <w:tblLook w:firstColumn="1" w:firstRow="1" w:lastColumn="0" w:lastRow="0" w:noHBand="0" w:noVBand="1" w:val="04A0"/>
      </w:tblPr>
      <w:tblGrid>
        <w:gridCol w:w="5083"/>
        <w:gridCol w:w="5083"/>
      </w:tblGrid>
      <w:tr>
        <w:trPr>
          <w:cantSplit/>
        </w:trPr>
        <w:tc>
          <w:tcPr>
            <w:tcW w:type="dxa" w:w="1944"/>
            <w:vAlign w:val="center"/>
            <w:shd w:fill="F7F9FA"/>
            <w:tcMar>
              <w:top w:w="80" w:type="dxa"/>
              <w:start w:w="90" w:type="dxa"/>
              <w:bottom w:w="80" w:type="dxa"/>
              <w:end w:w="90" w:type="dxa"/>
            </w:tcMar>
          </w:tcPr>
          <w:p>
            <w:pPr>
              <w:spacing w:after="0" w:before="0"/>
            </w:pPr>
            <w:r>
              <w:rPr>
                <w:rFonts w:ascii="Arial" w:hAnsi="Arial"/>
                <w:b/>
                <w:color w:val="FFFFFF"/>
                <w:sz w:val="16"/>
              </w:rPr>
            </w:r>
            <w:r>
              <w:rPr>
                <w:rFonts w:ascii="Arial" w:hAnsi="Arial"/>
                <w:b/>
                <w:color w:val="FFFFFF"/>
                <w:sz w:val="16"/>
              </w:rPr>
              <w:t>VERSION</w:t>
            </w:r>
          </w:p>
        </w:tc>
        <w:tc>
          <w:tcPr>
            <w:tcW w:type="dxa" w:w="8136"/>
            <w:vAlign w:val="center"/>
            <w:tcMar>
              <w:top w:w="80" w:type="dxa"/>
              <w:start w:w="90" w:type="dxa"/>
              <w:bottom w:w="80" w:type="dxa"/>
              <w:end w:w="90" w:type="dxa"/>
            </w:tcMar>
            <w:shd w:fill="F7F9FA"/>
          </w:tcPr>
          <w:p>
            <w:r>
              <w:t>v1.1</w:t>
            </w:r>
          </w:p>
        </w:tc>
      </w:tr>
      <w:tr>
        <w:trPr>
          <w:cantSplit/>
        </w:trPr>
        <w:tc>
          <w:tcPr>
            <w:tcW w:type="dxa" w:w="1944"/>
            <w:vAlign w:val="center"/>
            <w:shd w:fill="17324D"/>
            <w:tcMar>
              <w:top w:w="80" w:type="dxa"/>
              <w:start w:w="90" w:type="dxa"/>
              <w:bottom w:w="80" w:type="dxa"/>
              <w:end w:w="90" w:type="dxa"/>
            </w:tcMar>
          </w:tcPr>
          <w:p>
            <w:pPr>
              <w:spacing w:after="0" w:before="0"/>
            </w:pPr>
            <w:r>
              <w:rPr>
                <w:rFonts w:ascii="Arial" w:hAnsi="Arial"/>
                <w:b/>
                <w:color w:val="FFFFFF"/>
                <w:sz w:val="16"/>
              </w:rPr>
            </w:r>
            <w:r>
              <w:rPr>
                <w:rFonts w:ascii="Arial" w:hAnsi="Arial"/>
                <w:b/>
                <w:color w:val="FFFFFF"/>
                <w:sz w:val="16"/>
              </w:rPr>
              <w:t>DATE</w:t>
            </w:r>
          </w:p>
        </w:tc>
        <w:tc>
          <w:tcPr>
            <w:tcW w:type="dxa" w:w="8136"/>
            <w:vAlign w:val="center"/>
            <w:tcMar>
              <w:top w:w="80" w:type="dxa"/>
              <w:start w:w="90" w:type="dxa"/>
              <w:bottom w:w="80" w:type="dxa"/>
              <w:end w:w="90" w:type="dxa"/>
            </w:tcMar>
          </w:tcPr>
          <w:p>
            <w:pPr>
              <w:spacing w:after="0" w:before="0"/>
            </w:pPr>
            <w:r>
              <w:rPr>
                <w:rFonts w:ascii="Arial" w:hAnsi="Arial"/>
                <w:sz w:val="16"/>
              </w:rPr>
            </w:r>
            <w:r>
              <w:rPr>
                <w:rFonts w:ascii="Arial" w:hAnsi="Arial"/>
                <w:sz w:val="16"/>
              </w:rPr>
              <w:t>July 18, 2026</w:t>
            </w:r>
          </w:p>
        </w:tc>
      </w:tr>
      <w:tr>
        <w:trPr>
          <w:cantSplit/>
        </w:trPr>
        <w:tc>
          <w:tcPr>
            <w:tcW w:type="dxa" w:w="1944"/>
            <w:vAlign w:val="center"/>
            <w:shd w:fill="F7F9FA"/>
            <w:tcMar>
              <w:top w:w="80" w:type="dxa"/>
              <w:start w:w="90" w:type="dxa"/>
              <w:bottom w:w="80" w:type="dxa"/>
              <w:end w:w="90" w:type="dxa"/>
            </w:tcMar>
          </w:tcPr>
          <w:p>
            <w:pPr>
              <w:spacing w:after="0" w:before="0"/>
            </w:pPr>
            <w:r>
              <w:rPr>
                <w:rFonts w:ascii="Arial" w:hAnsi="Arial"/>
                <w:b/>
                <w:color w:val="FFFFFF"/>
                <w:sz w:val="16"/>
              </w:rPr>
            </w:r>
            <w:r>
              <w:rPr>
                <w:rFonts w:ascii="Arial" w:hAnsi="Arial"/>
                <w:b/>
                <w:color w:val="FFFFFF"/>
                <w:sz w:val="16"/>
              </w:rPr>
              <w:t>STATUS</w:t>
            </w:r>
          </w:p>
        </w:tc>
        <w:tc>
          <w:tcPr>
            <w:tcW w:type="dxa" w:w="813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PROPOSED CURRENT STANDARD</w:t>
            </w:r>
          </w:p>
        </w:tc>
      </w:tr>
      <w:tr>
        <w:trPr>
          <w:cantSplit/>
        </w:trPr>
        <w:tc>
          <w:tcPr>
            <w:tcW w:type="dxa" w:w="1944"/>
            <w:vAlign w:val="center"/>
            <w:shd w:fill="17324D"/>
            <w:tcMar>
              <w:top w:w="80" w:type="dxa"/>
              <w:start w:w="90" w:type="dxa"/>
              <w:bottom w:w="80" w:type="dxa"/>
              <w:end w:w="90" w:type="dxa"/>
            </w:tcMar>
          </w:tcPr>
          <w:p>
            <w:pPr>
              <w:spacing w:after="0" w:before="0"/>
            </w:pPr>
            <w:r>
              <w:rPr>
                <w:rFonts w:ascii="Arial" w:hAnsi="Arial"/>
                <w:b/>
                <w:color w:val="FFFFFF"/>
                <w:sz w:val="16"/>
              </w:rPr>
            </w:r>
            <w:r>
              <w:rPr>
                <w:rFonts w:ascii="Arial" w:hAnsi="Arial"/>
                <w:b/>
                <w:color w:val="FFFFFF"/>
                <w:sz w:val="16"/>
              </w:rPr>
              <w:t>SOURCE</w:t>
            </w:r>
          </w:p>
        </w:tc>
        <w:tc>
          <w:tcPr>
            <w:tcW w:type="dxa" w:w="8136"/>
            <w:vAlign w:val="center"/>
            <w:tcMar>
              <w:top w:w="80" w:type="dxa"/>
              <w:start w:w="90" w:type="dxa"/>
              <w:bottom w:w="80" w:type="dxa"/>
              <w:end w:w="90" w:type="dxa"/>
            </w:tcMar>
          </w:tcPr>
          <w:p>
            <w:pPr>
              <w:spacing w:after="0" w:before="0"/>
            </w:pPr>
            <w:r>
              <w:rPr>
                <w:rFonts w:ascii="Arial" w:hAnsi="Arial"/>
                <w:sz w:val="16"/>
              </w:rPr>
            </w:r>
            <w:r>
              <w:rPr>
                <w:rFonts w:ascii="Arial" w:hAnsi="Arial"/>
                <w:sz w:val="16"/>
              </w:rPr>
              <w:t>Production handoff + Bible governance model + Azure DevOps operating rules</w:t>
            </w:r>
          </w:p>
        </w:tc>
      </w:tr>
    </w:tbl>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5083"/>
            <w:vAlign w:val="center"/>
            <w:shd w:fill="36566F"/>
            <w:tcMar>
              <w:top w:w="80" w:type="dxa"/>
              <w:start w:w="90" w:type="dxa"/>
              <w:bottom w:w="80" w:type="dxa"/>
              <w:end w:w="90" w:type="dxa"/>
            </w:tcMar>
          </w:tcPr>
          <w:p>
            <w:pPr/>
            <w:r>
              <w:rPr>
                <w:b/>
                <w:color w:val="FFFFFF"/>
              </w:rPr>
            </w:r>
            <w:r>
              <w:rPr>
                <w:rFonts w:ascii="Arial" w:hAnsi="Arial"/>
                <w:b/>
                <w:color w:val="FFFFFF"/>
                <w:sz w:val="17"/>
              </w:rPr>
              <w:t>CORE RULE</w:t>
            </w:r>
          </w:p>
        </w:tc>
        <w:tc>
          <w:tcPr>
            <w:tcW w:type="dxa" w:w="5083"/>
            <w:vAlign w:val="center"/>
            <w:tcMar>
              <w:top w:w="80" w:type="dxa"/>
              <w:start w:w="90" w:type="dxa"/>
              <w:bottom w:w="80" w:type="dxa"/>
              <w:end w:w="90" w:type="dxa"/>
            </w:tcMar>
          </w:tcPr>
          <w:p>
            <w:pPr/>
            <w:r/>
            <w:r>
              <w:rPr>
                <w:rFonts w:ascii="Arial" w:hAnsi="Arial"/>
                <w:sz w:val="17"/>
              </w:rPr>
              <w:t>The repository—not a local document folder, chat, copied handoff, or agent memory—is the operational source of truth. Root pointer files tell every tool exactly which controlled documents and initiative package govern the next action.</w:t>
            </w:r>
          </w:p>
        </w:tc>
      </w:tr>
    </w:tbl>
    <w:p>
      <w:pPr>
        <w:pStyle w:val="Heading1"/>
      </w:pPr>
      <w:r>
        <w:t>1. Authority hierarchy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88"/>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Authority</w:t>
            </w:r>
          </w:p>
        </w:tc>
        <w:tc>
          <w:tcPr>
            <w:tcW w:type="dxa" w:w="432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Purpose</w:t>
            </w:r>
          </w:p>
        </w:tc>
        <w:tc>
          <w:tcPr>
            <w:tcW w:type="dxa" w:w="396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Rule</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Azure DevOps origin/main</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Authoritative code, configuration, documentation pointers, current status, initiative records, and evidence index.</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All branches start here; no direct commit or push to main.</w:t>
            </w:r>
          </w:p>
        </w:tc>
      </w:tr>
      <w:tr>
        <w:trPr>
          <w:cantSplit/>
        </w:trP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Azure Pipeline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Authoritative build/deploy result and production release record.</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 local test or GitHub action does not supersede the Azure release record.</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GitHub mirror</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Backup and secondary visibility.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Synchronize after approved merges; never treat a diverged mirror as authority.</w:t>
            </w:r>
          </w:p>
        </w:tc>
      </w:tr>
      <w:tr>
        <w:trPr>
          <w:cantSplit/>
        </w:trP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Bible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Durable constitution.</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Mission, principles, boundaries, connected-product model, top-level shall requirements.</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Roadmap</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Sequence and evidence-based progress.</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Current phases, package order, dependencies, gates, holds.</w:t>
            </w:r>
          </w:p>
        </w:tc>
      </w:tr>
      <w:tr>
        <w:trPr>
          <w:cantSplit/>
        </w:trP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Initiative package</w:t>
            </w:r>
          </w:p>
        </w:tc>
        <w:tc>
          <w:tcPr>
            <w:tcW w:type="dxa" w:w="432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Exact feature scope and build contract.</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Requirements, prototype, architecture, traceability, tests, V&amp;V, rollout, rollback.</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Evidence package</w:t>
            </w:r>
          </w:p>
        </w:tc>
        <w:tc>
          <w:tcPr>
            <w:tcW w:type="dxa" w:w="432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Proof.</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Test, migration, deployment, production verification, validation, known limitations.</w:t>
            </w:r>
          </w:p>
        </w:tc>
      </w:tr>
    </w:tbl>
    <w:p>
      <w:pPr>
        <w:pStyle w:val="Heading1"/>
      </w:pPr>
      <w:r>
        <w:t>2. Required repository control files</w:t>
      </w:r>
    </w:p>
    <w:p>
      <w:r>
        <w:rPr>
          <w:rFonts w:ascii="Consolas" w:hAnsi="Consolas"/>
          <w:color w:val="111827"/>
          <w:sz w:val="16"/>
        </w:rPr>
        <w:t>START_HERE.md</w:t>
        <w:br/>
        <w:t>AGENTS.md</w:t>
        <w:br/>
        <w:t>CLAUDE.md</w:t>
        <w:br/>
        <w:t>docs/AI_WORKFLOW.md</w:t>
        <w:br/>
        <w:t>docs/governance/CURRENT_BASELINE.yaml</w:t>
        <w:br/>
        <w:t>docs/governance/CURRENT_STATE.md</w:t>
        <w:br/>
        <w:t>docs/governance/ACTIVE_INITIATIVES.md</w:t>
        <w:br/>
        <w:t>docs/governance/DOCUMENT_CONTROL.md</w:t>
        <w:br/>
        <w:t>docs/governance/DECISIONS.md</w:t>
        <w:br/>
        <w:t>docs/bible/PeerSlate_Company_and_Product_Bible_v2.3_GOVERNANCE_ALIGNED_WORKING_DRAFT.docx</w:t>
        <w:br/>
        <w:t>docs/roadmap/PeerSlate_Product_Strategy_and_Architecture_Roadmap_v2.3_CLEAR_PATH_ALIGNED.docx</w:t>
        <w:br/>
        <w:t>docs/initiatives/&lt;PACKAGE-ID&gt;/</w:t>
        <w:br/>
        <w:t>docs/evidence/&lt;PACKAGE-ID&gt;/</w:t>
      </w:r>
    </w:p>
    <w:p>
      <w:pPr>
        <w:pStyle w:val="ListBullet"/>
      </w:pPr>
      <w:r>
        <w:t>START_HERE.md is the only root onboarding authority. It is short and contains links, current versions, and mandatory startup steps.</w:t>
      </w:r>
    </w:p>
    <w:p>
      <w:pPr>
        <w:pStyle w:val="ListBullet"/>
      </w:pPr>
      <w:r>
        <w:t>AGENTS.md and CLAUDE.md point to START_HERE.md and agent-specific constraints. They do not duplicate the roadmap or Bible.</w:t>
      </w:r>
    </w:p>
    <w:p>
      <w:pPr>
        <w:pStyle w:val="ListBullet"/>
      </w:pPr>
      <w:r>
        <w:t>CURRENT_BASELINE.yaml is machine-readable so scripts and agents can verify versions, paths, authority, production commit, pipeline, theme, holds, and active packages.</w:t>
      </w:r>
    </w:p>
    <w:p>
      <w:pPr>
        <w:pStyle w:val="ListBullet"/>
      </w:pPr>
      <w:r>
        <w:t>CURRENT_STATE.md is the human-readable as-built snapshot and must distinguish Complete, Partial, Hold, Planned, and Unknown.</w:t>
      </w:r>
    </w:p>
    <w:p>
      <w:pPr>
        <w:pStyle w:val="ListBullet"/>
      </w:pPr>
      <w:r>
        <w:t>ACTIVE_INITIATIVES.md states who or which lane owns each package and which files/domains are reserved.</w:t>
      </w:r>
    </w:p>
    <w:p>
      <w:pPr>
        <w:pStyle w:val="Heading1"/>
      </w:pPr>
      <w:r>
        <w:t>3. Mandatory startup procedure on every computer</w:t>
      </w:r>
    </w:p>
    <w:p>
      <w:r>
        <w:rPr>
          <w:rFonts w:ascii="Consolas" w:hAnsi="Consolas"/>
          <w:sz w:val="17"/>
        </w:rPr>
        <w:t>git fetch origin --prune</w:t>
        <w:br/>
        <w:t>git switch main</w:t>
        <w:br/>
        <w:t>git pull --ff-only origin main</w:t>
        <w:br/>
        <w:t>git status --short</w:t>
        <w:br/>
        <w:t>git switch -c work/YYYY-MM-DD-&lt;package-or-task&gt;</w:t>
      </w:r>
    </w:p>
    <w:p>
      <w:pPr>
        <w:pStyle w:val="ListBullet"/>
      </w:pPr>
      <w:r>
        <w:t>Stop if main does not fast-forward cleanly, the working tree is dirty, or origin is not Azure DevOps.</w:t>
      </w:r>
    </w:p>
    <w:p>
      <w:pPr>
        <w:pStyle w:val="ListBullet"/>
      </w:pPr>
      <w:r>
        <w:t>Read START_HERE.md, docs/AI_WORKFLOW.md, CURRENT_STATE.md, ACTIVE_INITIATIVES.md, the current Bible/Roadmap pointer, and the assigned initiative README before writing.</w:t>
      </w:r>
    </w:p>
    <w:p>
      <w:pPr>
        <w:pStyle w:val="ListBullet"/>
      </w:pPr>
      <w:r>
        <w:t>Confirm the package ID, branch owner, file/domain ownership, migration ownership, entry gate, and next evidence requirement.</w:t>
      </w:r>
    </w:p>
    <w:p>
      <w:pPr>
        <w:pStyle w:val="ListBullet"/>
      </w:pPr>
      <w:r>
        <w:t>Do not copy a repository directory between computers as a synchronization method.</w:t>
      </w:r>
    </w:p>
    <w:p>
      <w:pPr>
        <w:pStyle w:val="Heading1"/>
      </w:pPr>
      <w:r>
        <w:t>4. Mandatory closeout and handoff</w:t>
      </w:r>
    </w:p>
    <w:tbl>
      <w:tblPr>
        <w:tblStyle w:val="TableGrid"/>
        <w:tblW w:type="auto" w:w="0"/>
        <w:jc w:val="center"/>
        <w:tblLook w:firstColumn="1" w:firstRow="1" w:lastColumn="0" w:lastRow="0" w:noHBand="0" w:noVBand="1" w:val="04A0"/>
      </w:tblPr>
      <w:tblGrid>
        <w:gridCol w:w="5083"/>
        <w:gridCol w:w="5083"/>
      </w:tblGrid>
      <w:tr>
        <w:trPr>
          <w:cantSplit/>
        </w:trPr>
        <w:tc>
          <w:tcPr>
            <w:tcW w:type="dxa" w:w="2088"/>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Handoff field</w:t>
            </w:r>
          </w:p>
        </w:tc>
        <w:tc>
          <w:tcPr>
            <w:tcW w:type="dxa" w:w="828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Required content</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Authority</w:t>
            </w:r>
          </w:p>
        </w:tc>
        <w:tc>
          <w:tcPr>
            <w:tcW w:type="dxa" w:w="8280"/>
            <w:vAlign w:val="center"/>
            <w:tcMar>
              <w:top w:w="80" w:type="dxa"/>
              <w:start w:w="90" w:type="dxa"/>
              <w:bottom w:w="80" w:type="dxa"/>
              <w:end w:w="90" w:type="dxa"/>
            </w:tcMar>
          </w:tcPr>
          <w:p>
            <w:pPr>
              <w:spacing w:after="0" w:before="0"/>
            </w:pPr>
            <w:r>
              <w:rPr>
                <w:rFonts w:ascii="Arial" w:hAnsi="Arial"/>
                <w:sz w:val="16"/>
              </w:rPr>
            </w:r>
            <w:r>
              <w:rPr>
                <w:rFonts w:ascii="Arial" w:hAnsi="Arial"/>
                <w:sz w:val="16"/>
              </w:rPr>
              <w:t>origin/main commit used as the branch base; current branch and latest commit.</w:t>
            </w:r>
          </w:p>
        </w:tc>
      </w:tr>
      <w:tr>
        <w:trPr>
          <w:cantSplit/>
        </w:trP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Work state</w:t>
            </w:r>
          </w:p>
        </w:tc>
        <w:tc>
          <w:tcPr>
            <w:tcW w:type="dxa" w:w="82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What changed; what did not change; files and migrations touched.</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Quality</w:t>
            </w:r>
          </w:p>
        </w:tc>
        <w:tc>
          <w:tcPr>
            <w:tcW w:type="dxa" w:w="8280"/>
            <w:vAlign w:val="center"/>
            <w:tcMar>
              <w:top w:w="80" w:type="dxa"/>
              <w:start w:w="90" w:type="dxa"/>
              <w:bottom w:w="80" w:type="dxa"/>
              <w:end w:w="90" w:type="dxa"/>
            </w:tcMar>
          </w:tcPr>
          <w:p>
            <w:pPr>
              <w:spacing w:after="0" w:before="0"/>
            </w:pPr>
            <w:r>
              <w:rPr>
                <w:rFonts w:ascii="Arial" w:hAnsi="Arial"/>
                <w:sz w:val="16"/>
              </w:rPr>
            </w:r>
            <w:r>
              <w:rPr>
                <w:rFonts w:ascii="Arial" w:hAnsi="Arial"/>
                <w:sz w:val="16"/>
              </w:rPr>
              <w:t>Tests, guardrails, render/visual checks, security/privacy checks, migration/rollback evidence.</w:t>
            </w:r>
          </w:p>
        </w:tc>
      </w:tr>
      <w:tr>
        <w:trPr>
          <w:cantSplit/>
        </w:trP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Delivery</w:t>
            </w:r>
          </w:p>
        </w:tc>
        <w:tc>
          <w:tcPr>
            <w:tcW w:type="dxa" w:w="82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 number/status; pipeline; deployment; production smoke; mirror status.</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Documentation</w:t>
            </w:r>
          </w:p>
        </w:tc>
        <w:tc>
          <w:tcPr>
            <w:tcW w:type="dxa" w:w="8280"/>
            <w:vAlign w:val="center"/>
            <w:tcMar>
              <w:top w:w="80" w:type="dxa"/>
              <w:start w:w="90" w:type="dxa"/>
              <w:bottom w:w="80" w:type="dxa"/>
              <w:end w:w="90" w:type="dxa"/>
            </w:tcMar>
          </w:tcPr>
          <w:p>
            <w:pPr>
              <w:spacing w:after="0" w:before="0"/>
            </w:pPr>
            <w:r>
              <w:rPr>
                <w:rFonts w:ascii="Arial" w:hAnsi="Arial"/>
                <w:sz w:val="16"/>
              </w:rPr>
            </w:r>
            <w:r>
              <w:rPr>
                <w:rFonts w:ascii="Arial" w:hAnsi="Arial"/>
                <w:sz w:val="16"/>
              </w:rPr>
              <w:t>CURRENT_STATE, ACTIVE_INITIATIVES, Roadmap status, decision records, evidence index updated or explicitly affirmed.</w:t>
            </w:r>
          </w:p>
        </w:tc>
      </w:tr>
      <w:tr>
        <w:trPr>
          <w:cantSplit/>
        </w:trPr>
        <w:tc>
          <w:tcPr>
            <w:tcW w:type="dxa" w:w="208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Next gate</w:t>
            </w:r>
          </w:p>
        </w:tc>
        <w:tc>
          <w:tcPr>
            <w:tcW w:type="dxa" w:w="828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One exact next action, responsible lane, blocker, and required evidence.</w:t>
            </w:r>
          </w:p>
        </w:tc>
      </w:tr>
      <w:tr>
        <w:trPr>
          <w:cantSplit/>
        </w:trPr>
        <w:tc>
          <w:tcPr>
            <w:tcW w:type="dxa" w:w="2088"/>
            <w:vAlign w:val="center"/>
            <w:tcMar>
              <w:top w:w="80" w:type="dxa"/>
              <w:start w:w="90" w:type="dxa"/>
              <w:bottom w:w="80" w:type="dxa"/>
              <w:end w:w="90" w:type="dxa"/>
            </w:tcMar>
          </w:tcPr>
          <w:p>
            <w:pPr>
              <w:spacing w:after="0" w:before="0"/>
            </w:pPr>
            <w:r>
              <w:rPr>
                <w:rFonts w:ascii="Arial" w:hAnsi="Arial"/>
                <w:sz w:val="16"/>
              </w:rPr>
            </w:r>
            <w:r>
              <w:rPr>
                <w:rFonts w:ascii="Arial" w:hAnsi="Arial"/>
                <w:sz w:val="16"/>
              </w:rPr>
              <w:t>Secrets</w:t>
            </w:r>
          </w:p>
        </w:tc>
        <w:tc>
          <w:tcPr>
            <w:tcW w:type="dxa" w:w="8280"/>
            <w:vAlign w:val="center"/>
            <w:tcMar>
              <w:top w:w="80" w:type="dxa"/>
              <w:start w:w="90" w:type="dxa"/>
              <w:bottom w:w="80" w:type="dxa"/>
              <w:end w:w="90" w:type="dxa"/>
            </w:tcMar>
          </w:tcPr>
          <w:p>
            <w:pPr>
              <w:spacing w:after="0" w:before="0"/>
            </w:pPr>
            <w:r>
              <w:rPr>
                <w:rFonts w:ascii="Arial" w:hAnsi="Arial"/>
                <w:sz w:val="16"/>
              </w:rPr>
            </w:r>
            <w:r>
              <w:rPr>
                <w:rFonts w:ascii="Arial" w:hAnsi="Arial"/>
                <w:sz w:val="16"/>
              </w:rPr>
              <w:t>Confirmation that no secret was copied into chat, source, docs, logs, or screenshots.</w:t>
            </w:r>
          </w:p>
        </w:tc>
      </w:tr>
    </w:tbl>
    <w:p>
      <w:pPr>
        <w:pStyle w:val="Heading1"/>
      </w:pPr>
      <w:r>
        <w:t>5. PR and CI guardrails</w:t>
      </w:r>
    </w:p>
    <w:p>
      <w:pPr>
        <w:pStyle w:val="ListBullet"/>
      </w:pPr>
      <w:r>
        <w:t>Reject stale Bible/Roadmap version pointers in CLAUDE.md, AGENTS.md, START_HERE.md, or guardrail tests.</w:t>
      </w:r>
    </w:p>
    <w:p>
      <w:pPr>
        <w:pStyle w:val="ListBullet"/>
      </w:pPr>
      <w:r>
        <w:t>Reject an active package that is absent from ACTIVE_INITIATIVES.md or has no initiative README.</w:t>
      </w:r>
    </w:p>
    <w:p>
      <w:pPr>
        <w:pStyle w:val="ListBullet"/>
      </w:pPr>
      <w:r>
        <w:t>Require documentation-impact selection: none, current-state, roadmap, Bible, ADR, initiative, evidence, or multiple.</w:t>
      </w:r>
    </w:p>
    <w:p>
      <w:pPr>
        <w:pStyle w:val="ListBullet"/>
      </w:pPr>
      <w:r>
        <w:t>Require requirement IDs and evidence links for material feature, migration, authorization, privacy, or AI changes.</w:t>
      </w:r>
    </w:p>
    <w:p>
      <w:pPr>
        <w:pStyle w:val="ListBullet"/>
      </w:pPr>
      <w:r>
        <w:t>Require explicit migration owner and rollback proof when schema changes exist.</w:t>
      </w:r>
    </w:p>
    <w:p>
      <w:pPr>
        <w:pStyle w:val="ListBullet"/>
      </w:pPr>
      <w:r>
        <w:t>Require the Azure pipeline to synchronize or verify the GitHub mirror after main is updated.</w:t>
      </w:r>
    </w:p>
    <w:p>
      <w:pPr>
        <w:pStyle w:val="ListBullet"/>
      </w:pPr>
      <w:r>
        <w:t>Do not allow GitHub Actions to become an independent production-deploy path.</w:t>
      </w:r>
    </w:p>
    <w:p>
      <w:pPr>
        <w:pStyle w:val="Heading1"/>
      </w:pPr>
      <w:r>
        <w:t>6. Concurrent-work rules</w:t>
      </w:r>
    </w:p>
    <w:p>
      <w:pPr>
        <w:pStyle w:val="ListBullet"/>
      </w:pPr>
      <w:r>
        <w:t>One package has one coordination owner at a time.</w:t>
      </w:r>
    </w:p>
    <w:p>
      <w:pPr>
        <w:pStyle w:val="ListBullet"/>
      </w:pPr>
      <w:r>
        <w:t>Two agents may work concurrently only when their file/domain ownership is written in ACTIVE_INITIATIVES.md and shared files are assigned to one lane.</w:t>
      </w:r>
    </w:p>
    <w:p>
      <w:pPr>
        <w:pStyle w:val="ListBullet"/>
      </w:pPr>
      <w:r>
        <w:t>Shared CSS, identity, migration runner, database allowlist, global navigation, and documentation pointers are serialized integration zones.</w:t>
      </w:r>
    </w:p>
    <w:p>
      <w:pPr>
        <w:pStyle w:val="ListBullet"/>
      </w:pPr>
      <w:r>
        <w:t>Every database migration has a unique ID, one branch owner, reviewed forward/rollback behavior, and approved apply gate.</w:t>
      </w:r>
    </w:p>
    <w:p>
      <w:pPr>
        <w:pStyle w:val="ListBullet"/>
      </w:pPr>
      <w:r>
        <w:t>When two branches need the same foundation, merge the foundation first; do not independently reproduce it.</w:t>
      </w:r>
    </w:p>
    <w:p>
      <w:pPr>
        <w:pStyle w:val="Heading1"/>
      </w:pPr>
      <w:r>
        <w:t>7. CURRENT_BASELINE.yaml minimum schema</w:t>
      </w:r>
    </w:p>
    <w:p>
      <w:pPr>
        <w:spacing w:before="0" w:after="40" w:line="197" w:lineRule="auto"/>
      </w:pPr>
      <w:r>
        <w:rPr>
          <w:rFonts w:ascii="Consolas" w:hAnsi="Consolas"/>
          <w:sz w:val="14"/>
        </w:rPr>
        <w:t>schema_version: 1</w:t>
        <w:br/>
        <w:t>updated_at: "2026-07-18"</w:t>
        <w:br/>
        <w:t>authoritative_remote: origin</w:t>
        <w:br/>
        <w:t>authoritative_branch: main</w:t>
        <w:br/>
        <w:t>production_commit: "d5dd7bd..."</w:t>
        <w:br/>
        <w:t>production_pipeline: 78</w:t>
        <w:br/>
        <w:t>mirror_remote: github</w:t>
        <w:br/>
        <w:t>bible:</w:t>
        <w:br/>
        <w:t xml:space="preserve">  version: "2.3-governance-aligned-working-draft"</w:t>
        <w:br/>
        <w:t xml:space="preserve">  path: "docs/bible/PeerSlate_Company_and_Product_Bible_v2.3_GOVERNANCE_ALIGNED_WORKING_DRAFT.docx"</w:t>
        <w:br/>
        <w:t>roadmap:</w:t>
        <w:br/>
        <w:t xml:space="preserve">  version: "2.3-clear-path-aligned"</w:t>
        <w:br/>
        <w:t xml:space="preserve">  path: "docs/roadmap/PeerSlate_Product_Strategy_and_Architecture_Roadmap_v2.3_CLEAR_PATH_ALIGNED.docx"</w:t>
        <w:br/>
        <w:t>theme: "Deep Navy Gold"</w:t>
        <w:br/>
        <w:t>holds:</w:t>
        <w:br/>
        <w:t xml:space="preserve">  - PS-JOURNAL-001</w:t>
        <w:br/>
        <w:t>active_initiatives:</w:t>
        <w:br/>
        <w:t xml:space="preserve">  - PS-GOV-001</w:t>
        <w:br/>
        <w:t xml:space="preserve">  - PS-BASELINE-001</w:t>
        <w:br/>
        <w:t xml:space="preserve">  - PS-RESUME-PUBLIC-REFINE-001</w:t>
        <w:br/>
        <w:t xml:space="preserve">  - PS-INTERVIEW-PUBLIC-GATE-001</w:t>
        <w:br/>
        <w:t xml:space="preserve">  - PS-CAPTURE-002</w:t>
        <w:br/>
      </w:r>
    </w:p>
    <w:p>
      <w:pPr>
        <w:pStyle w:val="Heading1"/>
        <w:keepNext/>
        <w:spacing w:before="120" w:after="60"/>
      </w:pPr>
      <w:r>
        <w:t>8. Definition of done for synchronization</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5083"/>
            <w:vAlign w:val="center"/>
            <w:shd w:fill="17324D"/>
            <w:tcMar>
              <w:top w:w="80" w:type="dxa"/>
              <w:start w:w="90" w:type="dxa"/>
              <w:bottom w:w="80" w:type="dxa"/>
              <w:end w:w="90" w:type="dxa"/>
            </w:tcMar>
          </w:tcPr>
          <w:p>
            <w:pPr>
              <w:spacing w:before="0" w:after="0" w:line="204" w:lineRule="auto"/>
            </w:pPr>
            <w:r>
              <w:rPr>
                <w:b/>
                <w:color w:val="FFFFFF"/>
                <w:sz w:val="14"/>
              </w:rPr>
            </w:r>
            <w:r>
              <w:rPr>
                <w:rFonts w:ascii="Arial" w:hAnsi="Arial"/>
                <w:b/>
                <w:color w:val="FFFFFF"/>
                <w:sz w:val="14"/>
              </w:rPr>
              <w:t>PASS CONDITION</w:t>
            </w:r>
          </w:p>
        </w:tc>
        <w:tc>
          <w:tcPr>
            <w:tcW w:type="dxa" w:w="5083"/>
            <w:vAlign w:val="center"/>
            <w:tcMar>
              <w:top w:w="80" w:type="dxa"/>
              <w:start w:w="90" w:type="dxa"/>
              <w:bottom w:w="80" w:type="dxa"/>
              <w:end w:w="90" w:type="dxa"/>
            </w:tcMar>
          </w:tcPr>
          <w:p>
            <w:pPr>
              <w:spacing w:before="0" w:after="0" w:line="204" w:lineRule="auto"/>
            </w:pPr>
            <w:r>
              <w:rPr>
                <w:sz w:val="14"/>
              </w:rPr>
            </w:r>
            <w:r>
              <w:rPr>
                <w:rFonts w:ascii="Arial" w:hAnsi="Arial"/>
                <w:sz w:val="14"/>
              </w:rPr>
              <w:t>Local main matches origin/main; the task branch is based on that commit; pointer files resolve; current versions agree; the active package has one owner; no uncommitted authoritative document exists; PR/pipeline/evidence state is recorded; and the mirror is synchronized after merge.</w:t>
            </w:r>
          </w:p>
        </w:tc>
      </w:tr>
    </w:tbl>
    <w:p>
      <w:r>
        <w:br w:type="page"/>
      </w:r>
    </w:p>
    <w:p>
      <w:pPr>
        <w:pStyle w:val="Heading1"/>
      </w:pPr>
      <w:r>
        <w:t>9. Mandatory dual-layer owner report</w:t>
      </w:r>
    </w:p>
    <w:p>
      <w:r>
        <w:t>Every material completion, investigation, release, or handoff must preserve full technical detail while also giving the owner a separate translation that explains the product in understandable terms. The repository template is mandatory for Cowork, Claude Code, Codex, human developers, and future agents.</w:t>
      </w:r>
    </w:p>
    <w:p>
      <w:pPr>
        <w:pStyle w:val="ListNumber"/>
      </w:pPr>
      <w:r>
        <w:t>Current status and package ID.</w:t>
      </w:r>
    </w:p>
    <w:p>
      <w:pPr>
        <w:pStyle w:val="ListNumber"/>
      </w:pPr>
      <w:r>
        <w:t>Technical work performed and exact evidence.</w:t>
      </w:r>
    </w:p>
    <w:p>
      <w:pPr>
        <w:pStyle w:val="ListNumber"/>
      </w:pPr>
      <w:r>
        <w:t>Plain-English translation of the change.</w:t>
      </w:r>
    </w:p>
    <w:p>
      <w:pPr>
        <w:pStyle w:val="ListNumber"/>
      </w:pPr>
      <w:r>
        <w:t>What the member or website can do now.</w:t>
      </w:r>
    </w:p>
    <w:p>
      <w:pPr>
        <w:pStyle w:val="ListNumber"/>
      </w:pPr>
      <w:r>
        <w:t>How the work connects to the product model and Roadmap.</w:t>
      </w:r>
    </w:p>
    <w:p>
      <w:pPr>
        <w:pStyle w:val="ListNumber"/>
      </w:pPr>
      <w:r>
        <w:t>What remains incomplete, simulated, risky, or deferred.</w:t>
      </w:r>
    </w:p>
    <w:p>
      <w:pPr>
        <w:pStyle w:val="ListNumber"/>
      </w:pPr>
      <w:r>
        <w:t>The one recommended next step and the reason for its order.</w:t>
      </w:r>
    </w:p>
    <w:p>
      <w:pPr>
        <w:pStyle w:val="ListNumber"/>
      </w:pPr>
      <w:r>
        <w:t>Any owner decision, approval, credential, or validation required.</w:t>
      </w:r>
    </w:p>
    <w:p>
      <w:pPr>
        <w:pStyle w:val="Heading1"/>
      </w:pPr>
      <w:r>
        <w:t>10. Enforcement and fresh-session validation</w:t>
      </w:r>
    </w:p>
    <w:p>
      <w:pPr>
        <w:pStyle w:val="ListBullet"/>
      </w:pPr>
      <w:r>
        <w:t>AGENTS.md and CLAUDE.md must contain a mandatory pre-work pointer to START_HERE.md.</w:t>
      </w:r>
    </w:p>
    <w:p>
      <w:pPr>
        <w:pStyle w:val="ListBullet"/>
      </w:pPr>
      <w:r>
        <w:t>START_HERE.md must include the startup checklist and current authority chain.</w:t>
      </w:r>
    </w:p>
    <w:p>
      <w:pPr>
        <w:pStyle w:val="ListBullet"/>
      </w:pPr>
      <w:r>
        <w:t>Guardrail tests must fail for stale Bible/Roadmap pointers, missing governance files, missing initiative packages, or a material closeout that omits its required report artifact.</w:t>
      </w:r>
    </w:p>
    <w:p>
      <w:pPr>
        <w:pStyle w:val="ListBullet"/>
      </w:pPr>
      <w:r>
        <w:t>PS-GOV-001 is not complete until a fresh machine or fresh agent session can locate the current baseline and active package without Pete supplying a separate handoff.</w:t>
      </w:r>
    </w:p>
    <w:p>
      <w:pPr>
        <w:pStyle w:val="ListBullet"/>
      </w:pPr>
      <w:r>
        <w:t>The owner should be able to read CURRENT_STATE.md and the latest package report and understand what works, how it fits, and what happens next.</w:t>
      </w:r>
    </w:p>
    <w:p>
      <w:pPr>
        <w:pStyle w:val="Heading1"/>
      </w:pPr>
      <w:r>
        <w:t>11. Completion-report template</w:t>
      </w:r>
    </w:p>
    <w:p>
      <w:pPr>
        <w:pStyle w:val="Heading2"/>
      </w:pPr>
      <w:r>
        <w:t>A. Status</w:t>
      </w:r>
    </w:p>
    <w:p>
      <w:r>
        <w:t>Package, branch/commit, environment, status, and production state.</w:t>
      </w:r>
    </w:p>
    <w:p>
      <w:pPr>
        <w:pStyle w:val="Heading2"/>
      </w:pPr>
      <w:r>
        <w:t>B. What changed technically</w:t>
      </w:r>
    </w:p>
    <w:p>
      <w:r>
        <w:t>Code, architecture, data, routes, permissions, migrations, infrastructure, tests, release, and evidence.</w:t>
      </w:r>
    </w:p>
    <w:p>
      <w:pPr>
        <w:pStyle w:val="Heading2"/>
      </w:pPr>
      <w:r>
        <w:t>C. Plain-English translation</w:t>
      </w:r>
    </w:p>
    <w:p>
      <w:r>
        <w:t>What was changed and why, using ordinary language and defining necessary technical terms.</w:t>
      </w:r>
    </w:p>
    <w:p>
      <w:pPr>
        <w:pStyle w:val="Heading2"/>
      </w:pPr>
      <w:r>
        <w:t>D. Functionality now available</w:t>
      </w:r>
    </w:p>
    <w:p>
      <w:r>
        <w:t>What the owner/member/visitor can do now, plus what did not change.</w:t>
      </w:r>
    </w:p>
    <w:p>
      <w:pPr>
        <w:pStyle w:val="Heading2"/>
      </w:pPr>
      <w:r>
        <w:t>E. Connection to PeerSlate</w:t>
      </w:r>
    </w:p>
    <w:p>
      <w:r>
        <w:t>How the work supports the Bible, current Roadmap phase, canonical Slate, privacy boundary, and downstream features.</w:t>
      </w:r>
    </w:p>
    <w:p>
      <w:pPr>
        <w:pStyle w:val="Heading2"/>
      </w:pPr>
      <w:r>
        <w:t>F. Verification and validation</w:t>
      </w:r>
    </w:p>
    <w:p>
      <w:r>
        <w:t>What was tested, what was checked in production, what a real user validated, and the limits of that evidence.</w:t>
      </w:r>
    </w:p>
    <w:p>
      <w:pPr>
        <w:pStyle w:val="Heading2"/>
      </w:pPr>
      <w:r>
        <w:t>G. Known gaps and risks</w:t>
      </w:r>
    </w:p>
    <w:p>
      <w:r>
        <w:t>Deferred behavior, temporary state, unresolved questions, and stop conditions.</w:t>
      </w:r>
    </w:p>
    <w:p>
      <w:pPr>
        <w:pStyle w:val="Heading2"/>
      </w:pPr>
      <w:r>
        <w:t>H. Clear next step</w:t>
      </w:r>
    </w:p>
    <w:p>
      <w:r>
        <w:t>The single recommended next action, why it is next, what it unlocks, and safe parallel work.</w:t>
      </w:r>
    </w:p>
    <w:p>
      <w:pPr>
        <w:pStyle w:val="Heading2"/>
      </w:pPr>
      <w:r>
        <w:t>I. Pete action</w:t>
      </w:r>
    </w:p>
    <w:p>
      <w:r>
        <w:t>Only approvals, credentials, decisions, or validation Pete must provide; otherwise state None.</w:t>
      </w:r>
    </w:p>
    <w:p>
      <w:pPr>
        <w:pStyle w:val="Heading1"/>
      </w:pPr>
      <w:r>
        <w:t>12. Owner quick-read checkpoint</w:t>
      </w:r>
    </w:p>
    <w:p>
      <w:r>
        <w:t>A report passes the owner-understanding gate only when Pete can answer these questions without opening code, SQL, pipeline logs, or cloud configuration:</w:t>
      </w:r>
    </w:p>
    <w:p>
      <w:pPr>
        <w:pStyle w:val="ListBullet"/>
      </w:pPr>
      <w:r>
        <w:t>What changed, in ordinary language?</w:t>
      </w:r>
    </w:p>
    <w:p>
      <w:pPr>
        <w:pStyle w:val="ListBullet"/>
      </w:pPr>
      <w:r>
        <w:t>What can I or another member actually do now?</w:t>
      </w:r>
    </w:p>
    <w:p>
      <w:pPr>
        <w:pStyle w:val="ListBullet"/>
      </w:pPr>
      <w:r>
        <w:t>Is the capability real in production, a prototype, browser-only, partially implemented, or still planned?</w:t>
      </w:r>
    </w:p>
    <w:p>
      <w:pPr>
        <w:pStyle w:val="ListBullet"/>
      </w:pPr>
      <w:r>
        <w:t>How does this connect to Capture, the canonical Slate, owner privacy, public projections, and the current Roadmap?</w:t>
      </w:r>
    </w:p>
    <w:p>
      <w:pPr>
        <w:pStyle w:val="ListBullet"/>
      </w:pPr>
      <w:r>
        <w:t>What was tested, what was validated by a real person, and what remains uncertain?</w:t>
      </w:r>
    </w:p>
    <w:p>
      <w:pPr>
        <w:pStyle w:val="ListBullet"/>
      </w:pPr>
      <w:r>
        <w:t>What is the one next recommended step, why is it next, and what can safely happen in parallel?</w:t>
      </w:r>
    </w:p>
    <w:p>
      <w:pPr>
        <w:pStyle w:val="ListBullet"/>
      </w:pPr>
      <w:r>
        <w:t>Do I need to decide, approve, test, or provide anything right now?</w:t>
      </w:r>
    </w:p>
    <w:p>
      <w:r>
        <w:t>When any answer is missing, the report is technically incomplete even when the code or deployment succeeded.</w:t>
      </w:r>
    </w:p>
    <w:sectPr w:rsidR="00FC693F" w:rsidRPr="0006063C" w:rsidSect="00034616">
      <w:pgSz w:w="12240" w:h="15840"/>
      <w:pgMar w:top="979" w:right="1037" w:bottom="90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Repository Source-of-Truth, Multi-Agent Sync, and Owner-Translation Standard v1.1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