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tif" ContentType="image/tiff"/>
  <Override PartName="/word/media/image6.tif" ContentType="image/tiff"/>
  <Override PartName="/word/media/image5.tif" ContentType="image/tiff"/>
  <Override PartName="/word/media/image1.png" ContentType="image/png"/>
  <Override PartName="/word/media/image3.tif" ContentType="image/tiff"/>
  <Override PartName="/word/media/image4.png" ContentType="image/png"/>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right" w:pos="10065" w:leader="none"/>
        </w:tabs>
        <w:jc w:val="right"/>
        <w:rPr>
          <w:rFonts w:ascii="Arial" w:hAnsi="Arial"/>
          <w:b/>
          <w:b/>
          <w:color w:val="660066"/>
          <w:sz w:val="28"/>
          <w:lang w:val="en-AU"/>
        </w:rPr>
      </w:pPr>
      <w:r>
        <w:drawing>
          <wp:anchor behindDoc="0" distT="0" distB="0" distL="114300" distR="114300" simplePos="0" locked="0" layoutInCell="1" allowOverlap="1" relativeHeight="2">
            <wp:simplePos x="0" y="0"/>
            <wp:positionH relativeFrom="column">
              <wp:posOffset>80010</wp:posOffset>
            </wp:positionH>
            <wp:positionV relativeFrom="paragraph">
              <wp:posOffset>-403225</wp:posOffset>
            </wp:positionV>
            <wp:extent cx="647700" cy="800100"/>
            <wp:effectExtent l="0" t="0" r="0" b="0"/>
            <wp:wrapTight wrapText="bothSides">
              <wp:wrapPolygon edited="0">
                <wp:start x="10506" y="0"/>
                <wp:lineTo x="4971" y="2380"/>
                <wp:lineTo x="4116" y="3065"/>
                <wp:lineTo x="4116" y="7493"/>
                <wp:lineTo x="6254" y="10893"/>
                <wp:lineTo x="-148" y="15321"/>
                <wp:lineTo x="-148" y="20090"/>
                <wp:lineTo x="8380" y="21119"/>
                <wp:lineTo x="21159" y="21119"/>
                <wp:lineTo x="21159" y="3399"/>
                <wp:lineTo x="17751" y="0"/>
                <wp:lineTo x="15625" y="0"/>
                <wp:lineTo x="10506" y="0"/>
              </wp:wrapPolygon>
            </wp:wrapTight>
            <wp:docPr id="1" name="Picture 4" descr="Description: PMAC_MASTER_RGB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Description: PMAC_MASTER_RGB_VERTICAL.png"/>
                    <pic:cNvPicPr>
                      <a:picLocks noChangeAspect="1" noChangeArrowheads="1"/>
                    </pic:cNvPicPr>
                  </pic:nvPicPr>
                  <pic:blipFill>
                    <a:blip r:embed="rId2"/>
                    <a:stretch>
                      <a:fillRect/>
                    </a:stretch>
                  </pic:blipFill>
                  <pic:spPr bwMode="auto">
                    <a:xfrm>
                      <a:off x="0" y="0"/>
                      <a:ext cx="647700" cy="800100"/>
                    </a:xfrm>
                    <a:prstGeom prst="rect">
                      <a:avLst/>
                    </a:prstGeom>
                  </pic:spPr>
                </pic:pic>
              </a:graphicData>
            </a:graphic>
          </wp:anchor>
        </w:drawing>
      </w:r>
      <w:r>
        <w:rPr>
          <w:rFonts w:ascii="Arial" w:hAnsi="Arial"/>
          <w:b/>
          <w:color w:val="660066"/>
          <w:sz w:val="28"/>
          <w:lang w:val="en-AU"/>
        </w:rPr>
        <w:t>T</w:t>
      </w:r>
      <w:r>
        <w:rPr>
          <w:rFonts w:ascii="Arial" w:hAnsi="Arial"/>
          <w:b/>
          <w:color w:val="660066"/>
          <w:sz w:val="28"/>
          <w:lang w:val="en-AU"/>
        </w:rPr>
        <w:t>he Sir Peter MacCallum Department of Oncology</w:t>
      </w:r>
    </w:p>
    <w:p>
      <w:pPr>
        <w:pStyle w:val="Normal"/>
        <w:tabs>
          <w:tab w:val="clear" w:pos="720"/>
          <w:tab w:val="right" w:pos="10065" w:leader="none"/>
        </w:tabs>
        <w:ind w:right="-1" w:hanging="0"/>
        <w:jc w:val="right"/>
        <w:rPr>
          <w:color w:val="660066"/>
          <w:sz w:val="36"/>
          <w:lang w:val="en-AU"/>
        </w:rPr>
      </w:pPr>
      <w:r>
        <w:rPr>
          <w:rFonts w:ascii="Arial" w:hAnsi="Arial"/>
          <w:b/>
          <w:color w:val="660066"/>
          <w:sz w:val="28"/>
          <w:lang w:val="en-AU"/>
        </w:rPr>
        <w:t>CONFIRMATION REPORT</w:t>
      </w:r>
    </w:p>
    <w:p>
      <w:pPr>
        <w:pStyle w:val="Normal"/>
        <w:tabs>
          <w:tab w:val="clear" w:pos="720"/>
          <w:tab w:val="left" w:pos="0" w:leader="none"/>
        </w:tabs>
        <w:jc w:val="both"/>
        <w:rPr>
          <w:rFonts w:ascii="Arial" w:hAnsi="Arial"/>
          <w:b/>
          <w:b/>
          <w:color w:val="FF0000"/>
          <w:sz w:val="20"/>
          <w:lang w:val="en-AU"/>
        </w:rPr>
      </w:pPr>
      <w:r>
        <w:rPr>
          <w:rFonts w:ascii="Arial" w:hAnsi="Arial"/>
          <w:b/>
          <w:color w:val="FF0000"/>
          <w:sz w:val="20"/>
          <w:lang w:val="en-AU"/>
        </w:rPr>
      </w:r>
    </w:p>
    <w:tbl>
      <w:tblPr>
        <w:tblW w:w="10490" w:type="dxa"/>
        <w:jc w:val="left"/>
        <w:tblInd w:w="5" w:type="dxa"/>
        <w:tblCellMar>
          <w:top w:w="0" w:type="dxa"/>
          <w:left w:w="5" w:type="dxa"/>
          <w:bottom w:w="0" w:type="dxa"/>
          <w:right w:w="5" w:type="dxa"/>
        </w:tblCellMar>
        <w:tblLook w:val="0000" w:noVBand="0" w:noHBand="0" w:lastColumn="0" w:firstColumn="0" w:lastRow="0" w:firstRow="0"/>
      </w:tblPr>
      <w:tblGrid>
        <w:gridCol w:w="4322"/>
        <w:gridCol w:w="6167"/>
      </w:tblGrid>
      <w:tr>
        <w:trPr/>
        <w:tc>
          <w:tcPr>
            <w:tcW w:w="10489" w:type="dxa"/>
            <w:gridSpan w:val="2"/>
            <w:tcBorders>
              <w:top w:val="single" w:sz="4" w:space="0" w:color="C0C0C0"/>
              <w:left w:val="single" w:sz="4" w:space="0" w:color="C0C0C0"/>
              <w:bottom w:val="single" w:sz="4" w:space="0" w:color="C0C0C0"/>
              <w:right w:val="single" w:sz="4" w:space="0" w:color="C0C0C0"/>
            </w:tcBorders>
            <w:shd w:fill="auto" w:val="clear"/>
          </w:tcPr>
          <w:p>
            <w:pPr>
              <w:pStyle w:val="Normal"/>
              <w:jc w:val="both"/>
              <w:rPr>
                <w:rFonts w:ascii="Calibri" w:hAnsi="Calibri"/>
                <w:lang w:val="en-AU"/>
              </w:rPr>
            </w:pPr>
            <w:r>
              <w:rPr>
                <w:rFonts w:ascii="Calibri" w:hAnsi="Calibri"/>
                <w:b/>
                <w:color w:val="660066"/>
                <w:lang w:val="en-AU"/>
              </w:rPr>
              <w:t>STUDENT NAME</w:t>
            </w:r>
            <w:r>
              <w:rPr>
                <w:rFonts w:ascii="Calibri" w:hAnsi="Calibri"/>
                <w:lang w:val="en-AU"/>
              </w:rPr>
              <w:t>:   Jack Daniel Chan</w:t>
            </w:r>
          </w:p>
        </w:tc>
      </w:tr>
      <w:tr>
        <w:trPr/>
        <w:tc>
          <w:tcPr>
            <w:tcW w:w="4322" w:type="dxa"/>
            <w:tcBorders>
              <w:top w:val="single" w:sz="4" w:space="0" w:color="C0C0C0"/>
              <w:left w:val="single" w:sz="4" w:space="0" w:color="C0C0C0"/>
              <w:bottom w:val="single" w:sz="4" w:space="0" w:color="C0C0C0"/>
              <w:right w:val="single" w:sz="4" w:space="0" w:color="C0C0C0"/>
            </w:tcBorders>
            <w:shd w:fill="auto" w:val="clear"/>
          </w:tcPr>
          <w:p>
            <w:pPr>
              <w:pStyle w:val="Normal"/>
              <w:jc w:val="both"/>
              <w:rPr>
                <w:rFonts w:ascii="Calibri" w:hAnsi="Calibri"/>
                <w:lang w:val="en-AU"/>
              </w:rPr>
            </w:pPr>
            <w:r>
              <w:rPr>
                <w:rFonts w:ascii="Calibri" w:hAnsi="Calibri"/>
                <w:b/>
                <w:color w:val="660066"/>
                <w:lang w:val="en-AU"/>
              </w:rPr>
              <w:t>MEETING DATE</w:t>
            </w:r>
            <w:r>
              <w:rPr>
                <w:rFonts w:ascii="Calibri" w:hAnsi="Calibri"/>
                <w:lang w:val="en-AU"/>
              </w:rPr>
              <w:t>:   27/08/20</w:t>
            </w:r>
          </w:p>
        </w:tc>
        <w:tc>
          <w:tcPr>
            <w:tcW w:w="6167" w:type="dxa"/>
            <w:tcBorders>
              <w:top w:val="single" w:sz="4" w:space="0" w:color="C0C0C0"/>
              <w:left w:val="single" w:sz="4" w:space="0" w:color="C0C0C0"/>
              <w:bottom w:val="single" w:sz="4" w:space="0" w:color="C0C0C0"/>
              <w:right w:val="single" w:sz="4" w:space="0" w:color="C0C0C0"/>
            </w:tcBorders>
            <w:shd w:fill="auto" w:val="clear"/>
          </w:tcPr>
          <w:p>
            <w:pPr>
              <w:pStyle w:val="Normal"/>
              <w:jc w:val="both"/>
              <w:rPr>
                <w:rFonts w:ascii="Calibri" w:hAnsi="Calibri"/>
                <w:lang w:val="en-AU"/>
              </w:rPr>
            </w:pPr>
            <w:r>
              <w:rPr>
                <w:rFonts w:ascii="Calibri" w:hAnsi="Calibri"/>
                <w:b/>
                <w:color w:val="660066"/>
                <w:lang w:val="en-AU"/>
              </w:rPr>
              <w:t>VENUE</w:t>
            </w:r>
            <w:r>
              <w:rPr>
                <w:rFonts w:ascii="Calibri" w:hAnsi="Calibri"/>
                <w:lang w:val="en-AU"/>
              </w:rPr>
              <w:t xml:space="preserve">:  </w:t>
            </w:r>
          </w:p>
        </w:tc>
      </w:tr>
      <w:tr>
        <w:trPr/>
        <w:tc>
          <w:tcPr>
            <w:tcW w:w="10489" w:type="dxa"/>
            <w:gridSpan w:val="2"/>
            <w:tcBorders>
              <w:top w:val="single" w:sz="4" w:space="0" w:color="C0C0C0"/>
              <w:left w:val="single" w:sz="4" w:space="0" w:color="C0C0C0"/>
              <w:bottom w:val="single" w:sz="4" w:space="0" w:color="C0C0C0"/>
              <w:right w:val="single" w:sz="4" w:space="0" w:color="C0C0C0"/>
            </w:tcBorders>
            <w:shd w:fill="auto" w:val="clear"/>
          </w:tcPr>
          <w:p>
            <w:pPr>
              <w:pStyle w:val="Normal"/>
              <w:jc w:val="both"/>
              <w:rPr>
                <w:rFonts w:ascii="Calibri" w:hAnsi="Calibri"/>
                <w:lang w:val="en-AU"/>
              </w:rPr>
            </w:pPr>
            <w:r>
              <w:rPr>
                <w:rFonts w:ascii="Calibri" w:hAnsi="Calibri"/>
                <w:b/>
                <w:color w:val="660066"/>
                <w:lang w:val="en-AU"/>
              </w:rPr>
              <w:t>COMMITTEE</w:t>
            </w:r>
            <w:r>
              <w:rPr>
                <w:rFonts w:ascii="Calibri" w:hAnsi="Calibri"/>
                <w:lang w:val="en-AU"/>
              </w:rPr>
              <w:t>:   Prof Sarah Russell (Chair), Dr Andy Cox (Co-Chair), A/Prof Paul Neeson, Dr Florien Wiede, Dr Carole Poon, Dr Pilar Dominguez</w:t>
            </w:r>
          </w:p>
        </w:tc>
      </w:tr>
      <w:tr>
        <w:trPr/>
        <w:tc>
          <w:tcPr>
            <w:tcW w:w="10489" w:type="dxa"/>
            <w:gridSpan w:val="2"/>
            <w:tcBorders>
              <w:top w:val="single" w:sz="4" w:space="0" w:color="C0C0C0"/>
              <w:left w:val="single" w:sz="4" w:space="0" w:color="C0C0C0"/>
              <w:bottom w:val="single" w:sz="4" w:space="0" w:color="C0C0C0"/>
              <w:right w:val="single" w:sz="4" w:space="0" w:color="C0C0C0"/>
            </w:tcBorders>
            <w:shd w:fill="auto" w:val="clear"/>
          </w:tcPr>
          <w:p>
            <w:pPr>
              <w:pStyle w:val="Normal"/>
              <w:jc w:val="both"/>
              <w:rPr>
                <w:rFonts w:ascii="Calibri" w:hAnsi="Calibri"/>
                <w:lang w:val="en-AU"/>
              </w:rPr>
            </w:pPr>
            <w:r>
              <w:rPr>
                <w:rFonts w:ascii="Calibri" w:hAnsi="Calibri"/>
                <w:b/>
                <w:color w:val="660066"/>
                <w:lang w:val="en-AU"/>
              </w:rPr>
              <w:t>SUPERVISORS</w:t>
            </w:r>
            <w:r>
              <w:rPr>
                <w:rFonts w:ascii="Calibri" w:hAnsi="Calibri"/>
                <w:lang w:val="en-AU"/>
              </w:rPr>
              <w:t>:   Dr Paul Beavis, Dr Clare Slaney, Prof Phil Darcy</w:t>
            </w:r>
          </w:p>
        </w:tc>
      </w:tr>
      <w:tr>
        <w:trPr/>
        <w:tc>
          <w:tcPr>
            <w:tcW w:w="10489" w:type="dxa"/>
            <w:gridSpan w:val="2"/>
            <w:tcBorders>
              <w:top w:val="single" w:sz="4" w:space="0" w:color="C0C0C0"/>
              <w:left w:val="single" w:sz="4" w:space="0" w:color="C0C0C0"/>
              <w:bottom w:val="single" w:sz="4" w:space="0" w:color="C0C0C0"/>
              <w:right w:val="single" w:sz="4" w:space="0" w:color="C0C0C0"/>
            </w:tcBorders>
            <w:shd w:fill="auto" w:val="clear"/>
          </w:tcPr>
          <w:p>
            <w:pPr>
              <w:pStyle w:val="Normal"/>
              <w:jc w:val="both"/>
              <w:rPr>
                <w:rFonts w:ascii="Calibri" w:hAnsi="Calibri"/>
                <w:lang w:val="en-AU"/>
              </w:rPr>
            </w:pPr>
            <w:r>
              <w:rPr>
                <w:rFonts w:ascii="Calibri" w:hAnsi="Calibri"/>
                <w:b/>
                <w:color w:val="660066"/>
                <w:lang w:val="en-AU"/>
              </w:rPr>
              <w:t>MENTOR</w:t>
            </w:r>
            <w:r>
              <w:rPr>
                <w:rFonts w:ascii="Calibri" w:hAnsi="Calibri"/>
                <w:lang w:val="en-AU"/>
              </w:rPr>
              <w:t>:   Dr Ian Parish</w:t>
            </w:r>
          </w:p>
        </w:tc>
      </w:tr>
      <w:tr>
        <w:trPr/>
        <w:tc>
          <w:tcPr>
            <w:tcW w:w="10489" w:type="dxa"/>
            <w:gridSpan w:val="2"/>
            <w:tcBorders>
              <w:top w:val="single" w:sz="4" w:space="0" w:color="C0C0C0"/>
              <w:left w:val="single" w:sz="4" w:space="0" w:color="C0C0C0"/>
              <w:bottom w:val="single" w:sz="4" w:space="0" w:color="C0C0C0"/>
              <w:right w:val="single" w:sz="4" w:space="0" w:color="C0C0C0"/>
            </w:tcBorders>
            <w:shd w:fill="auto" w:val="clear"/>
          </w:tcPr>
          <w:p>
            <w:pPr>
              <w:pStyle w:val="Normal"/>
              <w:jc w:val="both"/>
              <w:rPr>
                <w:rFonts w:ascii="Calibri" w:hAnsi="Calibri"/>
                <w:lang w:val="en-AU"/>
              </w:rPr>
            </w:pPr>
            <w:r>
              <w:rPr>
                <w:rFonts w:ascii="Calibri" w:hAnsi="Calibri"/>
                <w:b/>
                <w:color w:val="660066"/>
                <w:lang w:val="en-AU"/>
              </w:rPr>
              <w:t>LENGTH OF CANDIDATURE TO DATE</w:t>
            </w:r>
            <w:r>
              <w:rPr>
                <w:rFonts w:ascii="Calibri" w:hAnsi="Calibri"/>
                <w:lang w:val="en-AU"/>
              </w:rPr>
              <w:t>:   1 year</w:t>
            </w:r>
          </w:p>
        </w:tc>
      </w:tr>
      <w:tr>
        <w:trPr/>
        <w:tc>
          <w:tcPr>
            <w:tcW w:w="10489" w:type="dxa"/>
            <w:gridSpan w:val="2"/>
            <w:tcBorders>
              <w:top w:val="single" w:sz="4" w:space="0" w:color="C0C0C0"/>
              <w:left w:val="single" w:sz="4" w:space="0" w:color="C0C0C0"/>
              <w:bottom w:val="single" w:sz="4" w:space="0" w:color="C0C0C0"/>
              <w:right w:val="single" w:sz="4" w:space="0" w:color="C0C0C0"/>
            </w:tcBorders>
            <w:shd w:fill="auto" w:val="clear"/>
          </w:tcPr>
          <w:p>
            <w:pPr>
              <w:pStyle w:val="Normal"/>
              <w:jc w:val="both"/>
              <w:rPr>
                <w:rFonts w:ascii="Calibri" w:hAnsi="Calibri"/>
                <w:b/>
                <w:b/>
                <w:color w:val="660066"/>
                <w:lang w:val="en-AU"/>
              </w:rPr>
            </w:pPr>
            <w:r>
              <w:rPr>
                <w:rFonts w:ascii="Calibri" w:hAnsi="Calibri"/>
                <w:b/>
                <w:color w:val="660066"/>
                <w:lang w:val="en-AU"/>
              </w:rPr>
              <w:t xml:space="preserve">PROJECT TITLE:   </w:t>
            </w:r>
            <w:r>
              <w:rPr>
                <w:rFonts w:ascii="Calibri" w:hAnsi="Calibri"/>
                <w:bCs/>
                <w:color w:val="000000"/>
                <w:lang w:val="en-AU"/>
              </w:rPr>
              <w:t>Avenues to improve CAR T cell persistence and memory</w:t>
            </w:r>
          </w:p>
        </w:tc>
      </w:tr>
    </w:tbl>
    <w:p>
      <w:pPr>
        <w:pStyle w:val="Normal"/>
        <w:tabs>
          <w:tab w:val="clear" w:pos="720"/>
          <w:tab w:val="left" w:pos="0" w:leader="none"/>
        </w:tabs>
        <w:jc w:val="both"/>
        <w:rPr>
          <w:rFonts w:ascii="Arial" w:hAnsi="Arial"/>
          <w:b/>
          <w:b/>
          <w:color w:val="FF0000"/>
          <w:sz w:val="20"/>
          <w:lang w:val="en-AU"/>
        </w:rPr>
      </w:pPr>
      <w:r>
        <w:rPr>
          <w:rFonts w:ascii="Arial" w:hAnsi="Arial"/>
          <w:b/>
          <w:color w:val="FF0000"/>
          <w:sz w:val="20"/>
          <w:lang w:val="en-AU"/>
        </w:rPr>
      </w:r>
    </w:p>
    <w:p>
      <w:pPr>
        <w:pStyle w:val="Normal"/>
        <w:tabs>
          <w:tab w:val="clear" w:pos="720"/>
          <w:tab w:val="left" w:pos="0" w:leader="none"/>
        </w:tabs>
        <w:jc w:val="both"/>
        <w:rPr>
          <w:rFonts w:ascii="Calibri" w:hAnsi="Calibri"/>
          <w:b/>
          <w:b/>
          <w:color w:val="FF0000"/>
          <w:sz w:val="20"/>
          <w:lang w:val="en-AU"/>
        </w:rPr>
      </w:pPr>
      <w:r>
        <w:rPr>
          <w:rFonts w:ascii="Calibri" w:hAnsi="Calibri"/>
          <w:b/>
          <w:color w:val="FF0000"/>
          <w:sz w:val="20"/>
          <w:lang w:val="en-AU"/>
        </w:rPr>
        <w:t xml:space="preserve">The Confirmation process:   </w:t>
      </w:r>
    </w:p>
    <w:p>
      <w:pPr>
        <w:pStyle w:val="Normal"/>
        <w:spacing w:before="120" w:after="0"/>
        <w:rPr>
          <w:rFonts w:ascii="Calibri" w:hAnsi="Calibri" w:cs="Arial"/>
          <w:sz w:val="20"/>
          <w:lang w:val="en-AU"/>
        </w:rPr>
      </w:pPr>
      <w:r>
        <w:rPr>
          <w:rFonts w:cs="Arial" w:ascii="Calibri" w:hAnsi="Calibri"/>
          <w:sz w:val="20"/>
          <w:lang w:val="en-AU"/>
        </w:rPr>
        <w:t>The confirmation process provides an opportunity for PhD candidates to reflect on, discuss and document the work that has been undertaken during the period of probationary PhD candidature, and to set objectives for the next stage of research.  At confirmation, a PhD candidate will be assessed on whether they have:</w:t>
      </w:r>
    </w:p>
    <w:p>
      <w:pPr>
        <w:pStyle w:val="Normal"/>
        <w:numPr>
          <w:ilvl w:val="0"/>
          <w:numId w:val="1"/>
        </w:numPr>
        <w:rPr>
          <w:rFonts w:ascii="Calibri" w:hAnsi="Calibri" w:cs="Arial"/>
          <w:sz w:val="20"/>
          <w:lang w:val="en-AU"/>
        </w:rPr>
      </w:pPr>
      <w:r>
        <w:rPr>
          <w:rFonts w:cs="Arial" w:ascii="Calibri" w:hAnsi="Calibri"/>
          <w:sz w:val="20"/>
          <w:lang w:val="en-AU"/>
        </w:rPr>
        <w:t>made adequate progress to date;</w:t>
      </w:r>
    </w:p>
    <w:p>
      <w:pPr>
        <w:pStyle w:val="Normal"/>
        <w:numPr>
          <w:ilvl w:val="0"/>
          <w:numId w:val="1"/>
        </w:numPr>
        <w:rPr>
          <w:rFonts w:ascii="Calibri" w:hAnsi="Calibri" w:cs="Arial"/>
          <w:sz w:val="20"/>
          <w:lang w:val="en-AU"/>
        </w:rPr>
      </w:pPr>
      <w:r>
        <w:rPr>
          <w:rFonts w:cs="Arial" w:ascii="Calibri" w:hAnsi="Calibri"/>
          <w:sz w:val="20"/>
          <w:lang w:val="en-AU"/>
        </w:rPr>
        <w:t>developed a clearly defined, coherent and feasible research project that can be completed with available resources;</w:t>
      </w:r>
    </w:p>
    <w:p>
      <w:pPr>
        <w:pStyle w:val="Normal"/>
        <w:numPr>
          <w:ilvl w:val="0"/>
          <w:numId w:val="1"/>
        </w:numPr>
        <w:rPr>
          <w:rFonts w:ascii="Calibri" w:hAnsi="Calibri" w:cs="Arial"/>
          <w:sz w:val="20"/>
          <w:lang w:val="en-AU"/>
        </w:rPr>
      </w:pPr>
      <w:r>
        <w:rPr>
          <w:rFonts w:cs="Arial" w:ascii="Calibri" w:hAnsi="Calibri"/>
          <w:sz w:val="20"/>
          <w:lang w:val="en-AU"/>
        </w:rPr>
        <w:t>demonstrated the capacity to undertake and complete the research within the required time frame; and</w:t>
      </w:r>
    </w:p>
    <w:p>
      <w:pPr>
        <w:pStyle w:val="Normal"/>
        <w:numPr>
          <w:ilvl w:val="0"/>
          <w:numId w:val="1"/>
        </w:numPr>
        <w:rPr>
          <w:rFonts w:ascii="Calibri" w:hAnsi="Calibri" w:cs="Arial"/>
          <w:sz w:val="20"/>
          <w:lang w:val="en-AU"/>
        </w:rPr>
      </w:pPr>
      <w:r>
        <w:rPr>
          <w:rFonts w:cs="Arial" w:ascii="Calibri" w:hAnsi="Calibri"/>
          <w:sz w:val="20"/>
          <w:lang w:val="en-AU"/>
        </w:rPr>
        <w:t>demonstrated written and oral presentation skills appropriate to study at the PhD level.</w:t>
      </w:r>
    </w:p>
    <w:p>
      <w:pPr>
        <w:pStyle w:val="Normal"/>
        <w:ind w:left="397" w:hanging="0"/>
        <w:rPr>
          <w:rFonts w:ascii="Calibri" w:hAnsi="Calibri" w:cs="Arial"/>
          <w:b/>
          <w:b/>
          <w:sz w:val="20"/>
          <w:lang w:val="en-AU"/>
        </w:rPr>
      </w:pPr>
      <w:r>
        <w:rPr>
          <w:rFonts w:cs="Arial" w:ascii="Calibri" w:hAnsi="Calibri"/>
          <w:b/>
          <w:sz w:val="20"/>
          <w:lang w:val="en-AU"/>
        </w:rPr>
      </w:r>
    </w:p>
    <w:p>
      <w:pPr>
        <w:pStyle w:val="Normal"/>
        <w:rPr>
          <w:rFonts w:ascii="Calibri" w:hAnsi="Calibri" w:cs="Arial"/>
          <w:b/>
          <w:b/>
          <w:sz w:val="20"/>
          <w:lang w:val="en-AU"/>
        </w:rPr>
      </w:pPr>
      <w:r>
        <w:rPr>
          <w:rFonts w:cs="Arial" w:ascii="Calibri" w:hAnsi="Calibri"/>
          <w:b/>
          <w:sz w:val="20"/>
          <w:lang w:val="en-AU"/>
        </w:rPr>
        <w:t xml:space="preserve">PRIOR to the confirmation meeting </w:t>
      </w:r>
    </w:p>
    <w:p>
      <w:pPr>
        <w:pStyle w:val="Normal"/>
        <w:tabs>
          <w:tab w:val="clear" w:pos="720"/>
          <w:tab w:val="left" w:pos="426" w:leader="none"/>
        </w:tabs>
        <w:rPr/>
      </w:pPr>
      <w:r>
        <w:rPr>
          <w:rFonts w:cs="Arial" w:ascii="Calibri" w:hAnsi="Calibri"/>
          <w:b/>
          <w:color w:val="0000FF"/>
          <w:sz w:val="20"/>
          <w:lang w:val="en-AU"/>
        </w:rPr>
        <w:t xml:space="preserve">Candidates must prepare a written report to be submitted to Caroline Owen </w:t>
      </w:r>
      <w:hyperlink r:id="rId3">
        <w:r>
          <w:rPr>
            <w:rStyle w:val="InternetLink"/>
            <w:rFonts w:cs="Arial" w:ascii="Calibri" w:hAnsi="Calibri"/>
            <w:b/>
            <w:sz w:val="20"/>
            <w:lang w:val="en-AU"/>
          </w:rPr>
          <w:t>caroline.owen@petermac.org</w:t>
        </w:r>
      </w:hyperlink>
      <w:r>
        <w:rPr>
          <w:rFonts w:cs="Arial" w:ascii="Calibri" w:hAnsi="Calibri"/>
          <w:b/>
          <w:color w:val="0000FF"/>
          <w:sz w:val="20"/>
          <w:lang w:val="en-AU"/>
        </w:rPr>
        <w:t xml:space="preserve"> and Research Education Inbox (</w:t>
      </w:r>
      <w:hyperlink r:id="rId4">
        <w:r>
          <w:rPr>
            <w:rStyle w:val="InternetLink"/>
            <w:rFonts w:cs="Arial" w:ascii="Calibri" w:hAnsi="Calibri"/>
            <w:b/>
            <w:sz w:val="20"/>
            <w:lang w:val="en-AU"/>
          </w:rPr>
          <w:t>Research.EducationAdmin@petermac.org</w:t>
        </w:r>
      </w:hyperlink>
      <w:r>
        <w:rPr>
          <w:rFonts w:cs="Arial" w:ascii="Calibri" w:hAnsi="Calibri"/>
          <w:b/>
          <w:color w:val="0000FF"/>
          <w:sz w:val="20"/>
          <w:lang w:val="en-AU"/>
        </w:rPr>
        <w:t xml:space="preserve"> ) at least </w:t>
      </w:r>
      <w:r>
        <w:rPr>
          <w:rFonts w:cs="Arial" w:ascii="Calibri" w:hAnsi="Calibri"/>
          <w:b/>
          <w:color w:val="0000FF"/>
          <w:sz w:val="20"/>
          <w:u w:val="single"/>
          <w:lang w:val="en-AU"/>
        </w:rPr>
        <w:t>10 days prior to the scheduled meeting</w:t>
      </w:r>
      <w:r>
        <w:rPr>
          <w:rFonts w:cs="Arial" w:ascii="Calibri" w:hAnsi="Calibri"/>
          <w:b/>
          <w:color w:val="0000FF"/>
          <w:sz w:val="20"/>
          <w:lang w:val="en-AU"/>
        </w:rPr>
        <w:t>. This will be distributed to all members of your Confirmation Committee with a meeting reminder.</w:t>
      </w:r>
    </w:p>
    <w:p>
      <w:pPr>
        <w:pStyle w:val="Normal"/>
        <w:spacing w:before="120" w:after="120"/>
        <w:rPr>
          <w:rFonts w:ascii="Calibri" w:hAnsi="Calibri" w:cs="Arial"/>
          <w:b/>
          <w:b/>
          <w:sz w:val="20"/>
          <w:lang w:val="en-AU"/>
        </w:rPr>
      </w:pPr>
      <w:r>
        <w:rPr>
          <w:rFonts w:cs="Arial" w:ascii="Calibri" w:hAnsi="Calibri"/>
          <w:b/>
          <w:sz w:val="20"/>
          <w:lang w:val="en-AU"/>
        </w:rPr>
        <w:t xml:space="preserve">The report should be between </w:t>
      </w:r>
      <w:r>
        <w:rPr>
          <w:rFonts w:cs="Arial" w:ascii="Calibri" w:hAnsi="Calibri"/>
          <w:b/>
          <w:sz w:val="20"/>
          <w:u w:val="single"/>
          <w:lang w:val="en-AU"/>
        </w:rPr>
        <w:t>3000 and 5000 words long</w:t>
      </w:r>
      <w:r>
        <w:rPr>
          <w:rFonts w:cs="Arial" w:ascii="Calibri" w:hAnsi="Calibri"/>
          <w:b/>
          <w:sz w:val="20"/>
          <w:lang w:val="en-AU"/>
        </w:rPr>
        <w:t xml:space="preserve"> and address all sections as listed on the template.</w:t>
      </w:r>
    </w:p>
    <w:p>
      <w:pPr>
        <w:pStyle w:val="Normal"/>
        <w:rPr>
          <w:rFonts w:ascii="Calibri" w:hAnsi="Calibri" w:cs="Arial"/>
          <w:b/>
          <w:b/>
          <w:sz w:val="20"/>
          <w:lang w:val="en-AU"/>
        </w:rPr>
      </w:pPr>
      <w:r>
        <w:rPr>
          <w:rFonts w:cs="Arial" w:ascii="Calibri" w:hAnsi="Calibri"/>
          <w:b/>
          <w:sz w:val="20"/>
          <w:lang w:val="en-AU"/>
        </w:rPr>
        <w:t xml:space="preserve">DURING the confirmation meeting </w:t>
      </w:r>
    </w:p>
    <w:p>
      <w:pPr>
        <w:pStyle w:val="Normal"/>
        <w:numPr>
          <w:ilvl w:val="0"/>
          <w:numId w:val="3"/>
        </w:numPr>
        <w:spacing w:before="120" w:after="0"/>
        <w:jc w:val="both"/>
        <w:rPr>
          <w:rFonts w:ascii="Calibri" w:hAnsi="Calibri" w:eastAsia="Batang"/>
          <w:sz w:val="20"/>
          <w:lang w:val="en-AU"/>
        </w:rPr>
      </w:pPr>
      <w:r>
        <w:rPr>
          <w:rFonts w:eastAsia="Batang" w:ascii="Calibri" w:hAnsi="Calibri"/>
          <w:sz w:val="20"/>
          <w:lang w:val="en-AU"/>
        </w:rPr>
        <w:t xml:space="preserve">Students present a 25-minute seminar based on their written progress report. The seminar will be open to </w:t>
      </w:r>
      <w:r>
        <w:rPr>
          <w:rFonts w:eastAsia="Batang" w:ascii="Calibri" w:hAnsi="Calibri"/>
          <w:sz w:val="20"/>
          <w:u w:val="single"/>
          <w:lang w:val="en-AU"/>
        </w:rPr>
        <w:t>ALL</w:t>
      </w:r>
      <w:r>
        <w:rPr>
          <w:rFonts w:eastAsia="Batang" w:ascii="Calibri" w:hAnsi="Calibri"/>
          <w:sz w:val="20"/>
          <w:lang w:val="en-AU"/>
        </w:rPr>
        <w:t xml:space="preserve"> staff and students in the Research Division, and also attended by the student’s advisory committee. </w:t>
      </w:r>
    </w:p>
    <w:p>
      <w:pPr>
        <w:pStyle w:val="Normal"/>
        <w:numPr>
          <w:ilvl w:val="0"/>
          <w:numId w:val="3"/>
        </w:numPr>
        <w:jc w:val="both"/>
        <w:rPr>
          <w:rFonts w:ascii="Calibri" w:hAnsi="Calibri" w:eastAsia="Batang"/>
          <w:sz w:val="20"/>
          <w:lang w:val="en-AU"/>
        </w:rPr>
      </w:pPr>
      <w:r>
        <w:rPr>
          <w:rFonts w:eastAsia="Batang" w:ascii="Calibri" w:hAnsi="Calibri"/>
          <w:sz w:val="20"/>
          <w:lang w:val="en-AU"/>
        </w:rPr>
        <w:t>The seminar includes a question time, providing the student with the opportunity to demonstrate their ability to think independently, understanding of their project and their work to date, as well answer questions about the aims of the project and relevant literature. Note these questions are usually raised at the end of the presentation.</w:t>
      </w:r>
    </w:p>
    <w:p>
      <w:pPr>
        <w:pStyle w:val="Normal"/>
        <w:numPr>
          <w:ilvl w:val="0"/>
          <w:numId w:val="3"/>
        </w:numPr>
        <w:jc w:val="both"/>
        <w:rPr>
          <w:rFonts w:ascii="Calibri" w:hAnsi="Calibri" w:eastAsia="Batang"/>
          <w:sz w:val="20"/>
          <w:lang w:val="en-AU"/>
        </w:rPr>
      </w:pPr>
      <w:r>
        <w:rPr>
          <w:rFonts w:eastAsia="Batang" w:ascii="Calibri" w:hAnsi="Calibri"/>
          <w:sz w:val="20"/>
          <w:lang w:val="en-AU"/>
        </w:rPr>
        <w:t xml:space="preserve">Following the seminar, the advisory committee will meet with the student and with the supervisors separately and confidentially, to discuss the student’s project and progress to date, their written and oral presentations, any issues that arise. </w:t>
      </w:r>
    </w:p>
    <w:p>
      <w:pPr>
        <w:pStyle w:val="Normal"/>
        <w:numPr>
          <w:ilvl w:val="0"/>
          <w:numId w:val="3"/>
        </w:numPr>
        <w:jc w:val="both"/>
        <w:rPr>
          <w:rFonts w:ascii="Calibri" w:hAnsi="Calibri" w:eastAsia="Batang"/>
          <w:sz w:val="20"/>
          <w:lang w:val="en-AU"/>
        </w:rPr>
      </w:pPr>
      <w:r>
        <w:rPr>
          <w:rFonts w:eastAsia="Batang" w:ascii="Calibri" w:hAnsi="Calibri"/>
          <w:sz w:val="20"/>
          <w:lang w:val="en-AU"/>
        </w:rPr>
        <w:t xml:space="preserve">Specific criteria on which a student’s potential will be judged include: </w:t>
      </w:r>
    </w:p>
    <w:p>
      <w:pPr>
        <w:pStyle w:val="Normal"/>
        <w:numPr>
          <w:ilvl w:val="0"/>
          <w:numId w:val="4"/>
        </w:numPr>
        <w:tabs>
          <w:tab w:val="clear" w:pos="720"/>
          <w:tab w:val="left" w:pos="851" w:leader="none"/>
        </w:tabs>
        <w:ind w:left="1080" w:hanging="654"/>
        <w:jc w:val="both"/>
        <w:rPr>
          <w:rFonts w:ascii="Calibri" w:hAnsi="Calibri" w:eastAsia="Batang"/>
          <w:sz w:val="20"/>
          <w:lang w:val="en-AU"/>
        </w:rPr>
      </w:pPr>
      <w:r>
        <w:rPr>
          <w:rFonts w:eastAsia="Batang" w:ascii="Calibri" w:hAnsi="Calibri"/>
          <w:sz w:val="20"/>
          <w:lang w:val="en-AU"/>
        </w:rPr>
        <w:t>Experimental progress</w:t>
      </w:r>
    </w:p>
    <w:p>
      <w:pPr>
        <w:pStyle w:val="Normal"/>
        <w:numPr>
          <w:ilvl w:val="0"/>
          <w:numId w:val="4"/>
        </w:numPr>
        <w:tabs>
          <w:tab w:val="clear" w:pos="720"/>
          <w:tab w:val="left" w:pos="851" w:leader="none"/>
        </w:tabs>
        <w:ind w:left="1080" w:hanging="654"/>
        <w:jc w:val="both"/>
        <w:rPr>
          <w:rFonts w:ascii="Calibri" w:hAnsi="Calibri" w:eastAsia="Batang"/>
          <w:sz w:val="20"/>
          <w:lang w:val="en-AU"/>
        </w:rPr>
      </w:pPr>
      <w:r>
        <w:rPr>
          <w:rFonts w:eastAsia="Batang" w:ascii="Calibri" w:hAnsi="Calibri"/>
          <w:sz w:val="20"/>
          <w:lang w:val="en-AU"/>
        </w:rPr>
        <w:t>Quality of written and oral presentations</w:t>
      </w:r>
    </w:p>
    <w:p>
      <w:pPr>
        <w:pStyle w:val="Normal"/>
        <w:numPr>
          <w:ilvl w:val="0"/>
          <w:numId w:val="4"/>
        </w:numPr>
        <w:tabs>
          <w:tab w:val="clear" w:pos="720"/>
          <w:tab w:val="left" w:pos="851" w:leader="none"/>
        </w:tabs>
        <w:ind w:left="1080" w:hanging="654"/>
        <w:jc w:val="both"/>
        <w:rPr>
          <w:rFonts w:ascii="Calibri" w:hAnsi="Calibri" w:eastAsia="Batang"/>
          <w:sz w:val="20"/>
          <w:lang w:val="en-AU"/>
        </w:rPr>
      </w:pPr>
      <w:r>
        <w:rPr>
          <w:rFonts w:eastAsia="Batang" w:ascii="Calibri" w:hAnsi="Calibri"/>
          <w:sz w:val="20"/>
          <w:lang w:val="en-AU"/>
        </w:rPr>
        <w:t>Knowledge of the literature in the field of the project</w:t>
      </w:r>
    </w:p>
    <w:p>
      <w:pPr>
        <w:pStyle w:val="Normal"/>
        <w:numPr>
          <w:ilvl w:val="0"/>
          <w:numId w:val="4"/>
        </w:numPr>
        <w:tabs>
          <w:tab w:val="clear" w:pos="720"/>
          <w:tab w:val="left" w:pos="851" w:leader="none"/>
        </w:tabs>
        <w:ind w:left="1080" w:hanging="654"/>
        <w:jc w:val="both"/>
        <w:rPr>
          <w:rFonts w:ascii="Calibri" w:hAnsi="Calibri" w:eastAsia="Batang"/>
          <w:sz w:val="20"/>
          <w:lang w:val="en-AU"/>
        </w:rPr>
      </w:pPr>
      <w:r>
        <w:rPr>
          <w:rFonts w:eastAsia="Batang" w:ascii="Calibri" w:hAnsi="Calibri"/>
          <w:sz w:val="20"/>
          <w:lang w:val="en-AU"/>
        </w:rPr>
        <w:t xml:space="preserve">Ability to think independently </w:t>
      </w:r>
    </w:p>
    <w:p>
      <w:pPr>
        <w:pStyle w:val="Normal"/>
        <w:numPr>
          <w:ilvl w:val="0"/>
          <w:numId w:val="4"/>
        </w:numPr>
        <w:tabs>
          <w:tab w:val="clear" w:pos="720"/>
          <w:tab w:val="left" w:pos="851" w:leader="none"/>
        </w:tabs>
        <w:ind w:left="1080" w:hanging="654"/>
        <w:jc w:val="both"/>
        <w:rPr>
          <w:rFonts w:ascii="Calibri" w:hAnsi="Calibri" w:eastAsia="Batang"/>
          <w:sz w:val="20"/>
          <w:lang w:val="en-AU"/>
        </w:rPr>
      </w:pPr>
      <w:r>
        <w:rPr>
          <w:rFonts w:eastAsia="Batang" w:ascii="Calibri" w:hAnsi="Calibri"/>
          <w:sz w:val="20"/>
          <w:lang w:val="en-AU"/>
        </w:rPr>
        <w:t xml:space="preserve">Ability to answer questions about the project. </w:t>
      </w:r>
    </w:p>
    <w:p>
      <w:pPr>
        <w:pStyle w:val="NormalWeb"/>
        <w:numPr>
          <w:ilvl w:val="0"/>
          <w:numId w:val="3"/>
        </w:numPr>
        <w:spacing w:before="0" w:after="0"/>
        <w:rPr>
          <w:rFonts w:ascii="Calibri" w:hAnsi="Calibri" w:eastAsia="Batang"/>
          <w:lang w:val="en-AU"/>
        </w:rPr>
      </w:pPr>
      <w:r>
        <w:rPr>
          <w:rFonts w:eastAsia="Batang" w:ascii="Calibri" w:hAnsi="Calibri"/>
          <w:lang w:val="en-AU"/>
        </w:rPr>
        <w:t>The committee will then make a recommendation to the head of department regarding candidature to either:</w:t>
      </w:r>
    </w:p>
    <w:p>
      <w:pPr>
        <w:pStyle w:val="Normal"/>
        <w:numPr>
          <w:ilvl w:val="0"/>
          <w:numId w:val="2"/>
        </w:numPr>
        <w:tabs>
          <w:tab w:val="clear" w:pos="720"/>
          <w:tab w:val="left" w:pos="-1985" w:leader="none"/>
          <w:tab w:val="left" w:pos="851" w:leader="none"/>
        </w:tabs>
        <w:ind w:left="851" w:hanging="425"/>
        <w:rPr>
          <w:rFonts w:ascii="Calibri" w:hAnsi="Calibri" w:eastAsia="Batang"/>
          <w:sz w:val="20"/>
          <w:lang w:val="en-AU"/>
        </w:rPr>
      </w:pPr>
      <w:r>
        <w:rPr>
          <w:rFonts w:eastAsia="Batang" w:ascii="Calibri" w:hAnsi="Calibri"/>
          <w:sz w:val="20"/>
          <w:lang w:val="en-AU"/>
        </w:rPr>
        <w:t>confirm candidature;</w:t>
      </w:r>
    </w:p>
    <w:p>
      <w:pPr>
        <w:pStyle w:val="Normal"/>
        <w:numPr>
          <w:ilvl w:val="0"/>
          <w:numId w:val="2"/>
        </w:numPr>
        <w:tabs>
          <w:tab w:val="clear" w:pos="720"/>
          <w:tab w:val="left" w:pos="-1985" w:leader="none"/>
          <w:tab w:val="left" w:pos="851" w:leader="none"/>
        </w:tabs>
        <w:ind w:left="851" w:hanging="425"/>
        <w:rPr>
          <w:rFonts w:ascii="Calibri" w:hAnsi="Calibri" w:eastAsia="Batang"/>
          <w:sz w:val="20"/>
          <w:lang w:val="en-AU"/>
        </w:rPr>
      </w:pPr>
      <w:r>
        <w:rPr>
          <w:rFonts w:eastAsia="Batang" w:ascii="Calibri" w:hAnsi="Calibri"/>
          <w:sz w:val="20"/>
          <w:lang w:val="en-AU"/>
        </w:rPr>
        <w:t>extend probationary candidature to a specified date; or</w:t>
      </w:r>
    </w:p>
    <w:p>
      <w:pPr>
        <w:pStyle w:val="Normal"/>
        <w:numPr>
          <w:ilvl w:val="0"/>
          <w:numId w:val="2"/>
        </w:numPr>
        <w:tabs>
          <w:tab w:val="clear" w:pos="720"/>
          <w:tab w:val="left" w:pos="-1985" w:leader="none"/>
          <w:tab w:val="left" w:pos="851" w:leader="none"/>
        </w:tabs>
        <w:ind w:left="851" w:hanging="425"/>
        <w:rPr>
          <w:rFonts w:ascii="Calibri" w:hAnsi="Calibri" w:eastAsia="Batang"/>
          <w:sz w:val="20"/>
          <w:lang w:val="en-AU"/>
        </w:rPr>
      </w:pPr>
      <w:r>
        <w:rPr>
          <w:rFonts w:eastAsia="Batang" w:ascii="Calibri" w:hAnsi="Calibri"/>
          <w:sz w:val="20"/>
          <w:lang w:val="en-AU"/>
        </w:rPr>
        <w:t>request a formal warning of unsatisfactory progress notification under the Doctor of Philosophy: Rules of the Academic Board and Statute 11.4 Unsatisfactory Progress.</w:t>
      </w:r>
    </w:p>
    <w:p>
      <w:pPr>
        <w:pStyle w:val="Normal"/>
        <w:numPr>
          <w:ilvl w:val="0"/>
          <w:numId w:val="3"/>
        </w:numPr>
        <w:jc w:val="both"/>
        <w:rPr>
          <w:rFonts w:ascii="Calibri" w:hAnsi="Calibri" w:eastAsia="Batang"/>
          <w:sz w:val="20"/>
          <w:lang w:val="en-AU"/>
        </w:rPr>
      </w:pPr>
      <w:r>
        <w:rPr>
          <w:rFonts w:eastAsia="Batang" w:ascii="Calibri" w:hAnsi="Calibri"/>
          <w:sz w:val="20"/>
          <w:lang w:val="en-AU"/>
        </w:rPr>
        <w:t xml:space="preserve">This information will be conveyed verbally to the student post-discussions as with ‘regular’ committee meetings, and followed by a written report prepared by the student’s mentor in consultation with the Committee Chair person and supervisors. </w:t>
      </w:r>
    </w:p>
    <w:p>
      <w:pPr>
        <w:pStyle w:val="Normal"/>
        <w:numPr>
          <w:ilvl w:val="0"/>
          <w:numId w:val="3"/>
        </w:numPr>
        <w:jc w:val="both"/>
        <w:rPr>
          <w:rFonts w:ascii="Calibri" w:hAnsi="Calibri" w:eastAsia="Batang"/>
          <w:sz w:val="20"/>
          <w:lang w:val="en-AU"/>
        </w:rPr>
      </w:pPr>
      <w:r>
        <w:rPr>
          <w:rFonts w:eastAsia="Batang" w:ascii="Calibri" w:hAnsi="Calibri"/>
          <w:sz w:val="20"/>
          <w:lang w:val="en-AU"/>
        </w:rPr>
        <w:t>The signed form and report must be submitted to Caroline Owen for sign-off by the Head of Department and for forwarding to the Faculty.</w:t>
      </w:r>
      <w:r>
        <w:br w:type="page"/>
      </w:r>
    </w:p>
    <w:p>
      <w:pPr>
        <w:pStyle w:val="Normal"/>
        <w:rPr>
          <w:rFonts w:ascii="Calibri" w:hAnsi="Calibri" w:cs="Arial"/>
          <w:b/>
          <w:b/>
          <w:szCs w:val="24"/>
          <w:lang w:val="en-AU"/>
        </w:rPr>
      </w:pPr>
      <w:r>
        <w:rPr>
          <w:rFonts w:ascii="Calibri" w:hAnsi="Calibri"/>
          <w:b/>
          <w:color w:val="660066"/>
          <w:szCs w:val="24"/>
          <w:lang w:val="en-AU"/>
        </w:rPr>
        <w:t>Student ID Number:</w:t>
      </w:r>
      <w:r>
        <w:rPr>
          <w:rFonts w:ascii="Calibri" w:hAnsi="Calibri"/>
          <w:szCs w:val="24"/>
          <w:lang w:val="en-AU"/>
        </w:rPr>
        <w:tab/>
        <w:t>693336</w:t>
        <w:tab/>
      </w:r>
      <w:r>
        <w:rPr>
          <w:rFonts w:cs="Arial" w:ascii="Calibri" w:hAnsi="Calibri"/>
          <w:b/>
          <w:color w:val="660066"/>
          <w:szCs w:val="24"/>
          <w:lang w:val="en-AU"/>
        </w:rPr>
        <w:t>Name of candidate</w:t>
      </w:r>
      <w:r>
        <w:rPr>
          <w:rFonts w:cs="Arial" w:ascii="Calibri" w:hAnsi="Calibri"/>
          <w:b/>
          <w:szCs w:val="24"/>
          <w:lang w:val="en-AU"/>
        </w:rPr>
        <w:t>:    Jack Daniel Chan</w:t>
        <w:tab/>
        <w:tab/>
        <w:tab/>
      </w:r>
    </w:p>
    <w:p>
      <w:pPr>
        <w:pStyle w:val="Normal"/>
        <w:rPr>
          <w:rFonts w:ascii="Calibri" w:hAnsi="Calibri"/>
          <w:b/>
          <w:b/>
          <w:szCs w:val="24"/>
          <w:lang w:val="en-AU"/>
        </w:rPr>
      </w:pPr>
      <w:r>
        <w:rPr>
          <w:rFonts w:ascii="Calibri" w:hAnsi="Calibri"/>
          <w:b/>
          <w:szCs w:val="24"/>
          <w:lang w:val="en-AU"/>
        </w:rPr>
      </w:r>
    </w:p>
    <w:p>
      <w:pPr>
        <w:pStyle w:val="PlainText"/>
        <w:spacing w:before="120" w:after="0"/>
        <w:rPr>
          <w:rFonts w:ascii="Calibri" w:hAnsi="Calibri" w:cs="Arial"/>
          <w:b/>
          <w:b/>
          <w:sz w:val="24"/>
          <w:szCs w:val="24"/>
          <w:lang w:val="en-AU"/>
        </w:rPr>
      </w:pPr>
      <w:r>
        <w:rPr>
          <w:rFonts w:cs="Arial" w:ascii="Calibri" w:hAnsi="Calibri"/>
          <w:b/>
          <w:color w:val="660066"/>
          <w:sz w:val="24"/>
          <w:szCs w:val="24"/>
          <w:lang w:val="en-AU"/>
        </w:rPr>
        <w:t>Title of the thesis</w:t>
      </w:r>
      <w:r>
        <w:rPr>
          <w:rFonts w:cs="Arial" w:ascii="Calibri" w:hAnsi="Calibri"/>
          <w:b/>
          <w:sz w:val="24"/>
          <w:szCs w:val="24"/>
          <w:lang w:val="en-AU"/>
        </w:rPr>
        <w:t>:   Enhancing CAR T cell immunotherapy through the overexpression of T-cell persistence associated transcription factors</w:t>
      </w:r>
    </w:p>
    <w:p>
      <w:pPr>
        <w:pStyle w:val="Normal"/>
        <w:spacing w:before="120" w:after="0"/>
        <w:rPr>
          <w:rFonts w:ascii="Calibri" w:hAnsi="Calibri"/>
          <w:b/>
          <w:b/>
          <w:szCs w:val="24"/>
          <w:lang w:val="en-AU"/>
        </w:rPr>
      </w:pPr>
      <w:r>
        <w:rPr>
          <w:rFonts w:ascii="Calibri" w:hAnsi="Calibri"/>
          <w:b/>
          <w:szCs w:val="24"/>
          <w:lang w:val="en-AU"/>
        </w:rPr>
      </w:r>
    </w:p>
    <w:p>
      <w:pPr>
        <w:pStyle w:val="Normal"/>
        <w:rPr>
          <w:rFonts w:ascii="Calibri" w:hAnsi="Calibri"/>
          <w:b/>
          <w:b/>
          <w:szCs w:val="24"/>
          <w:lang w:val="en-AU"/>
        </w:rPr>
      </w:pPr>
      <w:r>
        <w:rPr>
          <w:rFonts w:ascii="Calibri" w:hAnsi="Calibri"/>
          <w:b/>
          <w:szCs w:val="24"/>
          <w:lang w:val="en-AU"/>
        </w:rPr>
      </w:r>
    </w:p>
    <w:p>
      <w:pPr>
        <w:pStyle w:val="Normal"/>
        <w:spacing w:before="120" w:after="0"/>
        <w:rPr>
          <w:rFonts w:ascii="Calibri" w:hAnsi="Calibri" w:cs="Arial"/>
          <w:b/>
          <w:b/>
          <w:color w:val="660066"/>
          <w:szCs w:val="24"/>
          <w:lang w:val="en-AU"/>
        </w:rPr>
      </w:pPr>
      <w:r>
        <w:rPr>
          <w:rFonts w:cs="Arial" w:ascii="Calibri" w:hAnsi="Calibri"/>
          <w:b/>
          <w:color w:val="660066"/>
          <w:szCs w:val="24"/>
          <w:lang w:val="en-AU"/>
        </w:rPr>
        <w:t>Field of Research Codes:</w:t>
      </w:r>
    </w:p>
    <w:p>
      <w:pPr>
        <w:pStyle w:val="PlainText"/>
        <w:spacing w:before="120" w:after="0"/>
        <w:rPr>
          <w:rFonts w:ascii="Calibri" w:hAnsi="Calibri" w:cs="Arial"/>
          <w:b/>
          <w:b/>
          <w:sz w:val="24"/>
          <w:szCs w:val="24"/>
          <w:lang w:val="en-AU"/>
        </w:rPr>
      </w:pPr>
      <w:r>
        <w:rPr>
          <w:rFonts w:cs="Arial" w:ascii="Calibri" w:hAnsi="Calibri"/>
          <w:b/>
          <w:sz w:val="24"/>
          <w:szCs w:val="24"/>
          <w:lang w:val="en-AU"/>
        </w:rPr>
        <w:t>110703, 110799</w:t>
      </w:r>
    </w:p>
    <w:p>
      <w:pPr>
        <w:pStyle w:val="Normal"/>
        <w:spacing w:before="120" w:after="0"/>
        <w:rPr>
          <w:rFonts w:ascii="Calibri" w:hAnsi="Calibri"/>
          <w:b/>
          <w:b/>
          <w:szCs w:val="24"/>
          <w:lang w:val="en-AU"/>
        </w:rPr>
      </w:pPr>
      <w:r>
        <w:rPr>
          <w:rFonts w:ascii="Calibri" w:hAnsi="Calibri"/>
          <w:b/>
          <w:szCs w:val="24"/>
          <w:lang w:val="en-AU"/>
        </w:rPr>
      </w:r>
    </w:p>
    <w:p>
      <w:pPr>
        <w:pStyle w:val="Normal"/>
        <w:spacing w:before="120" w:after="0"/>
        <w:rPr>
          <w:rFonts w:ascii="Calibri" w:hAnsi="Calibri" w:cs="Arial"/>
          <w:b/>
          <w:b/>
          <w:color w:val="660066"/>
          <w:szCs w:val="24"/>
          <w:lang w:val="en-AU"/>
        </w:rPr>
      </w:pPr>
      <w:r>
        <w:rPr>
          <w:rFonts w:cs="Arial" w:ascii="Calibri" w:hAnsi="Calibri"/>
          <w:b/>
          <w:color w:val="660066"/>
          <w:szCs w:val="24"/>
          <w:lang w:val="en-AU"/>
        </w:rPr>
        <w:t>Abstract (approximately 100 words) that includes a concise statement of the research question</w:t>
      </w:r>
    </w:p>
    <w:p>
      <w:pPr>
        <w:pStyle w:val="PlainText"/>
        <w:spacing w:before="120" w:after="0"/>
        <w:rPr>
          <w:rFonts w:ascii="Calibri" w:hAnsi="Calibri" w:cs="Calibri"/>
          <w:b/>
          <w:b/>
          <w:sz w:val="24"/>
          <w:szCs w:val="24"/>
          <w:lang w:val="en-AU"/>
        </w:rPr>
      </w:pPr>
      <w:r>
        <w:rPr>
          <w:rFonts w:cs="Calibri" w:ascii="Calibri" w:hAnsi="Calibri"/>
          <w:sz w:val="24"/>
          <w:szCs w:val="24"/>
          <w:lang w:val="en-AU"/>
        </w:rPr>
        <w:t>Adoptive transfer of chimeric antigen receptor (CAR) T cells is an arm of immunotherapy that has achieved potent efficacy in the treatment of a subset of haematological malignancies. However, CAR T cell treatment of solid tumours is largely insufficient, due in part to poor CAR T cell persistence in the tumour and lymphoid tissues. Previous studies have shown that the adoptive transfer of more naïve or stem-like T cells are associated with improved T cell persistence, expansion and anti-tumour activity. Such T cells carry a specific gene transcription profile. To improve CAR T cell therapeutic activity, we will investigate if the overexpression of transcription factors associated with naïve and stem-like T cells can increase CAR T cell persistence and anti-tumour responses.</w:t>
      </w:r>
    </w:p>
    <w:p>
      <w:pPr>
        <w:pStyle w:val="PlainText"/>
        <w:spacing w:before="120" w:after="0"/>
        <w:rPr>
          <w:rFonts w:ascii="Calibri" w:hAnsi="Calibri" w:cs="Arial"/>
          <w:b/>
          <w:b/>
          <w:sz w:val="24"/>
          <w:szCs w:val="24"/>
          <w:lang w:val="en-AU"/>
        </w:rPr>
      </w:pPr>
      <w:r>
        <w:rPr>
          <w:rFonts w:cs="Arial" w:ascii="Calibri" w:hAnsi="Calibri"/>
          <w:b/>
          <w:sz w:val="24"/>
          <w:szCs w:val="24"/>
          <w:lang w:val="en-AU"/>
        </w:rPr>
      </w:r>
    </w:p>
    <w:p>
      <w:pPr>
        <w:pStyle w:val="Normal"/>
        <w:spacing w:before="120" w:after="0"/>
        <w:rPr>
          <w:rFonts w:ascii="Calibri" w:hAnsi="Calibri"/>
          <w:b/>
          <w:b/>
          <w:szCs w:val="24"/>
          <w:lang w:val="en-AU"/>
        </w:rPr>
      </w:pPr>
      <w:r>
        <w:rPr>
          <w:rFonts w:ascii="Calibri" w:hAnsi="Calibri"/>
          <w:b/>
          <w:szCs w:val="24"/>
          <w:lang w:val="en-AU"/>
        </w:rPr>
      </w:r>
      <w:r>
        <w:br w:type="page"/>
      </w:r>
    </w:p>
    <w:p>
      <w:pPr>
        <w:pStyle w:val="Normal"/>
        <w:spacing w:before="120" w:after="0"/>
        <w:rPr>
          <w:rFonts w:ascii="Calibri" w:hAnsi="Calibri" w:cs="Arial"/>
          <w:b/>
          <w:b/>
          <w:szCs w:val="24"/>
          <w:lang w:val="en-AU"/>
        </w:rPr>
      </w:pPr>
      <w:r>
        <w:rPr>
          <w:rFonts w:cs="Arial" w:ascii="Calibri" w:hAnsi="Calibri"/>
          <w:b/>
          <w:color w:val="660066"/>
          <w:szCs w:val="24"/>
          <w:lang w:val="en-AU"/>
        </w:rPr>
        <w:t>Literature Review</w:t>
      </w:r>
      <w:r>
        <w:rPr>
          <w:rFonts w:cs="Arial" w:ascii="Calibri" w:hAnsi="Calibri"/>
          <w:b/>
          <w:szCs w:val="24"/>
          <w:lang w:val="en-AU"/>
        </w:rPr>
        <w:t>:</w:t>
      </w:r>
    </w:p>
    <w:p>
      <w:pPr>
        <w:pStyle w:val="Normal"/>
        <w:spacing w:before="120" w:after="0"/>
        <w:rPr>
          <w:rFonts w:ascii="Calibri" w:hAnsi="Calibri" w:cs="Arial"/>
          <w:b/>
          <w:b/>
          <w:szCs w:val="24"/>
          <w:lang w:val="en-AU"/>
        </w:rPr>
      </w:pPr>
      <w:r>
        <w:rPr>
          <w:rFonts w:cs="Arial" w:ascii="Calibri" w:hAnsi="Calibri"/>
          <w:b/>
          <w:szCs w:val="24"/>
          <w:lang w:val="en-AU"/>
        </w:rPr>
      </w:r>
    </w:p>
    <w:p>
      <w:pPr>
        <w:pStyle w:val="Normal"/>
        <w:rPr>
          <w:rFonts w:ascii="Calibri" w:hAnsi="Calibri" w:cs="Calibri"/>
          <w:b/>
          <w:b/>
          <w:bCs/>
          <w:szCs w:val="24"/>
          <w:lang w:val="en-AU"/>
        </w:rPr>
      </w:pPr>
      <w:r>
        <w:rPr>
          <w:rFonts w:cs="Calibri" w:ascii="Calibri" w:hAnsi="Calibri"/>
          <w:b/>
          <w:bCs/>
          <w:szCs w:val="24"/>
          <w:lang w:val="en-AU"/>
        </w:rPr>
        <w:t>1. Introduction</w:t>
      </w:r>
    </w:p>
    <w:p>
      <w:pPr>
        <w:pStyle w:val="Normal"/>
        <w:rPr/>
      </w:pPr>
      <w:r>
        <w:rPr>
          <w:rFonts w:cs="Calibri" w:ascii="Calibri" w:hAnsi="Calibri"/>
          <w:szCs w:val="24"/>
          <w:lang w:val="en-AU"/>
        </w:rPr>
        <w:t xml:space="preserve">The immune system is a complex network of cells, tissues and molecules that is fundamental in the protection of the host against infection and plays important roles in preventing the growth of cancers </w:t>
      </w:r>
      <w:r>
        <w:fldChar w:fldCharType="begin"/>
      </w:r>
      <w:r>
        <w:rPr>
          <w:szCs w:val="24"/>
          <w:rFonts w:cs="Calibri" w:ascii="Calibri" w:hAnsi="Calibri"/>
        </w:rPr>
        <w:instrText>ADDIN EN.CITE &lt;EndNote&gt;&lt;Cite&gt;&lt;Author&gt;Vesely&lt;/Author&gt;&lt;Year&gt;2011&lt;/Year&gt;&lt;RecNum&gt;2&lt;/RecNum&gt;&lt;DisplayText&gt;(1)&lt;/DisplayText&gt;&lt;record&gt;&lt;rec-number&gt;2&lt;/rec-number&gt;&lt;foreign-keys&gt;&lt;key app="EN" db-id="0svr029aax0d22erzzkprfpvefwawtzaazpa" timestamp="1595979835"&gt;2&lt;/key&gt;&lt;/foreign-keys&gt;&lt;ref-type name="Journal Article"&gt;17&lt;/ref-type&gt;&lt;contributors&gt;&lt;authors&gt;&lt;author&gt;Vesely, M. D.&lt;/author&gt;&lt;author&gt;Kershaw, M. H.&lt;/author&gt;&lt;author&gt;Schreiber, R. D.&lt;/author&gt;&lt;author&gt;Smyth, M. J.&lt;/author&gt;&lt;/authors&gt;&lt;/contributors&gt;&lt;auth-address&gt;Department of Pathology and Immunology, Washington University School of Medicine, St. Louis, Missouri 63110, USA.&lt;/auth-address&gt;&lt;titles&gt;&lt;title&gt;Natural innate and adaptive immunity to cancer&lt;/title&gt;&lt;secondary-title&gt;Annu Rev Immunol&lt;/secondary-title&gt;&lt;/titles&gt;&lt;periodical&gt;&lt;full-title&gt;Annu Rev Immunol&lt;/full-title&gt;&lt;/periodical&gt;&lt;pages&gt;235-71&lt;/pages&gt;&lt;volume&gt;29&lt;/volume&gt;&lt;edition&gt;2011/01/12&lt;/edition&gt;&lt;keywords&gt;&lt;keyword&gt;Adaptive Immunity&lt;/keyword&gt;&lt;keyword&gt;Animals&lt;/keyword&gt;&lt;keyword&gt;Humans&lt;/keyword&gt;&lt;keyword&gt;Immunity, Innate&lt;/keyword&gt;&lt;keyword&gt;Immunologic Surveillance&lt;/keyword&gt;&lt;keyword&gt;Neoplasms/*immunology/physiopathology/therapy&lt;/keyword&gt;&lt;/keywords&gt;&lt;dates&gt;&lt;year&gt;2011&lt;/year&gt;&lt;/dates&gt;&lt;isbn&gt;1545-3278 (Electronic)&amp;#xD;0732-0582 (Linking)&lt;/isbn&gt;&lt;accession-num&gt;21219185&lt;/accession-num&gt;&lt;urls&gt;&lt;related-urls&gt;&lt;url&gt;https://www.ncbi.nlm.nih.gov/pubmed/21219185&lt;/url&gt;&lt;/related-urls&gt;&lt;/urls&gt;&lt;electronic-resource-num&gt;10.1146/annurev-immunol-031210-101324&lt;/electronic-resource-num&gt;&lt;/record&gt;&lt;/Cite&gt;&lt;/EndNote&gt;</w:instrText>
      </w:r>
      <w:r>
        <w:rPr>
          <w:szCs w:val="24"/>
          <w:rFonts w:cs="Calibri" w:ascii="Calibri" w:hAnsi="Calibri"/>
        </w:rPr>
        <w:fldChar w:fldCharType="separate"/>
      </w:r>
      <w:bookmarkStart w:id="0" w:name="Bookmark"/>
      <w:r>
        <w:rPr>
          <w:rFonts w:cs="Calibri" w:ascii="Calibri" w:hAnsi="Calibri"/>
          <w:szCs w:val="24"/>
          <w:lang w:val="en-AU"/>
        </w:rPr>
        <w:t>(1)</w:t>
      </w:r>
      <w:r>
        <w:rPr>
          <w:rFonts w:cs="Calibri" w:ascii="Calibri" w:hAnsi="Calibri"/>
          <w:szCs w:val="24"/>
          <w:lang w:val="en-AU"/>
        </w:rPr>
      </w:r>
      <w:r>
        <w:rPr>
          <w:szCs w:val="24"/>
          <w:rFonts w:cs="Calibri" w:ascii="Calibri" w:hAnsi="Calibri"/>
        </w:rPr>
        <w:fldChar w:fldCharType="end"/>
      </w:r>
      <w:bookmarkEnd w:id="0"/>
      <w:r>
        <w:rPr>
          <w:rFonts w:cs="Calibri" w:ascii="Calibri" w:hAnsi="Calibri"/>
          <w:szCs w:val="24"/>
          <w:lang w:val="en-AU"/>
        </w:rPr>
        <w:t xml:space="preserve">. Although an initially controversial concept, a number of studies using mouse models would directly confirm that a competent immune system is critical in inhibiting tumour development </w:t>
      </w:r>
      <w:r>
        <w:fldChar w:fldCharType="begin"/>
      </w:r>
      <w:r>
        <w:rPr>
          <w:szCs w:val="24"/>
          <w:rFonts w:cs="Calibri" w:ascii="Calibri" w:hAnsi="Calibri"/>
        </w:rPr>
        <w:instrText>ADDIN EN.CITE</w:instrText>
      </w:r>
      <w:r>
        <w:rPr>
          <w:szCs w:val="24"/>
          <w:rFonts w:cs="Calibri" w:ascii="Calibri" w:hAnsi="Calibri"/>
        </w:rPr>
        <w:fldChar w:fldCharType="separate"/>
      </w:r>
      <w:bookmarkStart w:id="1" w:name="Bookmark2"/>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2" w:name="Bookmark1"/>
      <w:bookmarkEnd w:id="1"/>
      <w:r>
        <w:rPr>
          <w:rFonts w:cs="Calibri" w:ascii="Calibri" w:hAnsi="Calibri"/>
          <w:szCs w:val="24"/>
          <w:lang w:val="en-AU"/>
        </w:rPr>
        <w:t>(2-4)</w:t>
      </w:r>
      <w:r>
        <w:rPr>
          <w:rFonts w:cs="Calibri" w:ascii="Calibri" w:hAnsi="Calibri"/>
          <w:szCs w:val="24"/>
          <w:lang w:val="en-AU"/>
        </w:rPr>
      </w:r>
      <w:r>
        <w:rPr>
          <w:szCs w:val="24"/>
          <w:rFonts w:cs="Calibri" w:ascii="Calibri" w:hAnsi="Calibri"/>
        </w:rPr>
        <w:fldChar w:fldCharType="end"/>
      </w:r>
      <w:bookmarkEnd w:id="2"/>
      <w:r>
        <w:rPr>
          <w:rFonts w:cs="Calibri" w:ascii="Calibri" w:hAnsi="Calibri"/>
          <w:szCs w:val="24"/>
          <w:lang w:val="en-AU"/>
        </w:rPr>
        <w:t xml:space="preserve">. Such evidence would lead to the concept of cancer immune surveillance that suggests immune cells continually survey and eliminate tumorigenic cells of the host </w:t>
      </w:r>
      <w:r>
        <w:fldChar w:fldCharType="begin"/>
      </w:r>
      <w:r>
        <w:rPr>
          <w:szCs w:val="24"/>
          <w:rFonts w:cs="Calibri" w:ascii="Calibri" w:hAnsi="Calibri"/>
        </w:rPr>
        <w:instrText>ADDIN EN.CITE &lt;EndNote&gt;&lt;Cite&gt;&lt;Author&gt;Kim&lt;/Author&gt;&lt;Year&gt;2007&lt;/Year&gt;&lt;RecNum&gt;50&lt;/RecNum&gt;&lt;DisplayText&gt;(5)&lt;/DisplayText&gt;&lt;record&gt;&lt;rec-number&gt;50&lt;/rec-number&gt;&lt;foreign-keys&gt;&lt;key app="EN" db-id="0svr029aax0d22erzzkprfpvefwawtzaazpa" timestamp="1596155878"&gt;50&lt;/key&gt;&lt;/foreign-keys&gt;&lt;ref-type name="Journal Article"&gt;17&lt;/ref-type&gt;&lt;contributors&gt;&lt;authors&gt;&lt;author&gt;Kim, Ryungsa&lt;/author&gt;&lt;author&gt;Emi, Manabu&lt;/author&gt;&lt;author&gt;Tanabe, Kazuaki&lt;/author&gt;&lt;/authors&gt;&lt;/contributors&gt;&lt;titles&gt;&lt;title&gt;Cancer immunoediting from immune surveillance to immune escape&lt;/title&gt;&lt;secondary-title&gt;Immunology&lt;/secondary-title&gt;&lt;alt-title&gt;Immunology&lt;/alt-title&gt;&lt;/titles&gt;&lt;periodical&gt;&lt;full-title&gt;Immunology&lt;/full-title&gt;&lt;/periodical&gt;&lt;alt-periodical&gt;&lt;full-title&gt;Immunology&lt;/full-title&gt;&lt;/alt-periodical&gt;&lt;pages&gt;1-14&lt;/pages&gt;&lt;volume&gt;121&lt;/volume&gt;&lt;number&gt;1&lt;/number&gt;&lt;edition&gt;2007/03/26&lt;/edition&gt;&lt;keywords&gt;&lt;keyword&gt;Cell Transformation, Neoplastic/immunology&lt;/keyword&gt;&lt;keyword&gt;Cytokines/immunology&lt;/keyword&gt;&lt;keyword&gt;Humans&lt;/keyword&gt;&lt;keyword&gt;*Immunologic Surveillance&lt;/keyword&gt;&lt;keyword&gt;Neoplasms/*immunology&lt;/keyword&gt;&lt;keyword&gt;*Tumor Escape&lt;/keyword&gt;&lt;/keywords&gt;&lt;dates&gt;&lt;year&gt;2007&lt;/year&gt;&lt;/dates&gt;&lt;publisher&gt;Blackwell Science Inc&lt;/publisher&gt;&lt;isbn&gt;0019-2805&amp;#xD;1365-2567&lt;/isbn&gt;&lt;accession-num&gt;17386080&lt;/accession-num&gt;&lt;urls&gt;&lt;related-urls&gt;&lt;url&gt;https://pubmed.ncbi.nlm.nih.gov/17386080&lt;/url&gt;&lt;url&gt;https://www.ncbi.nlm.nih.gov/pmc/articles/PMC2265921/&lt;/url&gt;&lt;/related-urls&gt;&lt;/urls&gt;&lt;electronic-resource-num&gt;10.1111/j.1365-2567.2007.02587.x&lt;/electronic-resource-num&gt;&lt;remote-database-name&gt;PubMed&lt;/remote-database-name&gt;&lt;language&gt;eng&lt;/language&gt;&lt;/record&gt;&lt;/Cite&gt;&lt;/EndNote&gt;</w:instrText>
      </w:r>
      <w:r>
        <w:rPr>
          <w:szCs w:val="24"/>
          <w:rFonts w:cs="Calibri" w:ascii="Calibri" w:hAnsi="Calibri"/>
        </w:rPr>
        <w:fldChar w:fldCharType="separate"/>
      </w:r>
      <w:bookmarkStart w:id="3" w:name="Bookmark3"/>
      <w:r>
        <w:rPr>
          <w:rFonts w:cs="Calibri" w:ascii="Calibri" w:hAnsi="Calibri"/>
          <w:szCs w:val="24"/>
          <w:lang w:val="en-AU"/>
        </w:rPr>
        <w:t>(5)</w:t>
      </w:r>
      <w:r>
        <w:rPr>
          <w:rFonts w:cs="Calibri" w:ascii="Calibri" w:hAnsi="Calibri"/>
          <w:szCs w:val="24"/>
          <w:lang w:val="en-AU"/>
        </w:rPr>
      </w:r>
      <w:r>
        <w:rPr>
          <w:szCs w:val="24"/>
          <w:rFonts w:cs="Calibri" w:ascii="Calibri" w:hAnsi="Calibri"/>
        </w:rPr>
        <w:fldChar w:fldCharType="end"/>
      </w:r>
      <w:bookmarkEnd w:id="3"/>
      <w:r>
        <w:rPr>
          <w:rFonts w:cs="Calibri" w:ascii="Calibri" w:hAnsi="Calibri"/>
          <w:szCs w:val="24"/>
          <w:lang w:val="en-AU"/>
        </w:rPr>
        <w:t xml:space="preserve">. However, in the event that tumorigenic cells evade and supress immune elimination, these cells may continue to grow and progress into clinical disease </w:t>
      </w:r>
      <w:r>
        <w:fldChar w:fldCharType="begin"/>
      </w:r>
      <w:r>
        <w:rPr>
          <w:szCs w:val="24"/>
          <w:rFonts w:cs="Calibri" w:ascii="Calibri" w:hAnsi="Calibri"/>
        </w:rPr>
        <w:instrText>ADDIN EN.CITE &lt;EndNote&gt;&lt;Cite&gt;&lt;Author&gt;Kim&lt;/Author&gt;&lt;Year&gt;2007&lt;/Year&gt;&lt;RecNum&gt;50&lt;/RecNum&gt;&lt;DisplayText&gt;(5)&lt;/DisplayText&gt;&lt;record&gt;&lt;rec-number&gt;50&lt;/rec-number&gt;&lt;foreign-keys&gt;&lt;key app="EN" db-id="0svr029aax0d22erzzkprfpvefwawtzaazpa" timestamp="1596155878"&gt;50&lt;/key&gt;&lt;/foreign-keys&gt;&lt;ref-type name="Journal Article"&gt;17&lt;/ref-type&gt;&lt;contributors&gt;&lt;authors&gt;&lt;author&gt;Kim, Ryungsa&lt;/author&gt;&lt;author&gt;Emi, Manabu&lt;/author&gt;&lt;author&gt;Tanabe, Kazuaki&lt;/author&gt;&lt;/authors&gt;&lt;/contributors&gt;&lt;titles&gt;&lt;title&gt;Cancer immunoediting from immune surveillance to immune escape&lt;/title&gt;&lt;secondary-title&gt;Immunology&lt;/secondary-title&gt;&lt;alt-title&gt;Immunology&lt;/alt-title&gt;&lt;/titles&gt;&lt;periodical&gt;&lt;full-title&gt;Immunology&lt;/full-title&gt;&lt;/periodical&gt;&lt;alt-periodical&gt;&lt;full-title&gt;Immunology&lt;/full-title&gt;&lt;/alt-periodical&gt;&lt;pages&gt;1-14&lt;/pages&gt;&lt;volume&gt;121&lt;/volume&gt;&lt;number&gt;1&lt;/number&gt;&lt;edition&gt;2007/03/26&lt;/edition&gt;&lt;keywords&gt;&lt;keyword&gt;Cell Transformation, Neoplastic/immunology&lt;/keyword&gt;&lt;keyword&gt;Cytokines/immunology&lt;/keyword&gt;&lt;keyword&gt;Humans&lt;/keyword&gt;&lt;keyword&gt;*Immunologic Surveillance&lt;/keyword&gt;&lt;keyword&gt;Neoplasms/*immunology&lt;/keyword&gt;&lt;keyword&gt;*Tumor Escape&lt;/keyword&gt;&lt;/keywords&gt;&lt;dates&gt;&lt;year&gt;2007&lt;/year&gt;&lt;/dates&gt;&lt;publisher&gt;Blackwell Science Inc&lt;/publisher&gt;&lt;isbn&gt;0019-2805&amp;#xD;1365-2567&lt;/isbn&gt;&lt;accession-num&gt;17386080&lt;/accession-num&gt;&lt;urls&gt;&lt;related-urls&gt;&lt;url&gt;https://pubmed.ncbi.nlm.nih.gov/17386080&lt;/url&gt;&lt;url&gt;https://www.ncbi.nlm.nih.gov/pmc/articles/PMC2265921/&lt;/url&gt;&lt;/related-urls&gt;&lt;/urls&gt;&lt;electronic-resource-num&gt;10.1111/j.1365-2567.2007.02587.x&lt;/electronic-resource-num&gt;&lt;remote-database-name&gt;PubMed&lt;/remote-database-name&gt;&lt;language&gt;eng&lt;/language&gt;&lt;/record&gt;&lt;/Cite&gt;&lt;/EndNote&gt;</w:instrText>
      </w:r>
      <w:r>
        <w:rPr>
          <w:szCs w:val="24"/>
          <w:rFonts w:cs="Calibri" w:ascii="Calibri" w:hAnsi="Calibri"/>
        </w:rPr>
        <w:fldChar w:fldCharType="separate"/>
      </w:r>
      <w:bookmarkStart w:id="4" w:name="Bookmark4"/>
      <w:r>
        <w:rPr>
          <w:rFonts w:cs="Calibri" w:ascii="Calibri" w:hAnsi="Calibri"/>
          <w:szCs w:val="24"/>
          <w:lang w:val="en-AU"/>
        </w:rPr>
        <w:t>(5)</w:t>
      </w:r>
      <w:r>
        <w:rPr>
          <w:rFonts w:cs="Calibri" w:ascii="Calibri" w:hAnsi="Calibri"/>
          <w:szCs w:val="24"/>
          <w:lang w:val="en-AU"/>
        </w:rPr>
      </w:r>
      <w:r>
        <w:rPr>
          <w:szCs w:val="24"/>
          <w:rFonts w:cs="Calibri" w:ascii="Calibri" w:hAnsi="Calibri"/>
        </w:rPr>
        <w:fldChar w:fldCharType="end"/>
      </w:r>
      <w:bookmarkEnd w:id="4"/>
      <w:r>
        <w:rPr>
          <w:rFonts w:cs="Calibri" w:ascii="Calibri" w:hAnsi="Calibri"/>
          <w:szCs w:val="24"/>
          <w:lang w:val="en-AU"/>
        </w:rPr>
        <w:t>.</w:t>
      </w:r>
    </w:p>
    <w:p>
      <w:pPr>
        <w:pStyle w:val="Normal"/>
        <w:rPr>
          <w:rFonts w:ascii="Calibri" w:hAnsi="Calibri" w:cs="Calibri"/>
          <w:szCs w:val="24"/>
          <w:lang w:val="en-AU"/>
        </w:rPr>
      </w:pPr>
      <w:r>
        <w:rPr>
          <w:rFonts w:cs="Calibri" w:ascii="Calibri" w:hAnsi="Calibri"/>
          <w:szCs w:val="24"/>
          <w:lang w:val="en-AU"/>
        </w:rPr>
      </w:r>
    </w:p>
    <w:p>
      <w:pPr>
        <w:pStyle w:val="Normal"/>
        <w:rPr/>
      </w:pPr>
      <w:r>
        <w:rPr>
          <w:rFonts w:cs="Calibri" w:ascii="Calibri" w:hAnsi="Calibri"/>
          <w:szCs w:val="24"/>
          <w:lang w:val="en-AU"/>
        </w:rPr>
        <w:t xml:space="preserve">Immunotherapeutic strategies aim to utilise or re-instate the host anti-tumour immune responses to treat cancers. Immunotherapies act to promote immune recognition of tumour cell antigens and circumvent tumour mediated immunosuppressive mechanisms. A number of immunotherapies are currently approved for clinical use including immune checkpoint blockade and chimeric antigen receptor (CAR) T cell therapy. The robust, clinical responses of CAR T cell therapy observed in the treatment of a subset of haematological malignancies has generated interest in the treatment of solid tumours </w:t>
      </w:r>
      <w:r>
        <w:fldChar w:fldCharType="begin"/>
      </w:r>
      <w:r>
        <w:rPr>
          <w:szCs w:val="24"/>
          <w:rFonts w:cs="Calibri" w:ascii="Calibri" w:hAnsi="Calibri"/>
        </w:rPr>
        <w:instrText>ADDIN EN.CITE</w:instrText>
      </w:r>
      <w:r>
        <w:rPr>
          <w:szCs w:val="24"/>
          <w:rFonts w:cs="Calibri" w:ascii="Calibri" w:hAnsi="Calibri"/>
        </w:rPr>
        <w:fldChar w:fldCharType="separate"/>
      </w:r>
      <w:bookmarkStart w:id="5" w:name="Bookmark6"/>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6" w:name="Bookmark5"/>
      <w:bookmarkEnd w:id="5"/>
      <w:r>
        <w:rPr>
          <w:rFonts w:cs="Calibri" w:ascii="Calibri" w:hAnsi="Calibri"/>
          <w:szCs w:val="24"/>
          <w:lang w:val="en-AU"/>
        </w:rPr>
        <w:t>(6, 7)</w:t>
      </w:r>
      <w:r>
        <w:rPr>
          <w:rFonts w:cs="Calibri" w:ascii="Calibri" w:hAnsi="Calibri"/>
          <w:szCs w:val="24"/>
          <w:lang w:val="en-AU"/>
        </w:rPr>
      </w:r>
      <w:r>
        <w:rPr>
          <w:szCs w:val="24"/>
          <w:rFonts w:cs="Calibri" w:ascii="Calibri" w:hAnsi="Calibri"/>
        </w:rPr>
        <w:fldChar w:fldCharType="end"/>
      </w:r>
      <w:bookmarkEnd w:id="6"/>
      <w:r>
        <w:rPr>
          <w:rFonts w:cs="Calibri" w:ascii="Calibri" w:hAnsi="Calibri"/>
          <w:szCs w:val="24"/>
          <w:lang w:val="en-AU"/>
        </w:rPr>
        <w:t xml:space="preserve">. Presently however, most patients bearing solid tumours do not respond to CAR T cell therapy. Poor responses are often associated with tumour microenvironment (TME) driven immunosuppression, CAR T cell dysfunction, and poor CAR T cell persistence </w:t>
      </w:r>
      <w:r>
        <w:fldChar w:fldCharType="begin"/>
      </w:r>
      <w:r>
        <w:rPr>
          <w:szCs w:val="24"/>
          <w:rFonts w:cs="Calibri" w:ascii="Calibri" w:hAnsi="Calibri"/>
        </w:rPr>
        <w:instrText>ADDIN EN.CITE &lt;EndNote&gt;&lt;Cite&gt;&lt;Author&gt;Yong&lt;/Author&gt;&lt;Year&gt;2017&lt;/Year&gt;&lt;RecNum&gt;8&lt;/RecNum&gt;&lt;DisplayText&gt;(8)&lt;/DisplayText&gt;&lt;record&gt;&lt;rec-number&gt;8&lt;/rec-number&gt;&lt;foreign-keys&gt;&lt;key app="EN" db-id="0svr029aax0d22erzzkprfpvefwawtzaazpa" timestamp="1595979835"&gt;8&lt;/key&gt;&lt;/foreign-keys&gt;&lt;ref-type name="Journal Article"&gt;17&lt;/ref-type&gt;&lt;contributors&gt;&lt;authors&gt;&lt;author&gt;Yong, Carmen S M&lt;/author&gt;&lt;author&gt;Dardalhon, Valerie&lt;/author&gt;&lt;author&gt;Devaud, Christel&lt;/author&gt;&lt;author&gt;Taylor, Naomi&lt;/author&gt;&lt;author&gt;Darcy, Phillip K&lt;/author&gt;&lt;author&gt;Kershaw, Michael H&lt;/author&gt;&lt;/authors&gt;&lt;/contributors&gt;&lt;titles&gt;&lt;title&gt;CAR T-cell therapy of solid tumors&lt;/title&gt;&lt;secondary-title&gt;Immunology &amp;amp; Cell Biology&lt;/secondary-title&gt;&lt;/titles&gt;&lt;periodical&gt;&lt;full-title&gt;Immunology &amp;amp; Cell Biology&lt;/full-title&gt;&lt;/periodical&gt;&lt;pages&gt;356-363&lt;/pages&gt;&lt;volume&gt;95&lt;/volume&gt;&lt;number&gt;4&lt;/number&gt;&lt;dates&gt;&lt;year&gt;2017&lt;/year&gt;&lt;/dates&gt;&lt;isbn&gt;0818-9641&lt;/isbn&gt;&lt;urls&gt;&lt;related-urls&gt;&lt;url&gt;https://onlinelibrary.wiley.com/doi/abs/10.1038/icb.2016.128&lt;/url&gt;&lt;/related-urls&gt;&lt;/urls&gt;&lt;electronic-resource-num&gt;10.1038/icb.2016.128&lt;/electronic-resource-num&gt;&lt;/record&gt;&lt;/Cite&gt;&lt;/EndNote&gt;</w:instrText>
      </w:r>
      <w:r>
        <w:rPr>
          <w:szCs w:val="24"/>
          <w:rFonts w:cs="Calibri" w:ascii="Calibri" w:hAnsi="Calibri"/>
        </w:rPr>
        <w:fldChar w:fldCharType="separate"/>
      </w:r>
      <w:bookmarkStart w:id="7" w:name="Bookmark7"/>
      <w:r>
        <w:rPr>
          <w:rFonts w:cs="Calibri" w:ascii="Calibri" w:hAnsi="Calibri"/>
          <w:szCs w:val="24"/>
          <w:lang w:val="en-AU"/>
        </w:rPr>
        <w:t>(8)</w:t>
      </w:r>
      <w:r>
        <w:rPr>
          <w:rFonts w:cs="Calibri" w:ascii="Calibri" w:hAnsi="Calibri"/>
          <w:szCs w:val="24"/>
          <w:lang w:val="en-AU"/>
        </w:rPr>
      </w:r>
      <w:r>
        <w:rPr>
          <w:szCs w:val="24"/>
          <w:rFonts w:cs="Calibri" w:ascii="Calibri" w:hAnsi="Calibri"/>
        </w:rPr>
        <w:fldChar w:fldCharType="end"/>
      </w:r>
      <w:bookmarkEnd w:id="7"/>
      <w:r>
        <w:rPr>
          <w:rFonts w:cs="Calibri" w:ascii="Calibri" w:hAnsi="Calibri"/>
          <w:szCs w:val="24"/>
          <w:lang w:val="en-AU"/>
        </w:rPr>
        <w:t>. Therefore, there is a need to optimise CAR T cell treatment strategies to improve patient outcomes.</w:t>
      </w:r>
    </w:p>
    <w:p>
      <w:pPr>
        <w:pStyle w:val="Normal"/>
        <w:rPr>
          <w:rFonts w:ascii="Calibri" w:hAnsi="Calibri" w:cs="Calibri"/>
          <w:szCs w:val="24"/>
          <w:lang w:val="en-AU"/>
        </w:rPr>
      </w:pPr>
      <w:r>
        <w:rPr>
          <w:rFonts w:cs="Calibri" w:ascii="Calibri" w:hAnsi="Calibri"/>
          <w:szCs w:val="24"/>
          <w:lang w:val="en-AU"/>
        </w:rPr>
      </w:r>
    </w:p>
    <w:p>
      <w:pPr>
        <w:pStyle w:val="Normal"/>
        <w:rPr>
          <w:rFonts w:ascii="Calibri" w:hAnsi="Calibri" w:cs="Calibri"/>
          <w:szCs w:val="24"/>
          <w:lang w:val="en-AU"/>
        </w:rPr>
      </w:pPr>
      <w:r>
        <w:rPr>
          <w:rFonts w:cs="Calibri" w:ascii="Calibri" w:hAnsi="Calibri"/>
          <w:szCs w:val="24"/>
          <w:lang w:val="en-AU"/>
        </w:rPr>
        <w:t>This review will provide a background to innate and adaptive immunity and will primarily discuss CD8</w:t>
      </w:r>
      <w:r>
        <w:rPr>
          <w:rFonts w:cs="Calibri" w:ascii="Calibri" w:hAnsi="Calibri"/>
          <w:szCs w:val="24"/>
          <w:vertAlign w:val="superscript"/>
          <w:lang w:val="en-AU"/>
        </w:rPr>
        <w:t>+</w:t>
      </w:r>
      <w:r>
        <w:rPr>
          <w:rFonts w:cs="Calibri" w:ascii="Calibri" w:hAnsi="Calibri"/>
          <w:szCs w:val="24"/>
          <w:lang w:val="en-AU"/>
        </w:rPr>
        <w:t xml:space="preserve"> T lymphocytes in the context of cancer. An overview will be provided on T cell memory subsets and the mechanisms exploited by tumour cells to avoid T cell elimination. CAR T cells as a modality of adoptive immunotherapy and the challenges faced in treatment of solid tumours will be explored. Finally, this review will discuss methodologies that aim to improve CAR T cell longevity and efficacy by targeting specific T lymphocyte subsets.</w:t>
      </w:r>
    </w:p>
    <w:p>
      <w:pPr>
        <w:pStyle w:val="Normal"/>
        <w:rPr>
          <w:rFonts w:ascii="Calibri" w:hAnsi="Calibri" w:cs="Calibri"/>
          <w:szCs w:val="24"/>
          <w:lang w:val="en-AU"/>
        </w:rPr>
      </w:pPr>
      <w:r>
        <w:rPr>
          <w:rFonts w:cs="Calibri" w:ascii="Calibri" w:hAnsi="Calibri"/>
          <w:szCs w:val="24"/>
          <w:lang w:val="en-AU"/>
        </w:rPr>
      </w:r>
    </w:p>
    <w:p>
      <w:pPr>
        <w:pStyle w:val="Normal"/>
        <w:rPr>
          <w:rFonts w:ascii="Calibri" w:hAnsi="Calibri" w:cs="Calibri"/>
          <w:b/>
          <w:b/>
          <w:bCs/>
          <w:szCs w:val="24"/>
          <w:lang w:val="en-AU"/>
        </w:rPr>
      </w:pPr>
      <w:r>
        <w:rPr>
          <w:rFonts w:cs="Calibri" w:ascii="Calibri" w:hAnsi="Calibri"/>
          <w:b/>
          <w:bCs/>
          <w:szCs w:val="24"/>
          <w:lang w:val="en-AU"/>
        </w:rPr>
        <w:t>2. Innate immunity</w:t>
      </w:r>
    </w:p>
    <w:p>
      <w:pPr>
        <w:pStyle w:val="Normal"/>
        <w:rPr/>
      </w:pPr>
      <w:r>
        <w:rPr>
          <w:rFonts w:cs="Calibri" w:ascii="Calibri" w:hAnsi="Calibri"/>
          <w:szCs w:val="24"/>
          <w:lang w:val="en-AU"/>
        </w:rPr>
        <w:t xml:space="preserve">The innate immune system is the first line of defence against pathogens. It consists of physical and chemical barriers as well as cellular factors. Cells of the innate immune system are recruited to sites of inflammation such as damaged tissues, sites of developing infection or the developing tumour </w:t>
      </w:r>
      <w:r>
        <w:fldChar w:fldCharType="begin"/>
      </w:r>
      <w:r>
        <w:rPr>
          <w:szCs w:val="24"/>
          <w:rFonts w:cs="Calibri" w:ascii="Calibri" w:hAnsi="Calibri"/>
        </w:rPr>
        <w:instrText>ADDIN EN.CITE &lt;EndNote&gt;&lt;Cite&gt;&lt;Author&gt;Corrales&lt;/Author&gt;&lt;Year&gt;2017&lt;/Year&gt;&lt;RecNum&gt;51&lt;/RecNum&gt;&lt;DisplayText&gt;(9)&lt;/DisplayText&gt;&lt;record&gt;&lt;rec-number&gt;51&lt;/rec-number&gt;&lt;foreign-keys&gt;&lt;key app="EN" db-id="0svr029aax0d22erzzkprfpvefwawtzaazpa" timestamp="1596157523"&gt;51&lt;/key&gt;&lt;/foreign-keys&gt;&lt;ref-type name="Journal Article"&gt;17&lt;/ref-type&gt;&lt;contributors&gt;&lt;authors&gt;&lt;author&gt;Corrales, Leticia&lt;/author&gt;&lt;author&gt;Matson, Vyara&lt;/author&gt;&lt;author&gt;Flood, Blake&lt;/author&gt;&lt;author&gt;Spranger, Stefani&lt;/author&gt;&lt;author&gt;Gajewski, Thomas F.&lt;/author&gt;&lt;/authors&gt;&lt;/contributors&gt;&lt;titles&gt;&lt;title&gt;Innate immune signaling and regulation in cancer immunotherapy&lt;/title&gt;&lt;secondary-title&gt;Cell Research&lt;/secondary-title&gt;&lt;/titles&gt;&lt;periodical&gt;&lt;full-title&gt;Cell Research&lt;/full-title&gt;&lt;/periodical&gt;&lt;pages&gt;96-108&lt;/pages&gt;&lt;volume&gt;27&lt;/volume&gt;&lt;number&gt;1&lt;/number&gt;&lt;dates&gt;&lt;year&gt;2017&lt;/year&gt;&lt;pub-dates&gt;&lt;date&gt;2017/01/01&lt;/date&gt;&lt;/pub-dates&gt;&lt;/dates&gt;&lt;isbn&gt;1748-7838&lt;/isbn&gt;&lt;urls&gt;&lt;related-urls&gt;&lt;url&gt;https://doi.org/10.1038/cr.2016.149&lt;/url&gt;&lt;/related-urls&gt;&lt;/urls&gt;&lt;electronic-resource-num&gt;10.1038/cr.2016.149&lt;/electronic-resource-num&gt;&lt;/record&gt;&lt;/Cite&gt;&lt;/EndNote&gt;</w:instrText>
      </w:r>
      <w:r>
        <w:rPr>
          <w:szCs w:val="24"/>
          <w:rFonts w:cs="Calibri" w:ascii="Calibri" w:hAnsi="Calibri"/>
        </w:rPr>
        <w:fldChar w:fldCharType="separate"/>
      </w:r>
      <w:bookmarkStart w:id="8" w:name="Bookmark8"/>
      <w:r>
        <w:rPr>
          <w:rFonts w:cs="Calibri" w:ascii="Calibri" w:hAnsi="Calibri"/>
          <w:szCs w:val="24"/>
          <w:lang w:val="en-AU"/>
        </w:rPr>
        <w:t>(9)</w:t>
      </w:r>
      <w:r>
        <w:rPr>
          <w:rFonts w:cs="Calibri" w:ascii="Calibri" w:hAnsi="Calibri"/>
          <w:szCs w:val="24"/>
          <w:lang w:val="en-AU"/>
        </w:rPr>
      </w:r>
      <w:r>
        <w:rPr>
          <w:szCs w:val="24"/>
          <w:rFonts w:cs="Calibri" w:ascii="Calibri" w:hAnsi="Calibri"/>
        </w:rPr>
        <w:fldChar w:fldCharType="end"/>
      </w:r>
      <w:bookmarkEnd w:id="8"/>
      <w:r>
        <w:rPr>
          <w:rFonts w:cs="Calibri" w:ascii="Calibri" w:hAnsi="Calibri"/>
          <w:szCs w:val="24"/>
          <w:lang w:val="en-AU"/>
        </w:rPr>
        <w:t xml:space="preserve">. Innate immune cells respond in a non-specific manner through pattern recognition receptors (PRRs) that recognise common molecular patterns associated with pathogens, damaged cells or tumorigenic cells </w:t>
      </w:r>
      <w:r>
        <w:fldChar w:fldCharType="begin"/>
      </w:r>
      <w:r>
        <w:rPr>
          <w:szCs w:val="24"/>
          <w:rFonts w:cs="Calibri" w:ascii="Calibri" w:hAnsi="Calibri"/>
        </w:rPr>
        <w:instrText>ADDIN EN.CITE</w:instrText>
      </w:r>
      <w:r>
        <w:rPr>
          <w:szCs w:val="24"/>
          <w:rFonts w:cs="Calibri" w:ascii="Calibri" w:hAnsi="Calibri"/>
        </w:rPr>
        <w:fldChar w:fldCharType="separate"/>
      </w:r>
      <w:bookmarkStart w:id="9" w:name="Bookmark10"/>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10" w:name="Bookmark9"/>
      <w:bookmarkEnd w:id="9"/>
      <w:r>
        <w:rPr>
          <w:rFonts w:cs="Calibri" w:ascii="Calibri" w:hAnsi="Calibri"/>
          <w:szCs w:val="24"/>
          <w:lang w:val="en-AU"/>
        </w:rPr>
        <w:t>(10, 11)</w:t>
      </w:r>
      <w:r>
        <w:rPr>
          <w:rFonts w:cs="Calibri" w:ascii="Calibri" w:hAnsi="Calibri"/>
          <w:szCs w:val="24"/>
          <w:lang w:val="en-AU"/>
        </w:rPr>
      </w:r>
      <w:r>
        <w:rPr>
          <w:szCs w:val="24"/>
          <w:rFonts w:cs="Calibri" w:ascii="Calibri" w:hAnsi="Calibri"/>
        </w:rPr>
        <w:fldChar w:fldCharType="end"/>
      </w:r>
      <w:bookmarkEnd w:id="10"/>
      <w:r>
        <w:rPr>
          <w:rFonts w:cs="Calibri" w:ascii="Calibri" w:hAnsi="Calibri"/>
          <w:szCs w:val="24"/>
          <w:lang w:val="en-AU"/>
        </w:rPr>
        <w:t xml:space="preserve">. </w:t>
      </w:r>
    </w:p>
    <w:p>
      <w:pPr>
        <w:pStyle w:val="Normal"/>
        <w:rPr>
          <w:rFonts w:ascii="Calibri" w:hAnsi="Calibri" w:cs="Calibri"/>
          <w:szCs w:val="24"/>
          <w:lang w:val="en-AU"/>
        </w:rPr>
      </w:pPr>
      <w:r>
        <w:rPr>
          <w:rFonts w:cs="Calibri" w:ascii="Calibri" w:hAnsi="Calibri"/>
          <w:szCs w:val="24"/>
          <w:lang w:val="en-AU"/>
        </w:rPr>
      </w:r>
    </w:p>
    <w:p>
      <w:pPr>
        <w:pStyle w:val="Normal"/>
        <w:rPr/>
      </w:pPr>
      <w:r>
        <w:rPr>
          <w:rFonts w:cs="Calibri" w:ascii="Calibri" w:hAnsi="Calibri"/>
          <w:szCs w:val="24"/>
          <w:lang w:val="en-AU"/>
        </w:rPr>
        <w:t xml:space="preserve">A key role of the innate immune system, is the recruitment of the adaptive arm through antigen presentation. In the context of the developing tumour and inflammatory signals, professional antigen presenting cells (APCs), predominantly dendritic cells (DCs), endocytose tumour peptide antigens and travel to draining lymph nodes through the lymphatic system </w:t>
      </w:r>
      <w:r>
        <w:fldChar w:fldCharType="begin"/>
      </w:r>
      <w:r>
        <w:rPr>
          <w:szCs w:val="24"/>
          <w:rFonts w:cs="Calibri" w:ascii="Calibri" w:hAnsi="Calibri"/>
        </w:rPr>
        <w:instrText>ADDIN EN.CITE &lt;EndNote&gt;&lt;Cite&gt;&lt;Author&gt;Beutler&lt;/Author&gt;&lt;Year&gt;2004&lt;/Year&gt;&lt;RecNum&gt;13&lt;/RecNum&gt;&lt;DisplayText&gt;(12)&lt;/DisplayText&gt;&lt;record&gt;&lt;rec-number&gt;13&lt;/rec-number&gt;&lt;foreign-keys&gt;&lt;key app="EN" db-id="0svr029aax0d22erzzkprfpvefwawtzaazpa" timestamp="1595984419"&gt;13&lt;/key&gt;&lt;/foreign-keys&gt;&lt;ref-type name="Journal Article"&gt;17&lt;/ref-type&gt;&lt;contributors&gt;&lt;authors&gt;&lt;author&gt;Beutler, Bruce&lt;/author&gt;&lt;/authors&gt;&lt;/contributors&gt;&lt;titles&gt;&lt;title&gt;Innate immunity: an overview&lt;/title&gt;&lt;secondary-title&gt;Molecular Immunology&lt;/secondary-title&gt;&lt;/titles&gt;&lt;periodical&gt;&lt;full-title&gt;Molecular Immunology&lt;/full-title&gt;&lt;/periodical&gt;&lt;pages&gt;845-859&lt;/pages&gt;&lt;volume&gt;40&lt;/volume&gt;&lt;number&gt;12&lt;/number&gt;&lt;keywords&gt;&lt;keyword&gt;Innate immunity&lt;/keyword&gt;&lt;keyword&gt;Lipopolysaccharide&lt;/keyword&gt;&lt;keyword&gt;Sepsis&lt;/keyword&gt;&lt;keyword&gt;Toll like receptors&lt;/keyword&gt;&lt;keyword&gt;TIR adapter proteins&lt;/keyword&gt;&lt;keyword&gt;Infection&lt;/keyword&gt;&lt;/keywords&gt;&lt;dates&gt;&lt;year&gt;2004&lt;/year&gt;&lt;pub-dates&gt;&lt;date&gt;2004/02/01/&lt;/date&gt;&lt;/pub-dates&gt;&lt;/dates&gt;&lt;isbn&gt;0161-5890&lt;/isbn&gt;&lt;urls&gt;&lt;related-urls&gt;&lt;url&gt;http://www.sciencedirect.com/science/article/pii/S016158900300316X&lt;/url&gt;&lt;/related-urls&gt;&lt;/urls&gt;&lt;electronic-resource-num&gt;https://doi.org/10.1016/j.molimm.2003.10.005&lt;/electronic-resource-num&gt;&lt;/record&gt;&lt;/Cite&gt;&lt;/EndNote&gt;</w:instrText>
      </w:r>
      <w:r>
        <w:rPr>
          <w:szCs w:val="24"/>
          <w:rFonts w:cs="Calibri" w:ascii="Calibri" w:hAnsi="Calibri"/>
        </w:rPr>
        <w:fldChar w:fldCharType="separate"/>
      </w:r>
      <w:bookmarkStart w:id="11" w:name="Bookmark11"/>
      <w:r>
        <w:rPr>
          <w:rFonts w:cs="Calibri" w:ascii="Calibri" w:hAnsi="Calibri"/>
          <w:szCs w:val="24"/>
          <w:lang w:val="en-AU"/>
        </w:rPr>
        <w:t>(12)</w:t>
      </w:r>
      <w:r>
        <w:rPr>
          <w:rFonts w:cs="Calibri" w:ascii="Calibri" w:hAnsi="Calibri"/>
          <w:szCs w:val="24"/>
          <w:lang w:val="en-AU"/>
        </w:rPr>
      </w:r>
      <w:r>
        <w:rPr>
          <w:szCs w:val="24"/>
          <w:rFonts w:cs="Calibri" w:ascii="Calibri" w:hAnsi="Calibri"/>
        </w:rPr>
        <w:fldChar w:fldCharType="end"/>
      </w:r>
      <w:bookmarkEnd w:id="11"/>
      <w:r>
        <w:rPr>
          <w:rFonts w:cs="Calibri" w:ascii="Calibri" w:hAnsi="Calibri"/>
          <w:szCs w:val="24"/>
          <w:lang w:val="en-AU"/>
        </w:rPr>
        <w:t xml:space="preserve">. Here, APCs, present tumour peptide antigens to T cells of the adaptive immune system on major histocompatibility complex (MHC) molecules to facilitate T cell activation and cellular immune responses against tumour cells </w:t>
      </w:r>
      <w:r>
        <w:fldChar w:fldCharType="begin"/>
      </w:r>
      <w:r>
        <w:rPr>
          <w:szCs w:val="24"/>
          <w:rFonts w:cs="Calibri" w:ascii="Calibri" w:hAnsi="Calibri"/>
        </w:rPr>
        <w:instrText>ADDIN EN.CITE &lt;EndNote&gt;&lt;Cite&gt;&lt;Author&gt;Beutler&lt;/Author&gt;&lt;Year&gt;2004&lt;/Year&gt;&lt;RecNum&gt;13&lt;/RecNum&gt;&lt;DisplayText&gt;(12)&lt;/DisplayText&gt;&lt;record&gt;&lt;rec-number&gt;13&lt;/rec-number&gt;&lt;foreign-keys&gt;&lt;key app="EN" db-id="0svr029aax0d22erzzkprfpvefwawtzaazpa" timestamp="1595984419"&gt;13&lt;/key&gt;&lt;/foreign-keys&gt;&lt;ref-type name="Journal Article"&gt;17&lt;/ref-type&gt;&lt;contributors&gt;&lt;authors&gt;&lt;author&gt;Beutler, Bruce&lt;/author&gt;&lt;/authors&gt;&lt;/contributors&gt;&lt;titles&gt;&lt;title&gt;Innate immunity: an overview&lt;/title&gt;&lt;secondary-title&gt;Molecular Immunology&lt;/secondary-title&gt;&lt;/titles&gt;&lt;periodical&gt;&lt;full-title&gt;Molecular Immunology&lt;/full-title&gt;&lt;/periodical&gt;&lt;pages&gt;845-859&lt;/pages&gt;&lt;volume&gt;40&lt;/volume&gt;&lt;number&gt;12&lt;/number&gt;&lt;keywords&gt;&lt;keyword&gt;Innate immunity&lt;/keyword&gt;&lt;keyword&gt;Lipopolysaccharide&lt;/keyword&gt;&lt;keyword&gt;Sepsis&lt;/keyword&gt;&lt;keyword&gt;Toll like receptors&lt;/keyword&gt;&lt;keyword&gt;TIR adapter proteins&lt;/keyword&gt;&lt;keyword&gt;Infection&lt;/keyword&gt;&lt;/keywords&gt;&lt;dates&gt;&lt;year&gt;2004&lt;/year&gt;&lt;pub-dates&gt;&lt;date&gt;2004/02/01/&lt;/date&gt;&lt;/pub-dates&gt;&lt;/dates&gt;&lt;isbn&gt;0161-5890&lt;/isbn&gt;&lt;urls&gt;&lt;related-urls&gt;&lt;url&gt;http://www.sciencedirect.com/science/article/pii/S016158900300316X&lt;/url&gt;&lt;/related-urls&gt;&lt;/urls&gt;&lt;electronic-resource-num&gt;https://doi.org/10.1016/j.molimm.2003.10.005&lt;/electronic-resource-num&gt;&lt;/record&gt;&lt;/Cite&gt;&lt;/EndNote&gt;</w:instrText>
      </w:r>
      <w:r>
        <w:rPr>
          <w:szCs w:val="24"/>
          <w:rFonts w:cs="Calibri" w:ascii="Calibri" w:hAnsi="Calibri"/>
        </w:rPr>
        <w:fldChar w:fldCharType="separate"/>
      </w:r>
      <w:bookmarkStart w:id="12" w:name="Bookmark12"/>
      <w:r>
        <w:rPr>
          <w:rFonts w:cs="Calibri" w:ascii="Calibri" w:hAnsi="Calibri"/>
          <w:szCs w:val="24"/>
          <w:lang w:val="en-AU"/>
        </w:rPr>
        <w:t>(12)</w:t>
      </w:r>
      <w:r>
        <w:rPr>
          <w:rFonts w:cs="Calibri" w:ascii="Calibri" w:hAnsi="Calibri"/>
          <w:szCs w:val="24"/>
          <w:lang w:val="en-AU"/>
        </w:rPr>
      </w:r>
      <w:r>
        <w:rPr>
          <w:szCs w:val="24"/>
          <w:rFonts w:cs="Calibri" w:ascii="Calibri" w:hAnsi="Calibri"/>
        </w:rPr>
        <w:fldChar w:fldCharType="end"/>
      </w:r>
      <w:bookmarkEnd w:id="12"/>
      <w:r>
        <w:rPr>
          <w:rFonts w:cs="Calibri" w:ascii="Calibri" w:hAnsi="Calibri"/>
          <w:szCs w:val="24"/>
          <w:lang w:val="en-AU"/>
        </w:rPr>
        <w:t>.</w:t>
      </w:r>
    </w:p>
    <w:p>
      <w:pPr>
        <w:pStyle w:val="Normal"/>
        <w:rPr>
          <w:rFonts w:ascii="Calibri" w:hAnsi="Calibri" w:cs="Calibri"/>
          <w:b/>
          <w:b/>
          <w:bCs/>
          <w:i/>
          <w:i/>
          <w:iCs/>
          <w:szCs w:val="24"/>
          <w:lang w:val="en-AU"/>
        </w:rPr>
      </w:pPr>
      <w:r>
        <w:rPr>
          <w:rFonts w:cs="Calibri" w:ascii="Calibri" w:hAnsi="Calibri"/>
          <w:b/>
          <w:bCs/>
          <w:i/>
          <w:iCs/>
          <w:szCs w:val="24"/>
          <w:lang w:val="en-AU"/>
        </w:rPr>
      </w:r>
    </w:p>
    <w:p>
      <w:pPr>
        <w:pStyle w:val="Normal"/>
        <w:rPr>
          <w:rFonts w:ascii="Calibri" w:hAnsi="Calibri" w:cs="Calibri"/>
          <w:b/>
          <w:b/>
          <w:bCs/>
          <w:szCs w:val="24"/>
          <w:lang w:val="en-AU"/>
        </w:rPr>
      </w:pPr>
      <w:r>
        <w:rPr>
          <w:rFonts w:cs="Calibri" w:ascii="Calibri" w:hAnsi="Calibri"/>
          <w:b/>
          <w:bCs/>
          <w:szCs w:val="24"/>
          <w:lang w:val="en-AU"/>
        </w:rPr>
      </w:r>
      <w:r>
        <w:br w:type="page"/>
      </w:r>
    </w:p>
    <w:p>
      <w:pPr>
        <w:pStyle w:val="Normal"/>
        <w:rPr>
          <w:rFonts w:ascii="Calibri" w:hAnsi="Calibri" w:cs="Calibri"/>
          <w:b/>
          <w:b/>
          <w:bCs/>
          <w:szCs w:val="24"/>
          <w:lang w:val="en-AU"/>
        </w:rPr>
      </w:pPr>
      <w:r>
        <w:rPr>
          <w:rFonts w:cs="Calibri" w:ascii="Calibri" w:hAnsi="Calibri"/>
          <w:b/>
          <w:bCs/>
          <w:szCs w:val="24"/>
          <w:lang w:val="en-AU"/>
        </w:rPr>
        <w:t>3. Adaptive immunity</w:t>
      </w:r>
    </w:p>
    <w:p>
      <w:pPr>
        <w:pStyle w:val="Normal"/>
        <w:rPr/>
      </w:pPr>
      <w:r>
        <w:rPr>
          <w:rFonts w:cs="Calibri" w:ascii="Calibri" w:hAnsi="Calibri"/>
          <w:szCs w:val="24"/>
          <w:lang w:val="en-AU"/>
        </w:rPr>
        <w:t xml:space="preserve">Compared to the innate immune system, the adaptive immune system is antigen specific and is gradually acquired after the initial phases of the immune response. Adaptive immunity is further characterised by long lasting immune memory, enabling for subsequent, rapid responses against previously encountered antigens </w:t>
      </w:r>
      <w:r>
        <w:fldChar w:fldCharType="begin"/>
      </w:r>
      <w:r>
        <w:rPr>
          <w:szCs w:val="24"/>
          <w:rFonts w:cs="Calibri" w:ascii="Calibri" w:hAnsi="Calibri"/>
        </w:rPr>
        <w:instrText>ADDIN EN.CITE &lt;EndNote&gt;&lt;Cite&gt;&lt;Author&gt;Boehm&lt;/Author&gt;&lt;Year&gt;2014&lt;/Year&gt;&lt;RecNum&gt;14&lt;/RecNum&gt;&lt;DisplayText&gt;(13)&lt;/DisplayText&gt;&lt;record&gt;&lt;rec-number&gt;14&lt;/rec-number&gt;&lt;foreign-keys&gt;&lt;key app="EN" db-id="0svr029aax0d22erzzkprfpvefwawtzaazpa" timestamp="1595986275"&gt;14&lt;/key&gt;&lt;/foreign-keys&gt;&lt;ref-type name="Journal Article"&gt;17&lt;/ref-type&gt;&lt;contributors&gt;&lt;authors&gt;&lt;author&gt;Boehm, Thomas&lt;/author&gt;&lt;author&gt;Swann, Jeremy B.&lt;/author&gt;&lt;/authors&gt;&lt;/contributors&gt;&lt;titles&gt;&lt;title&gt;Origin and Evolution of Adaptive Immunity&lt;/title&gt;&lt;secondary-title&gt;Annual Review of Animal Biosciences&lt;/secondary-title&gt;&lt;/titles&gt;&lt;periodical&gt;&lt;full-title&gt;Annual Review of Animal Biosciences&lt;/full-title&gt;&lt;/periodical&gt;&lt;pages&gt;259-283&lt;/pages&gt;&lt;volume&gt;2&lt;/volume&gt;&lt;number&gt;1&lt;/number&gt;&lt;dates&gt;&lt;year&gt;2014&lt;/year&gt;&lt;pub-dates&gt;&lt;date&gt;2014/02/01&lt;/date&gt;&lt;/pub-dates&gt;&lt;/dates&gt;&lt;publisher&gt;Annual Reviews&lt;/publisher&gt;&lt;isbn&gt;2165-8102&lt;/isbn&gt;&lt;urls&gt;&lt;related-urls&gt;&lt;url&gt;https://doi.org/10.1146/annurev-animal-022513-114201&lt;/url&gt;&lt;/related-urls&gt;&lt;/urls&gt;&lt;electronic-resource-num&gt;10.1146/annurev-animal-022513-114201&lt;/electronic-resource-num&gt;&lt;access-date&gt;2020/07/28&lt;/access-date&gt;&lt;/record&gt;&lt;/Cite&gt;&lt;/EndNote&gt;</w:instrText>
      </w:r>
      <w:r>
        <w:rPr>
          <w:szCs w:val="24"/>
          <w:rFonts w:cs="Calibri" w:ascii="Calibri" w:hAnsi="Calibri"/>
        </w:rPr>
        <w:fldChar w:fldCharType="separate"/>
      </w:r>
      <w:bookmarkStart w:id="13" w:name="Bookmark13"/>
      <w:r>
        <w:rPr>
          <w:rFonts w:cs="Calibri" w:ascii="Calibri" w:hAnsi="Calibri"/>
          <w:szCs w:val="24"/>
          <w:lang w:val="en-AU"/>
        </w:rPr>
        <w:t>(13)</w:t>
      </w:r>
      <w:r>
        <w:rPr>
          <w:rFonts w:cs="Calibri" w:ascii="Calibri" w:hAnsi="Calibri"/>
          <w:szCs w:val="24"/>
          <w:lang w:val="en-AU"/>
        </w:rPr>
      </w:r>
      <w:r>
        <w:rPr>
          <w:szCs w:val="24"/>
          <w:rFonts w:cs="Calibri" w:ascii="Calibri" w:hAnsi="Calibri"/>
        </w:rPr>
        <w:fldChar w:fldCharType="end"/>
      </w:r>
      <w:bookmarkEnd w:id="13"/>
      <w:r>
        <w:rPr>
          <w:rFonts w:cs="Calibri" w:ascii="Calibri" w:hAnsi="Calibri"/>
          <w:szCs w:val="24"/>
          <w:lang w:val="en-AU"/>
        </w:rPr>
        <w:t xml:space="preserve">. Adaptive immunity is composed of two lymphocyte types, B cells and T cells </w:t>
      </w:r>
      <w:r>
        <w:fldChar w:fldCharType="begin"/>
      </w:r>
      <w:r>
        <w:rPr>
          <w:szCs w:val="24"/>
          <w:rFonts w:cs="Calibri" w:ascii="Calibri" w:hAnsi="Calibri"/>
        </w:rPr>
        <w:instrText>ADDIN EN.CITE &lt;EndNote&gt;&lt;Cite&gt;&lt;Author&gt;Boehm&lt;/Author&gt;&lt;Year&gt;2014&lt;/Year&gt;&lt;RecNum&gt;14&lt;/RecNum&gt;&lt;DisplayText&gt;(13)&lt;/DisplayText&gt;&lt;record&gt;&lt;rec-number&gt;14&lt;/rec-number&gt;&lt;foreign-keys&gt;&lt;key app="EN" db-id="0svr029aax0d22erzzkprfpvefwawtzaazpa" timestamp="1595986275"&gt;14&lt;/key&gt;&lt;/foreign-keys&gt;&lt;ref-type name="Journal Article"&gt;17&lt;/ref-type&gt;&lt;contributors&gt;&lt;authors&gt;&lt;author&gt;Boehm, Thomas&lt;/author&gt;&lt;author&gt;Swann, Jeremy B.&lt;/author&gt;&lt;/authors&gt;&lt;/contributors&gt;&lt;titles&gt;&lt;title&gt;Origin and Evolution of Adaptive Immunity&lt;/title&gt;&lt;secondary-title&gt;Annual Review of Animal Biosciences&lt;/secondary-title&gt;&lt;/titles&gt;&lt;periodical&gt;&lt;full-title&gt;Annual Review of Animal Biosciences&lt;/full-title&gt;&lt;/periodical&gt;&lt;pages&gt;259-283&lt;/pages&gt;&lt;volume&gt;2&lt;/volume&gt;&lt;number&gt;1&lt;/number&gt;&lt;dates&gt;&lt;year&gt;2014&lt;/year&gt;&lt;pub-dates&gt;&lt;date&gt;2014/02/01&lt;/date&gt;&lt;/pub-dates&gt;&lt;/dates&gt;&lt;publisher&gt;Annual Reviews&lt;/publisher&gt;&lt;isbn&gt;2165-8102&lt;/isbn&gt;&lt;urls&gt;&lt;related-urls&gt;&lt;url&gt;https://doi.org/10.1146/annurev-animal-022513-114201&lt;/url&gt;&lt;/related-urls&gt;&lt;/urls&gt;&lt;electronic-resource-num&gt;10.1146/annurev-animal-022513-114201&lt;/electronic-resource-num&gt;&lt;access-date&gt;2020/07/28&lt;/access-date&gt;&lt;/record&gt;&lt;/Cite&gt;&lt;/EndNote&gt;</w:instrText>
      </w:r>
      <w:r>
        <w:rPr>
          <w:szCs w:val="24"/>
          <w:rFonts w:cs="Calibri" w:ascii="Calibri" w:hAnsi="Calibri"/>
        </w:rPr>
        <w:fldChar w:fldCharType="separate"/>
      </w:r>
      <w:bookmarkStart w:id="14" w:name="Bookmark14"/>
      <w:r>
        <w:rPr>
          <w:rFonts w:cs="Calibri" w:ascii="Calibri" w:hAnsi="Calibri"/>
          <w:szCs w:val="24"/>
          <w:lang w:val="en-AU"/>
        </w:rPr>
        <w:t>(13)</w:t>
      </w:r>
      <w:r>
        <w:rPr>
          <w:rFonts w:cs="Calibri" w:ascii="Calibri" w:hAnsi="Calibri"/>
          <w:szCs w:val="24"/>
          <w:lang w:val="en-AU"/>
        </w:rPr>
      </w:r>
      <w:r>
        <w:rPr>
          <w:szCs w:val="24"/>
          <w:rFonts w:cs="Calibri" w:ascii="Calibri" w:hAnsi="Calibri"/>
        </w:rPr>
        <w:fldChar w:fldCharType="end"/>
      </w:r>
      <w:bookmarkEnd w:id="14"/>
      <w:r>
        <w:rPr>
          <w:rFonts w:cs="Calibri" w:ascii="Calibri" w:hAnsi="Calibri"/>
          <w:szCs w:val="24"/>
          <w:lang w:val="en-AU"/>
        </w:rPr>
        <w:t xml:space="preserve">. Both lymphocytes develop from common lymphoid precursors (CLPs) and must undergo rearrangement of antigen receptor genes to mature and generate a highly diverse population lymphocytes with different antigen specificities </w:t>
      </w:r>
      <w:r>
        <w:fldChar w:fldCharType="begin"/>
      </w:r>
      <w:r>
        <w:rPr>
          <w:szCs w:val="24"/>
          <w:rFonts w:cs="Calibri" w:ascii="Calibri" w:hAnsi="Calibri"/>
        </w:rPr>
        <w:instrText>ADDIN EN.CITE &lt;EndNote&gt;&lt;Cite&gt;&lt;Author&gt;Pancer&lt;/Author&gt;&lt;Year&gt;2006&lt;/Year&gt;&lt;RecNum&gt;15&lt;/RecNum&gt;&lt;DisplayText&gt;(14)&lt;/DisplayText&gt;&lt;record&gt;&lt;rec-number&gt;15&lt;/rec-number&gt;&lt;foreign-keys&gt;&lt;key app="EN" db-id="0svr029aax0d22erzzkprfpvefwawtzaazpa" timestamp="1595986553"&gt;15&lt;/key&gt;&lt;/foreign-keys&gt;&lt;ref-type name="Journal Article"&gt;17&lt;/ref-type&gt;&lt;contributors&gt;&lt;authors&gt;&lt;author&gt;Pancer, Zeev&lt;/author&gt;&lt;author&gt;Cooper, Max D.&lt;/author&gt;&lt;/authors&gt;&lt;/contributors&gt;&lt;titles&gt;&lt;title&gt;THE EVOLUTION OF ADAPTIVE IMMUNITY&lt;/title&gt;&lt;secondary-title&gt;Annual Review of Immunology&lt;/secondary-title&gt;&lt;/titles&gt;&lt;periodical&gt;&lt;full-title&gt;Annual Review of Immunology&lt;/full-title&gt;&lt;/periodical&gt;&lt;pages&gt;497-518&lt;/pages&gt;&lt;volume&gt;24&lt;/volume&gt;&lt;number&gt;1&lt;/number&gt;&lt;dates&gt;&lt;year&gt;2006&lt;/year&gt;&lt;pub-dates&gt;&lt;date&gt;2006/04/01&lt;/date&gt;&lt;/pub-dates&gt;&lt;/dates&gt;&lt;publisher&gt;Annual Reviews&lt;/publisher&gt;&lt;isbn&gt;0732-0582&lt;/isbn&gt;&lt;urls&gt;&lt;related-urls&gt;&lt;url&gt;https://doi.org/10.1146/annurev.immunol.24.021605.090542&lt;/url&gt;&lt;/related-urls&gt;&lt;/urls&gt;&lt;electronic-resource-num&gt;10.1146/annurev.immunol.24.021605.090542&lt;/electronic-resource-num&gt;&lt;access-date&gt;2020/07/28&lt;/access-date&gt;&lt;/record&gt;&lt;/Cite&gt;&lt;/EndNote&gt;</w:instrText>
      </w:r>
      <w:r>
        <w:rPr>
          <w:szCs w:val="24"/>
          <w:rFonts w:cs="Calibri" w:ascii="Calibri" w:hAnsi="Calibri"/>
        </w:rPr>
        <w:fldChar w:fldCharType="separate"/>
      </w:r>
      <w:bookmarkStart w:id="15" w:name="Bookmark15"/>
      <w:r>
        <w:rPr>
          <w:rFonts w:cs="Calibri" w:ascii="Calibri" w:hAnsi="Calibri"/>
          <w:szCs w:val="24"/>
          <w:lang w:val="en-AU"/>
        </w:rPr>
        <w:t>(14)</w:t>
      </w:r>
      <w:r>
        <w:rPr>
          <w:rFonts w:cs="Calibri" w:ascii="Calibri" w:hAnsi="Calibri"/>
          <w:szCs w:val="24"/>
          <w:lang w:val="en-AU"/>
        </w:rPr>
      </w:r>
      <w:r>
        <w:rPr>
          <w:szCs w:val="24"/>
          <w:rFonts w:cs="Calibri" w:ascii="Calibri" w:hAnsi="Calibri"/>
        </w:rPr>
        <w:fldChar w:fldCharType="end"/>
      </w:r>
      <w:bookmarkEnd w:id="15"/>
      <w:r>
        <w:rPr>
          <w:rFonts w:cs="Calibri" w:ascii="Calibri" w:hAnsi="Calibri"/>
          <w:szCs w:val="24"/>
          <w:lang w:val="en-AU"/>
        </w:rPr>
        <w:t>. Mature lymphocytes that are yet to engage their cognate antigen are classified as naïve and will typically undergo clonal expansion and activation following antigen encounter. Whilst B and T cells both have roles in the anti-tumour immune response, this review will focus on T cells.</w:t>
      </w:r>
    </w:p>
    <w:p>
      <w:pPr>
        <w:pStyle w:val="Normal"/>
        <w:rPr>
          <w:rFonts w:ascii="Calibri" w:hAnsi="Calibri" w:cs="Calibri"/>
          <w:szCs w:val="24"/>
          <w:lang w:val="en-AU"/>
        </w:rPr>
      </w:pPr>
      <w:r>
        <w:rPr>
          <w:rFonts w:cs="Calibri" w:ascii="Calibri" w:hAnsi="Calibri"/>
          <w:szCs w:val="24"/>
          <w:lang w:val="en-AU"/>
        </w:rPr>
      </w:r>
    </w:p>
    <w:p>
      <w:pPr>
        <w:pStyle w:val="Normal"/>
        <w:rPr>
          <w:rFonts w:ascii="Calibri" w:hAnsi="Calibri" w:cs="Calibri"/>
          <w:b/>
          <w:b/>
          <w:bCs/>
          <w:i/>
          <w:i/>
          <w:iCs/>
          <w:szCs w:val="24"/>
          <w:lang w:val="en-AU"/>
        </w:rPr>
      </w:pPr>
      <w:r>
        <w:rPr>
          <w:rFonts w:cs="Calibri" w:ascii="Calibri" w:hAnsi="Calibri"/>
          <w:b/>
          <w:bCs/>
          <w:i/>
          <w:iCs/>
          <w:szCs w:val="24"/>
          <w:lang w:val="en-AU"/>
        </w:rPr>
        <w:t>3.1 T lymphocytes</w:t>
      </w:r>
    </w:p>
    <w:p>
      <w:pPr>
        <w:pStyle w:val="Normal"/>
        <w:rPr/>
      </w:pPr>
      <w:r>
        <w:rPr>
          <w:rFonts w:cs="Calibri" w:ascii="Calibri" w:hAnsi="Calibri"/>
          <w:szCs w:val="24"/>
          <w:lang w:val="en-AU"/>
        </w:rPr>
        <w:t>T cells are broadly classified into CD4</w:t>
      </w:r>
      <w:r>
        <w:rPr>
          <w:rFonts w:cs="Calibri" w:ascii="Calibri" w:hAnsi="Calibri"/>
          <w:szCs w:val="24"/>
          <w:vertAlign w:val="superscript"/>
          <w:lang w:val="en-AU"/>
        </w:rPr>
        <w:t>+</w:t>
      </w:r>
      <w:r>
        <w:rPr>
          <w:rFonts w:cs="Calibri" w:ascii="Calibri" w:hAnsi="Calibri"/>
          <w:szCs w:val="24"/>
          <w:lang w:val="en-AU"/>
        </w:rPr>
        <w:t xml:space="preserve"> T helper (Th) cells that coordinate immune responses and CD8</w:t>
      </w:r>
      <w:r>
        <w:rPr>
          <w:rFonts w:cs="Calibri" w:ascii="Calibri" w:hAnsi="Calibri"/>
          <w:szCs w:val="24"/>
          <w:vertAlign w:val="superscript"/>
          <w:lang w:val="en-AU"/>
        </w:rPr>
        <w:t>+</w:t>
      </w:r>
      <w:r>
        <w:rPr>
          <w:rFonts w:cs="Calibri" w:ascii="Calibri" w:hAnsi="Calibri"/>
          <w:szCs w:val="24"/>
          <w:lang w:val="en-AU"/>
        </w:rPr>
        <w:t xml:space="preserve"> cytotoxic T cells that directly eliminate infected and transformed cells </w:t>
      </w:r>
      <w:r>
        <w:fldChar w:fldCharType="begin"/>
      </w:r>
      <w:r>
        <w:rPr>
          <w:szCs w:val="24"/>
          <w:rFonts w:cs="Calibri" w:ascii="Calibri" w:hAnsi="Calibri"/>
        </w:rPr>
        <w:instrText>ADDIN EN.CITE &lt;EndNote&gt;&lt;Cite&gt;&lt;Author&gt;Bonilla&lt;/Author&gt;&lt;Year&gt;2010&lt;/Year&gt;&lt;RecNum&gt;17&lt;/RecNum&gt;&lt;DisplayText&gt;(15)&lt;/DisplayText&gt;&lt;record&gt;&lt;rec-number&gt;17&lt;/rec-number&gt;&lt;foreign-keys&gt;&lt;key app="EN" db-id="0svr029aax0d22erzzkprfpvefwawtzaazpa" timestamp="1595990539"&gt;17&lt;/key&gt;&lt;/foreign-keys&gt;&lt;ref-type name="Journal Article"&gt;17&lt;/ref-type&gt;&lt;contributors&gt;&lt;authors&gt;&lt;author&gt;Bonilla, Francisco A.&lt;/author&gt;&lt;author&gt;Oettgen, Hans C.&lt;/author&gt;&lt;/authors&gt;&lt;/contributors&gt;&lt;titles&gt;&lt;title&gt;Adaptive immunity&lt;/title&gt;&lt;secondary-title&gt;Journal of Allergy and Clinical Immunology&lt;/secondary-title&gt;&lt;/titles&gt;&lt;periodical&gt;&lt;full-title&gt;Journal of Allergy and Clinical Immunology&lt;/full-title&gt;&lt;/periodical&gt;&lt;pages&gt;S33-S40&lt;/pages&gt;&lt;volume&gt;125&lt;/volume&gt;&lt;number&gt;2&lt;/number&gt;&lt;dates&gt;&lt;year&gt;2010&lt;/year&gt;&lt;/dates&gt;&lt;publisher&gt;Elsevier&lt;/publisher&gt;&lt;isbn&gt;0091-6749&lt;/isbn&gt;&lt;urls&gt;&lt;related-urls&gt;&lt;url&gt;https://doi.org/10.1016/j.jaci.2009.09.017&lt;/url&gt;&lt;/related-urls&gt;&lt;/urls&gt;&lt;electronic-resource-num&gt;10.1016/j.jaci.2009.09.017&lt;/electronic-resource-num&gt;&lt;access-date&gt;2020/07/28&lt;/access-date&gt;&lt;/record&gt;&lt;/Cite&gt;&lt;/EndNote&gt;</w:instrText>
      </w:r>
      <w:r>
        <w:rPr>
          <w:szCs w:val="24"/>
          <w:rFonts w:cs="Calibri" w:ascii="Calibri" w:hAnsi="Calibri"/>
        </w:rPr>
        <w:fldChar w:fldCharType="separate"/>
      </w:r>
      <w:bookmarkStart w:id="16" w:name="Bookmark16"/>
      <w:r>
        <w:rPr>
          <w:rFonts w:cs="Calibri" w:ascii="Calibri" w:hAnsi="Calibri"/>
          <w:szCs w:val="24"/>
          <w:lang w:val="en-AU"/>
        </w:rPr>
        <w:t>(15)</w:t>
      </w:r>
      <w:r>
        <w:rPr>
          <w:rFonts w:cs="Calibri" w:ascii="Calibri" w:hAnsi="Calibri"/>
          <w:szCs w:val="24"/>
          <w:lang w:val="en-AU"/>
        </w:rPr>
      </w:r>
      <w:r>
        <w:rPr>
          <w:szCs w:val="24"/>
          <w:rFonts w:cs="Calibri" w:ascii="Calibri" w:hAnsi="Calibri"/>
        </w:rPr>
        <w:fldChar w:fldCharType="end"/>
      </w:r>
      <w:bookmarkEnd w:id="16"/>
      <w:r>
        <w:rPr>
          <w:rFonts w:cs="Calibri" w:ascii="Calibri" w:hAnsi="Calibri"/>
          <w:szCs w:val="24"/>
          <w:lang w:val="en-AU"/>
        </w:rPr>
        <w:t xml:space="preserve">. T cells circulate through the lymphatic system and undergo activation in lymph nodes when engaging APCs. Activation of T cells requires three signals </w:t>
      </w:r>
      <w:r>
        <w:fldChar w:fldCharType="begin"/>
      </w:r>
      <w:r>
        <w:rPr>
          <w:szCs w:val="24"/>
          <w:rFonts w:cs="Calibri" w:ascii="Calibri" w:hAnsi="Calibri"/>
        </w:rPr>
        <w:instrText>ADDIN EN.CITE &lt;EndNote&gt;&lt;Cite&gt;&lt;Author&gt;Bonilla&lt;/Author&gt;&lt;Year&gt;2010&lt;/Year&gt;&lt;RecNum&gt;17&lt;/RecNum&gt;&lt;DisplayText&gt;(15, 16)&lt;/DisplayText&gt;&lt;record&gt;&lt;rec-number&gt;17&lt;/rec-number&gt;&lt;foreign-keys&gt;&lt;key app="EN" db-id="0svr029aax0d22erzzkprfpvefwawtzaazpa" timestamp="1595990539"&gt;17&lt;/key&gt;&lt;/foreign-keys&gt;&lt;ref-type name="Journal Article"&gt;17&lt;/ref-type&gt;&lt;contributors&gt;&lt;authors&gt;&lt;author&gt;Bonilla, Francisco A.&lt;/author&gt;&lt;author&gt;Oettgen, Hans C.&lt;/author&gt;&lt;/authors&gt;&lt;/contributors&gt;&lt;titles&gt;&lt;title&gt;Adaptive immunity&lt;/title&gt;&lt;secondary-title&gt;Journal of Allergy and Clinical Immunology&lt;/secondary-title&gt;&lt;/titles&gt;&lt;periodical&gt;&lt;full-title&gt;Journal of Allergy and Clinical Immunology&lt;/full-title&gt;&lt;/periodical&gt;&lt;pages&gt;S33-S40&lt;/pages&gt;&lt;volume&gt;125&lt;/volume&gt;&lt;number&gt;2&lt;/number&gt;&lt;dates&gt;&lt;year&gt;2010&lt;/year&gt;&lt;/dates&gt;&lt;publisher&gt;Elsevier&lt;/publisher&gt;&lt;isbn&gt;0091-6749&lt;/isbn&gt;&lt;urls&gt;&lt;related-urls&gt;&lt;url&gt;https://doi.org/10.1016/j.jaci.2009.09.017&lt;/url&gt;&lt;/related-urls&gt;&lt;/urls&gt;&lt;electronic-resource-num&gt;10.1016/j.jaci.2009.09.017&lt;/electronic-resource-num&gt;&lt;access-date&gt;2020/07/28&lt;/access-date&gt;&lt;/record&gt;&lt;/Cite&gt;&lt;Cite&gt;&lt;Author&gt;Dustin&lt;/Author&gt;&lt;Year&gt;2009&lt;/Year&gt;&lt;RecNum&gt;18&lt;/RecNum&gt;&lt;record&gt;&lt;rec-number&gt;18&lt;/rec-number&gt;&lt;foreign-keys&gt;&lt;key app="EN" db-id="0tvart0tzs0rd7ewzd8vv0w19x2daxspr0pz" timestamp="1537752291"&gt;18&lt;/key&gt;&lt;/foreign-keys&gt;&lt;ref-type name="Journal Article"&gt;17&lt;/ref-type&gt;&lt;contributors&gt;&lt;authors&gt;&lt;author&gt;Dustin, Michael L.&lt;/author&gt;&lt;/authors&gt;&lt;/contributors&gt;&lt;titles&gt;&lt;title&gt;The Cellular Context of T Cell Signaling&lt;/title&gt;&lt;secondary-title&gt;Immunity&lt;/secondary-title&gt;&lt;/titles&gt;&lt;periodical&gt;&lt;full-title&gt;Immunity&lt;/full-title&gt;&lt;/periodical&gt;&lt;pages&gt;482-492&lt;/pages&gt;&lt;volume&gt;30&lt;/volume&gt;&lt;number&gt;4&lt;/number&gt;&lt;dates&gt;&lt;year&gt;2009&lt;/year&gt;&lt;pub-dates&gt;&lt;date&gt;2009/04/17/&lt;/date&gt;&lt;/pub-dates&gt;&lt;/dates&gt;&lt;isbn&gt;1074-7613&lt;/isbn&gt;&lt;urls&gt;&lt;related-urls&gt;&lt;url&gt;http://www.sciencedirect.com/science/article/pii/S1074761309001496&lt;/url&gt;&lt;/related-urls&gt;&lt;/urls&gt;&lt;electronic-resource-num&gt;https://doi.org/10.1016/j.immuni.2009.03.010&lt;/electronic-resource-num&gt;&lt;/record&gt;&lt;/Cite&gt;&lt;/EndNote&gt;</w:instrText>
      </w:r>
      <w:r>
        <w:rPr>
          <w:szCs w:val="24"/>
          <w:rFonts w:cs="Calibri" w:ascii="Calibri" w:hAnsi="Calibri"/>
        </w:rPr>
        <w:fldChar w:fldCharType="separate"/>
      </w:r>
      <w:bookmarkStart w:id="17" w:name="Bookmark17"/>
      <w:r>
        <w:rPr>
          <w:rFonts w:cs="Calibri" w:ascii="Calibri" w:hAnsi="Calibri"/>
          <w:szCs w:val="24"/>
          <w:lang w:val="en-AU"/>
        </w:rPr>
        <w:t>(15, 16)</w:t>
      </w:r>
      <w:r>
        <w:rPr>
          <w:rFonts w:cs="Calibri" w:ascii="Calibri" w:hAnsi="Calibri"/>
          <w:szCs w:val="24"/>
          <w:lang w:val="en-AU"/>
        </w:rPr>
      </w:r>
      <w:r>
        <w:rPr>
          <w:szCs w:val="24"/>
          <w:rFonts w:cs="Calibri" w:ascii="Calibri" w:hAnsi="Calibri"/>
        </w:rPr>
        <w:fldChar w:fldCharType="end"/>
      </w:r>
      <w:bookmarkEnd w:id="17"/>
      <w:r>
        <w:rPr>
          <w:rFonts w:cs="Calibri" w:ascii="Calibri" w:hAnsi="Calibri"/>
          <w:szCs w:val="24"/>
          <w:lang w:val="en-AU"/>
        </w:rPr>
        <w:t>. The first signal is the presentation of cognate peptide tumour antigens on MHC molecules by APCs to T cell receptors (TCRs). Professional APCs may express MHC class I (MHCI) or MHC class II (MHCII) that are specific for CD8</w:t>
      </w:r>
      <w:r>
        <w:rPr>
          <w:rFonts w:cs="Calibri" w:ascii="Calibri" w:hAnsi="Calibri"/>
          <w:szCs w:val="24"/>
          <w:vertAlign w:val="superscript"/>
          <w:lang w:val="en-AU"/>
        </w:rPr>
        <w:t>+</w:t>
      </w:r>
      <w:r>
        <w:rPr>
          <w:rFonts w:cs="Calibri" w:ascii="Calibri" w:hAnsi="Calibri"/>
          <w:szCs w:val="24"/>
          <w:lang w:val="en-AU"/>
        </w:rPr>
        <w:t xml:space="preserve"> and CD4</w:t>
      </w:r>
      <w:r>
        <w:rPr>
          <w:rFonts w:cs="Calibri" w:ascii="Calibri" w:hAnsi="Calibri"/>
          <w:szCs w:val="24"/>
          <w:vertAlign w:val="superscript"/>
          <w:lang w:val="en-AU"/>
        </w:rPr>
        <w:t>+</w:t>
      </w:r>
      <w:r>
        <w:rPr>
          <w:rFonts w:cs="Calibri" w:ascii="Calibri" w:hAnsi="Calibri"/>
          <w:szCs w:val="24"/>
          <w:lang w:val="en-AU"/>
        </w:rPr>
        <w:t xml:space="preserve"> T cells respectively. The second signal involves co-stimulatory pathways through ligation of the T cell co-stimulatory receptor CD28 by APCs. The final signal consists of specific cytokines secreted by the APC that control T cell differentiation and expansion </w:t>
      </w:r>
      <w:r>
        <w:fldChar w:fldCharType="begin"/>
      </w:r>
      <w:r>
        <w:rPr>
          <w:szCs w:val="24"/>
          <w:rFonts w:cs="Calibri" w:ascii="Calibri" w:hAnsi="Calibri"/>
        </w:rPr>
        <w:instrText>ADDIN EN.CITE &lt;EndNote&gt;&lt;Cite&gt;&lt;Author&gt;Bonilla&lt;/Author&gt;&lt;Year&gt;2010&lt;/Year&gt;&lt;RecNum&gt;17&lt;/RecNum&gt;&lt;DisplayText&gt;(15, 16)&lt;/DisplayText&gt;&lt;record&gt;&lt;rec-number&gt;17&lt;/rec-number&gt;&lt;foreign-keys&gt;&lt;key app="EN" db-id="0svr029aax0d22erzzkprfpvefwawtzaazpa" timestamp="1595990539"&gt;17&lt;/key&gt;&lt;/foreign-keys&gt;&lt;ref-type name="Journal Article"&gt;17&lt;/ref-type&gt;&lt;contributors&gt;&lt;authors&gt;&lt;author&gt;Bonilla, Francisco A.&lt;/author&gt;&lt;author&gt;Oettgen, Hans C.&lt;/author&gt;&lt;/authors&gt;&lt;/contributors&gt;&lt;titles&gt;&lt;title&gt;Adaptive immunity&lt;/title&gt;&lt;secondary-title&gt;Journal of Allergy and Clinical Immunology&lt;/secondary-title&gt;&lt;/titles&gt;&lt;periodical&gt;&lt;full-title&gt;Journal of Allergy and Clinical Immunology&lt;/full-title&gt;&lt;/periodical&gt;&lt;pages&gt;S33-S40&lt;/pages&gt;&lt;volume&gt;125&lt;/volume&gt;&lt;number&gt;2&lt;/number&gt;&lt;dates&gt;&lt;year&gt;2010&lt;/year&gt;&lt;/dates&gt;&lt;publisher&gt;Elsevier&lt;/publisher&gt;&lt;isbn&gt;0091-6749&lt;/isbn&gt;&lt;urls&gt;&lt;related-urls&gt;&lt;url&gt;https://doi.org/10.1016/j.jaci.2009.09.017&lt;/url&gt;&lt;/related-urls&gt;&lt;/urls&gt;&lt;electronic-resource-num&gt;10.1016/j.jaci.2009.09.017&lt;/electronic-resource-num&gt;&lt;access-date&gt;2020/07/28&lt;/access-date&gt;&lt;/record&gt;&lt;/Cite&gt;&lt;Cite&gt;&lt;Author&gt;Dustin&lt;/Author&gt;&lt;Year&gt;2009&lt;/Year&gt;&lt;RecNum&gt;18&lt;/RecNum&gt;&lt;record&gt;&lt;rec-number&gt;18&lt;/rec-number&gt;&lt;foreign-keys&gt;&lt;key app="EN" db-id="0tvart0tzs0rd7ewzd8vv0w19x2daxspr0pz" timestamp="1537752291"&gt;18&lt;/key&gt;&lt;/foreign-keys&gt;&lt;ref-type name="Journal Article"&gt;17&lt;/ref-type&gt;&lt;contributors&gt;&lt;authors&gt;&lt;author&gt;Dustin, Michael L.&lt;/author&gt;&lt;/authors&gt;&lt;/contributors&gt;&lt;titles&gt;&lt;title&gt;The Cellular Context of T Cell Signaling&lt;/title&gt;&lt;secondary-title&gt;Immunity&lt;/secondary-title&gt;&lt;/titles&gt;&lt;periodical&gt;&lt;full-title&gt;Immunity&lt;/full-title&gt;&lt;/periodical&gt;&lt;pages&gt;482-492&lt;/pages&gt;&lt;volume&gt;30&lt;/volume&gt;&lt;number&gt;4&lt;/number&gt;&lt;dates&gt;&lt;year&gt;2009&lt;/year&gt;&lt;pub-dates&gt;&lt;date&gt;2009/04/17/&lt;/date&gt;&lt;/pub-dates&gt;&lt;/dates&gt;&lt;isbn&gt;1074-7613&lt;/isbn&gt;&lt;urls&gt;&lt;related-urls&gt;&lt;url&gt;http://www.sciencedirect.com/science/article/pii/S1074761309001496&lt;/url&gt;&lt;/related-urls&gt;&lt;/urls&gt;&lt;electronic-resource-num&gt;https://doi.org/10.1016/j.immuni.2009.03.010&lt;/electronic-resource-num&gt;&lt;/record&gt;&lt;/Cite&gt;&lt;/EndNote&gt;</w:instrText>
      </w:r>
      <w:r>
        <w:rPr>
          <w:szCs w:val="24"/>
          <w:rFonts w:cs="Calibri" w:ascii="Calibri" w:hAnsi="Calibri"/>
        </w:rPr>
        <w:fldChar w:fldCharType="separate"/>
      </w:r>
      <w:bookmarkStart w:id="18" w:name="Bookmark18"/>
      <w:r>
        <w:rPr>
          <w:rFonts w:cs="Calibri" w:ascii="Calibri" w:hAnsi="Calibri"/>
          <w:szCs w:val="24"/>
          <w:lang w:val="en-AU"/>
        </w:rPr>
        <w:t>(15, 16)</w:t>
      </w:r>
      <w:r>
        <w:rPr>
          <w:rFonts w:cs="Calibri" w:ascii="Calibri" w:hAnsi="Calibri"/>
          <w:szCs w:val="24"/>
          <w:lang w:val="en-AU"/>
        </w:rPr>
      </w:r>
      <w:r>
        <w:rPr>
          <w:szCs w:val="24"/>
          <w:rFonts w:cs="Calibri" w:ascii="Calibri" w:hAnsi="Calibri"/>
        </w:rPr>
        <w:fldChar w:fldCharType="end"/>
      </w:r>
      <w:bookmarkEnd w:id="18"/>
      <w:r>
        <w:rPr>
          <w:rFonts w:cs="Calibri" w:ascii="Calibri" w:hAnsi="Calibri"/>
          <w:szCs w:val="24"/>
          <w:lang w:val="en-AU"/>
        </w:rPr>
        <w:t xml:space="preserve">. Following activation, T cells expand and migrate to sites of tumour development where they differentiate into effector subsets to facilitate tumour cell elimination </w:t>
      </w:r>
      <w:r>
        <w:fldChar w:fldCharType="begin"/>
      </w:r>
      <w:r>
        <w:rPr>
          <w:szCs w:val="24"/>
          <w:rFonts w:cs="Calibri" w:ascii="Calibri" w:hAnsi="Calibri"/>
        </w:rPr>
        <w:instrText>ADDIN EN.CITE &lt;EndNote&gt;&lt;Cite&gt;&lt;Author&gt;Dustin&lt;/Author&gt;&lt;Year&gt;2009&lt;/Year&gt;&lt;RecNum&gt;18&lt;/RecNum&gt;&lt;DisplayText&gt;(16)&lt;/DisplayText&gt;&lt;record&gt;&lt;rec-number&gt;18&lt;/rec-number&gt;&lt;foreign-keys&gt;&lt;key app="EN" db-id="0tvart0tzs0rd7ewzd8vv0w19x2daxspr0pz" timestamp="1537752291"&gt;18&lt;/key&gt;&lt;/foreign-keys&gt;&lt;ref-type name="Journal Article"&gt;17&lt;/ref-type&gt;&lt;contributors&gt;&lt;authors&gt;&lt;author&gt;Dustin, Michael L.&lt;/author&gt;&lt;/authors&gt;&lt;/contributors&gt;&lt;titles&gt;&lt;title&gt;The Cellular Context of T Cell Signaling&lt;/title&gt;&lt;secondary-title&gt;Immunity&lt;/secondary-title&gt;&lt;/titles&gt;&lt;periodical&gt;&lt;full-title&gt;Immunity&lt;/full-title&gt;&lt;/periodical&gt;&lt;pages&gt;482-492&lt;/pages&gt;&lt;volume&gt;30&lt;/volume&gt;&lt;number&gt;4&lt;/number&gt;&lt;dates&gt;&lt;year&gt;2009&lt;/year&gt;&lt;pub-dates&gt;&lt;date&gt;2009/04/17/&lt;/date&gt;&lt;/pub-dates&gt;&lt;/dates&gt;&lt;isbn&gt;1074-7613&lt;/isbn&gt;&lt;urls&gt;&lt;related-urls&gt;&lt;url&gt;http://www.sciencedirect.com/science/article/pii/S1074761309001496&lt;/url&gt;&lt;/related-urls&gt;&lt;/urls&gt;&lt;electronic-resource-num&gt;https://doi.org/10.1016/j.immuni.2009.03.010&lt;/electronic-resource-num&gt;&lt;/record&gt;&lt;/Cite&gt;&lt;/EndNote&gt;</w:instrText>
      </w:r>
      <w:r>
        <w:rPr>
          <w:szCs w:val="24"/>
          <w:rFonts w:cs="Calibri" w:ascii="Calibri" w:hAnsi="Calibri"/>
        </w:rPr>
        <w:fldChar w:fldCharType="separate"/>
      </w:r>
      <w:bookmarkStart w:id="19" w:name="Bookmark19"/>
      <w:r>
        <w:rPr>
          <w:rFonts w:cs="Calibri" w:ascii="Calibri" w:hAnsi="Calibri"/>
          <w:szCs w:val="24"/>
          <w:lang w:val="en-AU"/>
        </w:rPr>
        <w:t>(16)</w:t>
      </w:r>
      <w:r>
        <w:rPr>
          <w:rFonts w:cs="Calibri" w:ascii="Calibri" w:hAnsi="Calibri"/>
          <w:szCs w:val="24"/>
          <w:lang w:val="en-AU"/>
        </w:rPr>
      </w:r>
      <w:r>
        <w:rPr>
          <w:szCs w:val="24"/>
          <w:rFonts w:cs="Calibri" w:ascii="Calibri" w:hAnsi="Calibri"/>
        </w:rPr>
        <w:fldChar w:fldCharType="end"/>
      </w:r>
      <w:bookmarkEnd w:id="19"/>
      <w:r>
        <w:rPr>
          <w:rFonts w:cs="Calibri" w:ascii="Calibri" w:hAnsi="Calibri"/>
          <w:szCs w:val="24"/>
          <w:lang w:val="en-AU"/>
        </w:rPr>
        <w:t xml:space="preserve">. A proportion of T cells will also form populations of antigen experienced, memory T cells </w:t>
      </w:r>
      <w:r>
        <w:fldChar w:fldCharType="begin"/>
      </w:r>
      <w:r>
        <w:rPr>
          <w:szCs w:val="24"/>
          <w:rFonts w:cs="Calibri" w:ascii="Calibri" w:hAnsi="Calibri"/>
        </w:rPr>
        <w:instrText>ADDIN EN.CITE &lt;EndNote&gt;&lt;Cite&gt;&lt;Author&gt;Dustin&lt;/Author&gt;&lt;Year&gt;2009&lt;/Year&gt;&lt;RecNum&gt;18&lt;/RecNum&gt;&lt;DisplayText&gt;(16)&lt;/DisplayText&gt;&lt;record&gt;&lt;rec-number&gt;18&lt;/rec-number&gt;&lt;foreign-keys&gt;&lt;key app="EN" db-id="0tvart0tzs0rd7ewzd8vv0w19x2daxspr0pz" timestamp="1537752291"&gt;18&lt;/key&gt;&lt;/foreign-keys&gt;&lt;ref-type name="Journal Article"&gt;17&lt;/ref-type&gt;&lt;contributors&gt;&lt;authors&gt;&lt;author&gt;Dustin, Michael L.&lt;/author&gt;&lt;/authors&gt;&lt;/contributors&gt;&lt;titles&gt;&lt;title&gt;The Cellular Context of T Cell Signaling&lt;/title&gt;&lt;secondary-title&gt;Immunity&lt;/secondary-title&gt;&lt;/titles&gt;&lt;periodical&gt;&lt;full-title&gt;Immunity&lt;/full-title&gt;&lt;/periodical&gt;&lt;pages&gt;482-492&lt;/pages&gt;&lt;volume&gt;30&lt;/volume&gt;&lt;number&gt;4&lt;/number&gt;&lt;dates&gt;&lt;year&gt;2009&lt;/year&gt;&lt;pub-dates&gt;&lt;date&gt;2009/04/17/&lt;/date&gt;&lt;/pub-dates&gt;&lt;/dates&gt;&lt;isbn&gt;1074-7613&lt;/isbn&gt;&lt;urls&gt;&lt;related-urls&gt;&lt;url&gt;http://www.sciencedirect.com/science/article/pii/S1074761309001496&lt;/url&gt;&lt;/related-urls&gt;&lt;/urls&gt;&lt;electronic-resource-num&gt;https://doi.org/10.1016/j.immuni.2009.03.010&lt;/electronic-resource-num&gt;&lt;/record&gt;&lt;/Cite&gt;&lt;/EndNote&gt;</w:instrText>
      </w:r>
      <w:r>
        <w:rPr>
          <w:szCs w:val="24"/>
          <w:rFonts w:cs="Calibri" w:ascii="Calibri" w:hAnsi="Calibri"/>
        </w:rPr>
        <w:fldChar w:fldCharType="separate"/>
      </w:r>
      <w:bookmarkStart w:id="20" w:name="Bookmark20"/>
      <w:r>
        <w:rPr>
          <w:rFonts w:cs="Calibri" w:ascii="Calibri" w:hAnsi="Calibri"/>
          <w:szCs w:val="24"/>
          <w:lang w:val="en-AU"/>
        </w:rPr>
        <w:t>(16)</w:t>
      </w:r>
      <w:r>
        <w:rPr>
          <w:rFonts w:cs="Calibri" w:ascii="Calibri" w:hAnsi="Calibri"/>
          <w:szCs w:val="24"/>
          <w:lang w:val="en-AU"/>
        </w:rPr>
      </w:r>
      <w:r>
        <w:rPr>
          <w:szCs w:val="24"/>
          <w:rFonts w:cs="Calibri" w:ascii="Calibri" w:hAnsi="Calibri"/>
        </w:rPr>
        <w:fldChar w:fldCharType="end"/>
      </w:r>
      <w:bookmarkEnd w:id="20"/>
      <w:r>
        <w:rPr>
          <w:rFonts w:cs="Calibri" w:ascii="Calibri" w:hAnsi="Calibri"/>
          <w:szCs w:val="24"/>
          <w:lang w:val="en-AU"/>
        </w:rPr>
        <w:t>. CD4</w:t>
      </w:r>
      <w:r>
        <w:rPr>
          <w:rFonts w:cs="Calibri" w:ascii="Calibri" w:hAnsi="Calibri"/>
          <w:szCs w:val="24"/>
          <w:vertAlign w:val="superscript"/>
          <w:lang w:val="en-AU"/>
        </w:rPr>
        <w:t>+</w:t>
      </w:r>
      <w:r>
        <w:rPr>
          <w:rFonts w:cs="Calibri" w:ascii="Calibri" w:hAnsi="Calibri"/>
          <w:szCs w:val="24"/>
          <w:lang w:val="en-AU"/>
        </w:rPr>
        <w:t xml:space="preserve"> T cells act by promoting immune responses through specific cytokine and chemokine secretion profiles, whilst CD8</w:t>
      </w:r>
      <w:r>
        <w:rPr>
          <w:rFonts w:cs="Calibri" w:ascii="Calibri" w:hAnsi="Calibri"/>
          <w:szCs w:val="24"/>
          <w:vertAlign w:val="superscript"/>
          <w:lang w:val="en-AU"/>
        </w:rPr>
        <w:t>+</w:t>
      </w:r>
      <w:r>
        <w:rPr>
          <w:rFonts w:cs="Calibri" w:ascii="Calibri" w:hAnsi="Calibri"/>
          <w:szCs w:val="24"/>
          <w:lang w:val="en-AU"/>
        </w:rPr>
        <w:t xml:space="preserve"> T cells directly kill tumour cells </w:t>
      </w:r>
      <w:r>
        <w:fldChar w:fldCharType="begin"/>
      </w:r>
      <w:r>
        <w:rPr>
          <w:szCs w:val="24"/>
          <w:rFonts w:cs="Calibri" w:ascii="Calibri" w:hAnsi="Calibri"/>
        </w:rPr>
        <w:instrText>ADDIN EN.CITE</w:instrText>
      </w:r>
      <w:r>
        <w:rPr>
          <w:szCs w:val="24"/>
          <w:rFonts w:cs="Calibri" w:ascii="Calibri" w:hAnsi="Calibri"/>
        </w:rPr>
        <w:fldChar w:fldCharType="separate"/>
      </w:r>
      <w:bookmarkStart w:id="21" w:name="Bookmark22"/>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22" w:name="Bookmark21"/>
      <w:bookmarkEnd w:id="21"/>
      <w:r>
        <w:rPr>
          <w:rFonts w:cs="Calibri" w:ascii="Calibri" w:hAnsi="Calibri"/>
          <w:szCs w:val="24"/>
          <w:lang w:val="en-AU"/>
        </w:rPr>
        <w:t>(17-19)</w:t>
      </w:r>
      <w:r>
        <w:rPr>
          <w:rFonts w:cs="Calibri" w:ascii="Calibri" w:hAnsi="Calibri"/>
          <w:szCs w:val="24"/>
          <w:lang w:val="en-AU"/>
        </w:rPr>
      </w:r>
      <w:r>
        <w:rPr>
          <w:szCs w:val="24"/>
          <w:rFonts w:cs="Calibri" w:ascii="Calibri" w:hAnsi="Calibri"/>
        </w:rPr>
        <w:fldChar w:fldCharType="end"/>
      </w:r>
      <w:bookmarkEnd w:id="22"/>
      <w:r>
        <w:rPr>
          <w:rFonts w:cs="Calibri" w:ascii="Calibri" w:hAnsi="Calibri"/>
          <w:szCs w:val="24"/>
          <w:lang w:val="en-AU"/>
        </w:rPr>
        <w:t>. This review will explore the CD8</w:t>
      </w:r>
      <w:r>
        <w:rPr>
          <w:rFonts w:cs="Calibri" w:ascii="Calibri" w:hAnsi="Calibri"/>
          <w:szCs w:val="24"/>
          <w:vertAlign w:val="superscript"/>
          <w:lang w:val="en-AU"/>
        </w:rPr>
        <w:t>+</w:t>
      </w:r>
      <w:r>
        <w:rPr>
          <w:rFonts w:cs="Calibri" w:ascii="Calibri" w:hAnsi="Calibri"/>
          <w:szCs w:val="24"/>
          <w:lang w:val="en-AU"/>
        </w:rPr>
        <w:t xml:space="preserve"> T cell response in cancer.</w:t>
      </w:r>
    </w:p>
    <w:p>
      <w:pPr>
        <w:pStyle w:val="Normal"/>
        <w:rPr>
          <w:rFonts w:ascii="Calibri" w:hAnsi="Calibri" w:cs="Calibri"/>
          <w:b/>
          <w:b/>
          <w:bCs/>
          <w:i/>
          <w:i/>
          <w:iCs/>
          <w:szCs w:val="24"/>
          <w:lang w:val="en-AU"/>
        </w:rPr>
      </w:pPr>
      <w:r>
        <w:rPr>
          <w:rFonts w:cs="Calibri" w:ascii="Calibri" w:hAnsi="Calibri"/>
          <w:b/>
          <w:bCs/>
          <w:i/>
          <w:iCs/>
          <w:szCs w:val="24"/>
          <w:lang w:val="en-AU"/>
        </w:rPr>
      </w:r>
    </w:p>
    <w:p>
      <w:pPr>
        <w:pStyle w:val="Normal"/>
        <w:rPr>
          <w:rFonts w:ascii="Calibri" w:hAnsi="Calibri" w:cs="Calibri"/>
          <w:b/>
          <w:b/>
          <w:bCs/>
          <w:i/>
          <w:i/>
          <w:iCs/>
          <w:szCs w:val="24"/>
          <w:lang w:val="en-AU"/>
        </w:rPr>
      </w:pPr>
      <w:r>
        <w:rPr>
          <w:rFonts w:cs="Calibri" w:ascii="Calibri" w:hAnsi="Calibri"/>
          <w:b/>
          <w:bCs/>
          <w:i/>
          <w:iCs/>
          <w:szCs w:val="24"/>
          <w:lang w:val="en-AU"/>
        </w:rPr>
        <w:t>3.1.1 CD8</w:t>
      </w:r>
      <w:r>
        <w:rPr>
          <w:rFonts w:cs="Calibri" w:ascii="Calibri" w:hAnsi="Calibri"/>
          <w:b/>
          <w:bCs/>
          <w:i/>
          <w:iCs/>
          <w:szCs w:val="24"/>
          <w:vertAlign w:val="superscript"/>
          <w:lang w:val="en-AU"/>
        </w:rPr>
        <w:t>+</w:t>
      </w:r>
      <w:r>
        <w:rPr>
          <w:rFonts w:cs="Calibri" w:ascii="Calibri" w:hAnsi="Calibri"/>
          <w:b/>
          <w:bCs/>
          <w:i/>
          <w:iCs/>
          <w:szCs w:val="24"/>
          <w:lang w:val="en-AU"/>
        </w:rPr>
        <w:t xml:space="preserve"> T lymphocytes</w:t>
      </w:r>
    </w:p>
    <w:p>
      <w:pPr>
        <w:pStyle w:val="Normal"/>
        <w:rPr/>
      </w:pPr>
      <w:r>
        <w:rPr>
          <w:rFonts w:cs="Calibri" w:ascii="Calibri" w:hAnsi="Calibri"/>
          <w:szCs w:val="24"/>
          <w:lang w:val="en-AU"/>
        </w:rPr>
        <w:t>Effector CD8</w:t>
      </w:r>
      <w:r>
        <w:rPr>
          <w:rFonts w:cs="Calibri" w:ascii="Calibri" w:hAnsi="Calibri"/>
          <w:szCs w:val="24"/>
          <w:vertAlign w:val="superscript"/>
          <w:lang w:val="en-AU"/>
        </w:rPr>
        <w:t>+</w:t>
      </w:r>
      <w:r>
        <w:rPr>
          <w:rFonts w:cs="Calibri" w:ascii="Calibri" w:hAnsi="Calibri"/>
          <w:szCs w:val="24"/>
          <w:lang w:val="en-AU"/>
        </w:rPr>
        <w:t xml:space="preserve"> T cells, otherwise known as cytotoxic T lymphocytes (CTLs) recognise tumour cells expressing cognate peptide antigens in the context of MHCI in order to mediate direct lysis. CTLs mediate target cell killing through a number of pathways, chief of which include the perforin/granzyme, Fas/Fas ligand (FasL) and tumour necrosis factor (TNF)-related apoptosis-inducing ligand (TRAIL) pathways </w:t>
      </w:r>
      <w:r>
        <w:fldChar w:fldCharType="begin"/>
      </w:r>
      <w:r>
        <w:rPr>
          <w:szCs w:val="24"/>
          <w:rFonts w:cs="Calibri" w:ascii="Calibri" w:hAnsi="Calibri"/>
        </w:rPr>
        <w:instrText>ADDIN EN.CITE</w:instrText>
      </w:r>
      <w:r>
        <w:rPr>
          <w:szCs w:val="24"/>
          <w:rFonts w:cs="Calibri" w:ascii="Calibri" w:hAnsi="Calibri"/>
        </w:rPr>
        <w:fldChar w:fldCharType="separate"/>
      </w:r>
      <w:bookmarkStart w:id="23" w:name="Bookmark24"/>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24" w:name="Bookmark23"/>
      <w:bookmarkEnd w:id="23"/>
      <w:r>
        <w:rPr>
          <w:rFonts w:cs="Calibri" w:ascii="Calibri" w:hAnsi="Calibri"/>
          <w:szCs w:val="24"/>
          <w:lang w:val="en-AU"/>
        </w:rPr>
        <w:t>(19, 20)</w:t>
      </w:r>
      <w:r>
        <w:rPr>
          <w:rFonts w:cs="Calibri" w:ascii="Calibri" w:hAnsi="Calibri"/>
          <w:szCs w:val="24"/>
          <w:lang w:val="en-AU"/>
        </w:rPr>
      </w:r>
      <w:r>
        <w:rPr>
          <w:szCs w:val="24"/>
          <w:rFonts w:cs="Calibri" w:ascii="Calibri" w:hAnsi="Calibri"/>
        </w:rPr>
        <w:fldChar w:fldCharType="end"/>
      </w:r>
      <w:bookmarkEnd w:id="24"/>
      <w:r>
        <w:rPr>
          <w:rFonts w:cs="Calibri" w:ascii="Calibri" w:hAnsi="Calibri"/>
          <w:szCs w:val="24"/>
          <w:lang w:val="en-AU"/>
        </w:rPr>
        <w:t xml:space="preserve">. In addition to stimulatory co-receptors, activation of CTLs also drives the upregulation of inhibitory receptors collectively known as immune checkpoint receptors. These receptors include programmed death 1 (PD-1), cytotoxic T lymphocyte associated protein 4 (CTLA4), lymphocyte activating gene 3 (LAG3) and T cell immunoglobulin mucin-3 (TIM3), that prevent overactivation and host damage during a typical immune response </w:t>
      </w:r>
      <w:r>
        <w:fldChar w:fldCharType="begin"/>
      </w:r>
      <w:r>
        <w:rPr>
          <w:szCs w:val="24"/>
          <w:rFonts w:cs="Calibri" w:ascii="Calibri" w:hAnsi="Calibri"/>
        </w:rPr>
        <w:instrText>ADDIN EN.CITE &lt;EndNote&gt;&lt;Cite&gt;&lt;Author&gt;Wei&lt;/Author&gt;&lt;Year&gt;2018&lt;/Year&gt;&lt;RecNum&gt;38&lt;/RecNum&gt;&lt;DisplayText&gt;(21)&lt;/DisplayText&gt;&lt;record&gt;&lt;rec-number&gt;38&lt;/rec-number&gt;&lt;foreign-keys&gt;&lt;key app="EN" db-id="0svr029aax0d22erzzkprfpvefwawtzaazpa" timestamp="1596067436"&gt;38&lt;/key&gt;&lt;/foreign-keys&gt;&lt;ref-type name="Journal Article"&gt;17&lt;/ref-type&gt;&lt;contributors&gt;&lt;authors&gt;&lt;author&gt;Wei, Spencer C.&lt;/author&gt;&lt;author&gt;Duffy, Colm R.&lt;/author&gt;&lt;author&gt;Allison, James P.&lt;/author&gt;&lt;/authors&gt;&lt;/contributors&gt;&lt;titles&gt;&lt;title&gt;Fundamental Mechanisms of Immune Checkpoint Blockade Therapy&lt;/title&gt;&lt;secondary-title&gt;Cancer Discovery&lt;/secondary-title&gt;&lt;/titles&gt;&lt;periodical&gt;&lt;full-title&gt;Cancer Discovery&lt;/full-title&gt;&lt;/periodical&gt;&lt;pages&gt;1069-1086&lt;/pages&gt;&lt;volume&gt;8&lt;/volume&gt;&lt;number&gt;9&lt;/number&gt;&lt;dates&gt;&lt;year&gt;2018&lt;/year&gt;&lt;/dates&gt;&lt;urls&gt;&lt;related-urls&gt;&lt;url&gt;https://cancerdiscovery.aacrjournals.org/content/candisc/8/9/1069.full.pdf&lt;/url&gt;&lt;/related-urls&gt;&lt;/urls&gt;&lt;electronic-resource-num&gt;10.1158/2159-8290.Cd-18-0367&lt;/electronic-resource-num&gt;&lt;/record&gt;&lt;/Cite&gt;&lt;/EndNote&gt;</w:instrText>
      </w:r>
      <w:r>
        <w:rPr>
          <w:szCs w:val="24"/>
          <w:rFonts w:cs="Calibri" w:ascii="Calibri" w:hAnsi="Calibri"/>
        </w:rPr>
        <w:fldChar w:fldCharType="separate"/>
      </w:r>
      <w:bookmarkStart w:id="25" w:name="Bookmark25"/>
      <w:r>
        <w:rPr>
          <w:rFonts w:cs="Calibri" w:ascii="Calibri" w:hAnsi="Calibri"/>
          <w:szCs w:val="24"/>
          <w:lang w:val="en-AU"/>
        </w:rPr>
        <w:t>(21)</w:t>
      </w:r>
      <w:r>
        <w:rPr>
          <w:rFonts w:cs="Calibri" w:ascii="Calibri" w:hAnsi="Calibri"/>
          <w:szCs w:val="24"/>
          <w:lang w:val="en-AU"/>
        </w:rPr>
      </w:r>
      <w:r>
        <w:rPr>
          <w:szCs w:val="24"/>
          <w:rFonts w:cs="Calibri" w:ascii="Calibri" w:hAnsi="Calibri"/>
        </w:rPr>
        <w:fldChar w:fldCharType="end"/>
      </w:r>
      <w:bookmarkEnd w:id="25"/>
      <w:r>
        <w:rPr>
          <w:rFonts w:cs="Calibri" w:ascii="Calibri" w:hAnsi="Calibri"/>
          <w:szCs w:val="24"/>
          <w:lang w:val="en-AU"/>
        </w:rPr>
        <w:t xml:space="preserve">. Interactions between immune checkpoint receptors and their ligands may be exploited by the tumour to restrict tumour cell elimination and will be further discussed in </w:t>
      </w:r>
      <w:r>
        <w:rPr>
          <w:rFonts w:cs="Calibri" w:ascii="Calibri" w:hAnsi="Calibri"/>
          <w:b/>
          <w:bCs/>
          <w:i/>
          <w:iCs/>
          <w:szCs w:val="24"/>
          <w:lang w:val="en-AU"/>
        </w:rPr>
        <w:t>Section 3.2</w:t>
      </w:r>
      <w:r>
        <w:rPr>
          <w:rFonts w:cs="Calibri" w:ascii="Calibri" w:hAnsi="Calibri"/>
          <w:szCs w:val="24"/>
          <w:lang w:val="en-AU"/>
        </w:rPr>
        <w:t>.</w:t>
      </w:r>
    </w:p>
    <w:p>
      <w:pPr>
        <w:pStyle w:val="Normal"/>
        <w:rPr>
          <w:rFonts w:ascii="Calibri" w:hAnsi="Calibri" w:cs="Calibri"/>
          <w:szCs w:val="24"/>
          <w:lang w:val="en-AU"/>
        </w:rPr>
      </w:pPr>
      <w:r>
        <w:rPr>
          <w:rFonts w:cs="Calibri" w:ascii="Calibri" w:hAnsi="Calibri"/>
          <w:szCs w:val="24"/>
          <w:lang w:val="en-AU"/>
        </w:rPr>
      </w:r>
    </w:p>
    <w:p>
      <w:pPr>
        <w:pStyle w:val="Normal"/>
        <w:rPr>
          <w:rFonts w:ascii="Calibri" w:hAnsi="Calibri" w:cs="Calibri"/>
          <w:b/>
          <w:b/>
          <w:bCs/>
          <w:i/>
          <w:i/>
          <w:iCs/>
          <w:szCs w:val="24"/>
          <w:lang w:val="en-AU"/>
        </w:rPr>
      </w:pPr>
      <w:r>
        <w:rPr>
          <w:rFonts w:cs="Calibri" w:ascii="Calibri" w:hAnsi="Calibri"/>
          <w:b/>
          <w:bCs/>
          <w:i/>
          <w:iCs/>
          <w:szCs w:val="24"/>
          <w:lang w:val="en-AU"/>
        </w:rPr>
        <w:t>3.1.1.1 CD8</w:t>
      </w:r>
      <w:r>
        <w:rPr>
          <w:rFonts w:cs="Calibri" w:ascii="Calibri" w:hAnsi="Calibri"/>
          <w:b/>
          <w:bCs/>
          <w:i/>
          <w:iCs/>
          <w:szCs w:val="24"/>
          <w:vertAlign w:val="superscript"/>
          <w:lang w:val="en-AU"/>
        </w:rPr>
        <w:t>+</w:t>
      </w:r>
      <w:r>
        <w:rPr>
          <w:rFonts w:cs="Calibri" w:ascii="Calibri" w:hAnsi="Calibri"/>
          <w:b/>
          <w:bCs/>
          <w:i/>
          <w:iCs/>
          <w:szCs w:val="24"/>
          <w:lang w:val="en-AU"/>
        </w:rPr>
        <w:t xml:space="preserve"> T cell memory subsets</w:t>
      </w:r>
    </w:p>
    <w:p>
      <w:pPr>
        <w:pStyle w:val="Normal"/>
        <w:rPr>
          <w:rFonts w:ascii="Calibri" w:hAnsi="Calibri" w:cs="Calibri"/>
          <w:szCs w:val="24"/>
          <w:lang w:val="en-AU"/>
        </w:rPr>
      </w:pPr>
      <w:r>
        <w:rPr>
          <w:rFonts w:cs="Calibri" w:ascii="Calibri" w:hAnsi="Calibri"/>
          <w:szCs w:val="24"/>
          <w:lang w:val="en-AU"/>
        </w:rPr>
        <w:t>Following expansion and activation, a portion of CTLs differentiate into CD8</w:t>
      </w:r>
      <w:r>
        <w:rPr>
          <w:rFonts w:cs="Calibri" w:ascii="Calibri" w:hAnsi="Calibri"/>
          <w:szCs w:val="24"/>
          <w:vertAlign w:val="superscript"/>
          <w:lang w:val="en-AU"/>
        </w:rPr>
        <w:t>+</w:t>
      </w:r>
      <w:r>
        <w:rPr>
          <w:rFonts w:cs="Calibri" w:ascii="Calibri" w:hAnsi="Calibri"/>
          <w:szCs w:val="24"/>
          <w:lang w:val="en-AU"/>
        </w:rPr>
        <w:t xml:space="preserve"> memory T cells. There are different subsets of CD8</w:t>
      </w:r>
      <w:r>
        <w:rPr>
          <w:rFonts w:cs="Calibri" w:ascii="Calibri" w:hAnsi="Calibri"/>
          <w:szCs w:val="24"/>
          <w:vertAlign w:val="superscript"/>
          <w:lang w:val="en-AU"/>
        </w:rPr>
        <w:t>+</w:t>
      </w:r>
      <w:r>
        <w:rPr>
          <w:rFonts w:cs="Calibri" w:ascii="Calibri" w:hAnsi="Calibri"/>
          <w:szCs w:val="24"/>
          <w:lang w:val="en-AU"/>
        </w:rPr>
        <w:t xml:space="preserve"> memory T cells that have distinct proliferative, cytotoxic and inflammatory potential. This review will discuss memory T cell subsets that have therapeutic relevance in adoptive cellular therapy (ACT). These include effector memory T (T</w:t>
      </w:r>
      <w:r>
        <w:rPr>
          <w:rFonts w:cs="Calibri" w:ascii="Calibri" w:hAnsi="Calibri"/>
          <w:szCs w:val="24"/>
          <w:vertAlign w:val="subscript"/>
          <w:lang w:val="en-AU"/>
        </w:rPr>
        <w:t>EM</w:t>
      </w:r>
      <w:r>
        <w:rPr>
          <w:rFonts w:cs="Calibri" w:ascii="Calibri" w:hAnsi="Calibri"/>
          <w:szCs w:val="24"/>
          <w:lang w:val="en-AU"/>
        </w:rPr>
        <w:t>), central memory T (T</w:t>
      </w:r>
      <w:r>
        <w:rPr>
          <w:rFonts w:cs="Calibri" w:ascii="Calibri" w:hAnsi="Calibri"/>
          <w:szCs w:val="24"/>
          <w:vertAlign w:val="subscript"/>
          <w:lang w:val="en-AU"/>
        </w:rPr>
        <w:t>CM</w:t>
      </w:r>
      <w:r>
        <w:rPr>
          <w:rFonts w:cs="Calibri" w:ascii="Calibri" w:hAnsi="Calibri"/>
          <w:szCs w:val="24"/>
          <w:lang w:val="en-AU"/>
        </w:rPr>
        <w:t>) and stem cell memory (T</w:t>
      </w:r>
      <w:r>
        <w:rPr>
          <w:rFonts w:cs="Calibri" w:ascii="Calibri" w:hAnsi="Calibri"/>
          <w:szCs w:val="24"/>
          <w:vertAlign w:val="subscript"/>
          <w:lang w:val="en-AU"/>
        </w:rPr>
        <w:t>SCM</w:t>
      </w:r>
      <w:r>
        <w:rPr>
          <w:rFonts w:cs="Calibri" w:ascii="Calibri" w:hAnsi="Calibri"/>
          <w:szCs w:val="24"/>
          <w:lang w:val="en-AU"/>
        </w:rPr>
        <w:t>) cells.</w:t>
      </w:r>
    </w:p>
    <w:p>
      <w:pPr>
        <w:pStyle w:val="Normal"/>
        <w:rPr>
          <w:rFonts w:ascii="Calibri" w:hAnsi="Calibri" w:cs="Calibri"/>
          <w:szCs w:val="24"/>
          <w:lang w:val="en-AU"/>
        </w:rPr>
      </w:pPr>
      <w:r>
        <w:rPr>
          <w:rFonts w:cs="Calibri" w:ascii="Calibri" w:hAnsi="Calibri"/>
          <w:szCs w:val="24"/>
          <w:lang w:val="en-AU"/>
        </w:rPr>
      </w:r>
    </w:p>
    <w:p>
      <w:pPr>
        <w:pStyle w:val="Normal"/>
        <w:rPr/>
      </w:pPr>
      <w:r>
        <w:rPr>
          <w:rFonts w:cs="Calibri" w:ascii="Calibri" w:hAnsi="Calibri"/>
          <w:szCs w:val="24"/>
          <w:lang w:val="en-AU"/>
        </w:rPr>
        <w:t>Major CD8</w:t>
      </w:r>
      <w:r>
        <w:rPr>
          <w:rFonts w:cs="Calibri" w:ascii="Calibri" w:hAnsi="Calibri"/>
          <w:szCs w:val="24"/>
          <w:vertAlign w:val="superscript"/>
          <w:lang w:val="en-AU"/>
        </w:rPr>
        <w:t>+</w:t>
      </w:r>
      <w:r>
        <w:rPr>
          <w:rFonts w:cs="Calibri" w:ascii="Calibri" w:hAnsi="Calibri"/>
          <w:szCs w:val="24"/>
          <w:lang w:val="en-AU"/>
        </w:rPr>
        <w:t xml:space="preserve"> T cell memory cell subsets include T</w:t>
      </w:r>
      <w:r>
        <w:rPr>
          <w:rFonts w:cs="Calibri" w:ascii="Calibri" w:hAnsi="Calibri"/>
          <w:szCs w:val="24"/>
          <w:vertAlign w:val="subscript"/>
          <w:lang w:val="en-AU"/>
        </w:rPr>
        <w:t>EM</w:t>
      </w:r>
      <w:r>
        <w:rPr>
          <w:rFonts w:cs="Calibri" w:ascii="Calibri" w:hAnsi="Calibri"/>
          <w:szCs w:val="24"/>
          <w:lang w:val="en-AU"/>
        </w:rPr>
        <w:t xml:space="preserve"> and T</w:t>
      </w:r>
      <w:r>
        <w:rPr>
          <w:rFonts w:cs="Calibri" w:ascii="Calibri" w:hAnsi="Calibri"/>
          <w:szCs w:val="24"/>
          <w:vertAlign w:val="subscript"/>
          <w:lang w:val="en-AU"/>
        </w:rPr>
        <w:t>CM</w:t>
      </w:r>
      <w:r>
        <w:rPr>
          <w:rFonts w:cs="Calibri" w:ascii="Calibri" w:hAnsi="Calibri"/>
          <w:szCs w:val="24"/>
          <w:lang w:val="en-AU"/>
        </w:rPr>
        <w:t xml:space="preserve"> cells </w:t>
      </w:r>
      <w:r>
        <w:fldChar w:fldCharType="begin"/>
      </w:r>
      <w:r>
        <w:rPr>
          <w:szCs w:val="24"/>
          <w:rFonts w:cs="Calibri" w:ascii="Calibri" w:hAnsi="Calibri"/>
        </w:rPr>
        <w:instrText>ADDIN EN.CITE</w:instrText>
      </w:r>
      <w:r>
        <w:rPr>
          <w:szCs w:val="24"/>
          <w:rFonts w:cs="Calibri" w:ascii="Calibri" w:hAnsi="Calibri"/>
        </w:rPr>
        <w:fldChar w:fldCharType="separate"/>
      </w:r>
      <w:bookmarkStart w:id="26" w:name="Bookmark27"/>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27" w:name="Bookmark26"/>
      <w:bookmarkEnd w:id="26"/>
      <w:r>
        <w:rPr>
          <w:rFonts w:cs="Calibri" w:ascii="Calibri" w:hAnsi="Calibri"/>
          <w:szCs w:val="24"/>
          <w:lang w:val="en-AU"/>
        </w:rPr>
        <w:t>(22, 23)</w:t>
      </w:r>
      <w:r>
        <w:rPr>
          <w:rFonts w:cs="Calibri" w:ascii="Calibri" w:hAnsi="Calibri"/>
          <w:szCs w:val="24"/>
          <w:lang w:val="en-AU"/>
        </w:rPr>
      </w:r>
      <w:r>
        <w:rPr>
          <w:szCs w:val="24"/>
          <w:rFonts w:cs="Calibri" w:ascii="Calibri" w:hAnsi="Calibri"/>
        </w:rPr>
        <w:fldChar w:fldCharType="end"/>
      </w:r>
      <w:bookmarkEnd w:id="27"/>
      <w:r>
        <w:rPr>
          <w:rFonts w:cs="Calibri" w:ascii="Calibri" w:hAnsi="Calibri"/>
          <w:szCs w:val="24"/>
          <w:lang w:val="en-AU"/>
        </w:rPr>
        <w:t>. T</w:t>
      </w:r>
      <w:r>
        <w:rPr>
          <w:rFonts w:cs="Calibri" w:ascii="Calibri" w:hAnsi="Calibri"/>
          <w:szCs w:val="24"/>
          <w:vertAlign w:val="subscript"/>
          <w:lang w:val="en-AU"/>
        </w:rPr>
        <w:t>EM</w:t>
      </w:r>
      <w:r>
        <w:rPr>
          <w:rFonts w:cs="Calibri" w:ascii="Calibri" w:hAnsi="Calibri"/>
          <w:szCs w:val="24"/>
          <w:lang w:val="en-AU"/>
        </w:rPr>
        <w:t xml:space="preserve"> cells represent a more differentiated memory T cell population that harbor a rapid, more elevated cytotoxic potential and have a reduced capacity for self-renewal compared to the less the differentiated T</w:t>
      </w:r>
      <w:r>
        <w:rPr>
          <w:rFonts w:cs="Calibri" w:ascii="Calibri" w:hAnsi="Calibri"/>
          <w:szCs w:val="24"/>
          <w:vertAlign w:val="subscript"/>
          <w:lang w:val="en-AU"/>
        </w:rPr>
        <w:t xml:space="preserve">CM </w:t>
      </w:r>
      <w:r>
        <w:rPr>
          <w:rFonts w:cs="Calibri" w:ascii="Calibri" w:hAnsi="Calibri"/>
          <w:szCs w:val="24"/>
          <w:lang w:val="en-AU"/>
        </w:rPr>
        <w:t xml:space="preserve">cells </w:t>
      </w:r>
      <w:r>
        <w:fldChar w:fldCharType="begin"/>
      </w:r>
      <w:r>
        <w:rPr>
          <w:szCs w:val="24"/>
          <w:rFonts w:cs="Calibri" w:ascii="Calibri" w:hAnsi="Calibri"/>
        </w:rPr>
        <w:instrText>ADDIN EN.CITE</w:instrText>
      </w:r>
      <w:r>
        <w:rPr>
          <w:szCs w:val="24"/>
          <w:rFonts w:cs="Calibri" w:ascii="Calibri" w:hAnsi="Calibri"/>
        </w:rPr>
        <w:fldChar w:fldCharType="separate"/>
      </w:r>
      <w:bookmarkStart w:id="28" w:name="Bookmark29"/>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29" w:name="Bookmark28"/>
      <w:bookmarkEnd w:id="28"/>
      <w:r>
        <w:rPr>
          <w:rFonts w:cs="Calibri" w:ascii="Calibri" w:hAnsi="Calibri"/>
          <w:szCs w:val="24"/>
          <w:lang w:val="en-AU"/>
        </w:rPr>
        <w:t>(24-26)</w:t>
      </w:r>
      <w:r>
        <w:rPr>
          <w:rFonts w:cs="Calibri" w:ascii="Calibri" w:hAnsi="Calibri"/>
          <w:szCs w:val="24"/>
          <w:lang w:val="en-AU"/>
        </w:rPr>
      </w:r>
      <w:r>
        <w:rPr>
          <w:szCs w:val="24"/>
          <w:rFonts w:cs="Calibri" w:ascii="Calibri" w:hAnsi="Calibri"/>
        </w:rPr>
        <w:fldChar w:fldCharType="end"/>
      </w:r>
      <w:bookmarkEnd w:id="29"/>
      <w:r>
        <w:rPr>
          <w:rFonts w:cs="Calibri" w:ascii="Calibri" w:hAnsi="Calibri"/>
          <w:szCs w:val="24"/>
          <w:lang w:val="en-AU"/>
        </w:rPr>
        <w:t>. T</w:t>
      </w:r>
      <w:r>
        <w:rPr>
          <w:rFonts w:cs="Calibri" w:ascii="Calibri" w:hAnsi="Calibri"/>
          <w:szCs w:val="24"/>
          <w:vertAlign w:val="subscript"/>
          <w:lang w:val="en-AU"/>
        </w:rPr>
        <w:t>EM</w:t>
      </w:r>
      <w:r>
        <w:rPr>
          <w:rFonts w:cs="Calibri" w:ascii="Calibri" w:hAnsi="Calibri"/>
          <w:szCs w:val="24"/>
          <w:lang w:val="en-AU"/>
        </w:rPr>
        <w:t xml:space="preserve"> cells are characterized by markers of antigen experience such as CD44 in mice, and a lack of expression of molecules associated with homing to secondary lymphoid tissues including CD62L </w:t>
      </w:r>
      <w:r>
        <w:fldChar w:fldCharType="begin"/>
      </w:r>
      <w:r>
        <w:rPr>
          <w:szCs w:val="24"/>
          <w:rFonts w:cs="Calibri" w:ascii="Calibri" w:hAnsi="Calibri"/>
        </w:rPr>
        <w:instrText>ADDIN EN.CITE</w:instrText>
      </w:r>
      <w:r>
        <w:rPr>
          <w:szCs w:val="24"/>
          <w:rFonts w:cs="Calibri" w:ascii="Calibri" w:hAnsi="Calibri"/>
        </w:rPr>
        <w:fldChar w:fldCharType="separate"/>
      </w:r>
      <w:bookmarkStart w:id="30" w:name="Bookmark31"/>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31" w:name="Bookmark30"/>
      <w:bookmarkEnd w:id="30"/>
      <w:r>
        <w:rPr>
          <w:rFonts w:cs="Calibri" w:ascii="Calibri" w:hAnsi="Calibri"/>
          <w:szCs w:val="24"/>
          <w:lang w:val="en-AU"/>
        </w:rPr>
        <w:t>(22, 23)</w:t>
      </w:r>
      <w:r>
        <w:rPr>
          <w:rFonts w:cs="Calibri" w:ascii="Calibri" w:hAnsi="Calibri"/>
          <w:szCs w:val="24"/>
          <w:lang w:val="en-AU"/>
        </w:rPr>
      </w:r>
      <w:r>
        <w:rPr>
          <w:szCs w:val="24"/>
          <w:rFonts w:cs="Calibri" w:ascii="Calibri" w:hAnsi="Calibri"/>
        </w:rPr>
        <w:fldChar w:fldCharType="end"/>
      </w:r>
      <w:bookmarkEnd w:id="31"/>
      <w:r>
        <w:rPr>
          <w:rFonts w:cs="Calibri" w:ascii="Calibri" w:hAnsi="Calibri"/>
          <w:szCs w:val="24"/>
          <w:lang w:val="en-AU"/>
        </w:rPr>
        <w:t>. Following secondary antigen encounter, T</w:t>
      </w:r>
      <w:r>
        <w:rPr>
          <w:rFonts w:cs="Calibri" w:ascii="Calibri" w:hAnsi="Calibri"/>
          <w:szCs w:val="24"/>
          <w:vertAlign w:val="subscript"/>
          <w:lang w:val="en-AU"/>
        </w:rPr>
        <w:t>EM</w:t>
      </w:r>
      <w:r>
        <w:rPr>
          <w:rFonts w:cs="Calibri" w:ascii="Calibri" w:hAnsi="Calibri"/>
          <w:szCs w:val="24"/>
          <w:lang w:val="en-AU"/>
        </w:rPr>
        <w:t xml:space="preserve"> cells rapidly migrate to inflamed tissues and respond through differentiation into effector T cells. </w:t>
      </w:r>
    </w:p>
    <w:p>
      <w:pPr>
        <w:pStyle w:val="Normal"/>
        <w:rPr>
          <w:rFonts w:ascii="Calibri" w:hAnsi="Calibri" w:cs="Calibri"/>
          <w:szCs w:val="24"/>
          <w:lang w:val="en-AU"/>
        </w:rPr>
      </w:pPr>
      <w:r>
        <w:rPr>
          <w:rFonts w:cs="Calibri" w:ascii="Calibri" w:hAnsi="Calibri"/>
          <w:szCs w:val="24"/>
          <w:lang w:val="en-AU"/>
        </w:rPr>
      </w:r>
    </w:p>
    <w:p>
      <w:pPr>
        <w:pStyle w:val="Normal"/>
        <w:rPr/>
      </w:pPr>
      <w:r>
        <w:rPr>
          <w:rFonts w:cs="Calibri" w:ascii="Calibri" w:hAnsi="Calibri"/>
          <w:szCs w:val="24"/>
          <w:lang w:val="en-AU"/>
        </w:rPr>
        <w:t>T</w:t>
      </w:r>
      <w:r>
        <w:rPr>
          <w:rFonts w:cs="Calibri" w:ascii="Calibri" w:hAnsi="Calibri"/>
          <w:szCs w:val="24"/>
          <w:vertAlign w:val="subscript"/>
          <w:lang w:val="en-AU"/>
        </w:rPr>
        <w:t>CM</w:t>
      </w:r>
      <w:r>
        <w:rPr>
          <w:rFonts w:cs="Calibri" w:ascii="Calibri" w:hAnsi="Calibri"/>
          <w:szCs w:val="24"/>
          <w:lang w:val="en-AU"/>
        </w:rPr>
        <w:t xml:space="preserve"> cells represent a less differentiated memory subset and poses lymph node homing potential through the expression of L-selectin (CD62L) and the CC-chemokine receptor, CCR7 </w:t>
      </w:r>
      <w:r>
        <w:fldChar w:fldCharType="begin"/>
      </w:r>
      <w:r>
        <w:rPr>
          <w:szCs w:val="24"/>
          <w:rFonts w:cs="Calibri" w:ascii="Calibri" w:hAnsi="Calibri"/>
        </w:rPr>
        <w:instrText>ADDIN EN.CITE</w:instrText>
      </w:r>
      <w:r>
        <w:rPr>
          <w:szCs w:val="24"/>
          <w:rFonts w:cs="Calibri" w:ascii="Calibri" w:hAnsi="Calibri"/>
        </w:rPr>
        <w:fldChar w:fldCharType="separate"/>
      </w:r>
      <w:bookmarkStart w:id="32" w:name="Bookmark33"/>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33" w:name="Bookmark32"/>
      <w:bookmarkEnd w:id="32"/>
      <w:r>
        <w:rPr>
          <w:rFonts w:cs="Calibri" w:ascii="Calibri" w:hAnsi="Calibri"/>
          <w:szCs w:val="24"/>
          <w:lang w:val="en-AU"/>
        </w:rPr>
        <w:t>(22, 23)</w:t>
      </w:r>
      <w:r>
        <w:rPr>
          <w:rFonts w:cs="Calibri" w:ascii="Calibri" w:hAnsi="Calibri"/>
          <w:szCs w:val="24"/>
          <w:lang w:val="en-AU"/>
        </w:rPr>
      </w:r>
      <w:r>
        <w:rPr>
          <w:szCs w:val="24"/>
          <w:rFonts w:cs="Calibri" w:ascii="Calibri" w:hAnsi="Calibri"/>
        </w:rPr>
        <w:fldChar w:fldCharType="end"/>
      </w:r>
      <w:bookmarkEnd w:id="33"/>
      <w:r>
        <w:rPr>
          <w:rFonts w:cs="Calibri" w:ascii="Calibri" w:hAnsi="Calibri"/>
          <w:szCs w:val="24"/>
          <w:lang w:val="en-AU"/>
        </w:rPr>
        <w:t>. T</w:t>
      </w:r>
      <w:r>
        <w:rPr>
          <w:rFonts w:cs="Calibri" w:ascii="Calibri" w:hAnsi="Calibri"/>
          <w:szCs w:val="24"/>
          <w:vertAlign w:val="subscript"/>
          <w:lang w:val="en-AU"/>
        </w:rPr>
        <w:t>CM</w:t>
      </w:r>
      <w:r>
        <w:rPr>
          <w:rFonts w:cs="Calibri" w:ascii="Calibri" w:hAnsi="Calibri"/>
          <w:szCs w:val="24"/>
          <w:lang w:val="en-AU"/>
        </w:rPr>
        <w:t xml:space="preserve"> are further characterized by their expression of CD44 in mice and CD45RO in humans. Compared to T</w:t>
      </w:r>
      <w:r>
        <w:rPr>
          <w:rFonts w:cs="Calibri" w:ascii="Calibri" w:hAnsi="Calibri"/>
          <w:szCs w:val="24"/>
          <w:vertAlign w:val="subscript"/>
          <w:lang w:val="en-AU"/>
        </w:rPr>
        <w:t>EM</w:t>
      </w:r>
      <w:r>
        <w:rPr>
          <w:rFonts w:cs="Calibri" w:ascii="Calibri" w:hAnsi="Calibri"/>
          <w:szCs w:val="24"/>
          <w:lang w:val="en-AU"/>
        </w:rPr>
        <w:t xml:space="preserve"> cells, T</w:t>
      </w:r>
      <w:r>
        <w:rPr>
          <w:rFonts w:cs="Calibri" w:ascii="Calibri" w:hAnsi="Calibri"/>
          <w:szCs w:val="24"/>
          <w:vertAlign w:val="subscript"/>
          <w:lang w:val="en-AU"/>
        </w:rPr>
        <w:t>CM</w:t>
      </w:r>
      <w:r>
        <w:rPr>
          <w:rFonts w:cs="Calibri" w:ascii="Calibri" w:hAnsi="Calibri"/>
          <w:szCs w:val="24"/>
          <w:lang w:val="en-AU"/>
        </w:rPr>
        <w:t xml:space="preserve"> cells have an increased proliferative and self-renewal capacity </w:t>
      </w:r>
      <w:r>
        <w:fldChar w:fldCharType="begin"/>
      </w:r>
      <w:r>
        <w:rPr>
          <w:szCs w:val="24"/>
          <w:rFonts w:cs="Calibri" w:ascii="Calibri" w:hAnsi="Calibri"/>
        </w:rPr>
        <w:instrText>ADDIN EN.CITE</w:instrText>
      </w:r>
      <w:r>
        <w:rPr>
          <w:szCs w:val="24"/>
          <w:rFonts w:cs="Calibri" w:ascii="Calibri" w:hAnsi="Calibri"/>
        </w:rPr>
        <w:fldChar w:fldCharType="separate"/>
      </w:r>
      <w:bookmarkStart w:id="34" w:name="Bookmark35"/>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35" w:name="Bookmark34"/>
      <w:bookmarkEnd w:id="34"/>
      <w:r>
        <w:rPr>
          <w:rFonts w:cs="Calibri" w:ascii="Calibri" w:hAnsi="Calibri"/>
          <w:szCs w:val="24"/>
          <w:lang w:val="en-AU"/>
        </w:rPr>
        <w:t>(22, 23)</w:t>
      </w:r>
      <w:r>
        <w:rPr>
          <w:rFonts w:cs="Calibri" w:ascii="Calibri" w:hAnsi="Calibri"/>
          <w:szCs w:val="24"/>
          <w:lang w:val="en-AU"/>
        </w:rPr>
      </w:r>
      <w:r>
        <w:rPr>
          <w:szCs w:val="24"/>
          <w:rFonts w:cs="Calibri" w:ascii="Calibri" w:hAnsi="Calibri"/>
        </w:rPr>
        <w:fldChar w:fldCharType="end"/>
      </w:r>
      <w:bookmarkEnd w:id="35"/>
      <w:r>
        <w:rPr>
          <w:rFonts w:cs="Calibri" w:ascii="Calibri" w:hAnsi="Calibri"/>
          <w:szCs w:val="24"/>
          <w:lang w:val="en-AU"/>
        </w:rPr>
        <w:t xml:space="preserve">. Findings by </w:t>
      </w:r>
      <w:r>
        <w:rPr>
          <w:rFonts w:cs="Calibri" w:ascii="Calibri" w:hAnsi="Calibri"/>
          <w:i/>
          <w:iCs/>
          <w:szCs w:val="24"/>
          <w:lang w:val="en-AU"/>
        </w:rPr>
        <w:t>Graef et al.</w:t>
      </w:r>
      <w:r>
        <w:rPr>
          <w:rFonts w:cs="Calibri" w:ascii="Calibri" w:hAnsi="Calibri"/>
          <w:szCs w:val="24"/>
          <w:lang w:val="en-AU"/>
        </w:rPr>
        <w:t xml:space="preserve"> demonstrate that activated T</w:t>
      </w:r>
      <w:r>
        <w:rPr>
          <w:rFonts w:cs="Calibri" w:ascii="Calibri" w:hAnsi="Calibri"/>
          <w:szCs w:val="24"/>
          <w:vertAlign w:val="subscript"/>
          <w:lang w:val="en-AU"/>
        </w:rPr>
        <w:t>CM</w:t>
      </w:r>
      <w:r>
        <w:rPr>
          <w:rFonts w:cs="Calibri" w:ascii="Calibri" w:hAnsi="Calibri"/>
          <w:szCs w:val="24"/>
          <w:lang w:val="en-AU"/>
        </w:rPr>
        <w:t xml:space="preserve"> cells give rise to both T</w:t>
      </w:r>
      <w:r>
        <w:rPr>
          <w:rFonts w:cs="Calibri" w:ascii="Calibri" w:hAnsi="Calibri"/>
          <w:szCs w:val="24"/>
          <w:vertAlign w:val="subscript"/>
          <w:lang w:val="en-AU"/>
        </w:rPr>
        <w:t>CM</w:t>
      </w:r>
      <w:r>
        <w:rPr>
          <w:rFonts w:cs="Calibri" w:ascii="Calibri" w:hAnsi="Calibri"/>
          <w:szCs w:val="24"/>
          <w:lang w:val="en-AU"/>
        </w:rPr>
        <w:t>, T</w:t>
      </w:r>
      <w:r>
        <w:rPr>
          <w:rFonts w:cs="Calibri" w:ascii="Calibri" w:hAnsi="Calibri"/>
          <w:szCs w:val="24"/>
          <w:vertAlign w:val="subscript"/>
          <w:lang w:val="en-AU"/>
        </w:rPr>
        <w:t>EM</w:t>
      </w:r>
      <w:r>
        <w:rPr>
          <w:rFonts w:cs="Calibri" w:ascii="Calibri" w:hAnsi="Calibri"/>
          <w:szCs w:val="24"/>
          <w:lang w:val="en-AU"/>
        </w:rPr>
        <w:t xml:space="preserve"> and effector T cell types and are important in contributing to a longer lived T cell memory when compared to T</w:t>
      </w:r>
      <w:r>
        <w:rPr>
          <w:rFonts w:cs="Calibri" w:ascii="Calibri" w:hAnsi="Calibri"/>
          <w:szCs w:val="24"/>
          <w:vertAlign w:val="subscript"/>
          <w:lang w:val="en-AU"/>
        </w:rPr>
        <w:t>EM</w:t>
      </w:r>
      <w:r>
        <w:rPr>
          <w:rFonts w:cs="Calibri" w:ascii="Calibri" w:hAnsi="Calibri"/>
          <w:szCs w:val="24"/>
          <w:lang w:val="en-AU"/>
        </w:rPr>
        <w:t xml:space="preserve"> cells </w:t>
      </w:r>
      <w:r>
        <w:fldChar w:fldCharType="begin"/>
      </w:r>
      <w:r>
        <w:rPr>
          <w:szCs w:val="24"/>
          <w:rFonts w:cs="Calibri" w:ascii="Calibri" w:hAnsi="Calibri"/>
        </w:rPr>
        <w:instrText>ADDIN EN.CITE &lt;EndNote&gt;&lt;Cite&gt;&lt;Author&gt;Graef&lt;/Author&gt;&lt;Year&gt;2014&lt;/Year&gt;&lt;RecNum&gt;56&lt;/RecNum&gt;&lt;DisplayText&gt;(25)&lt;/DisplayText&gt;&lt;record&gt;&lt;rec-number&gt;56&lt;/rec-number&gt;&lt;foreign-keys&gt;&lt;key app="EN" db-id="0svr029aax0d22erzzkprfpvefwawtzaazpa" timestamp="1596169073"&gt;56&lt;/key&gt;&lt;/foreign-keys&gt;&lt;ref-type name="Journal Article"&gt;17&lt;/ref-type&gt;&lt;contributors&gt;&lt;authors&gt;&lt;author&gt;Graef, Patricia&lt;/author&gt;&lt;author&gt;Buchholz, Veit R&lt;/author&gt;&lt;author&gt;Stemberger, Christian&lt;/author&gt;&lt;author&gt;Flossdorf, Michael&lt;/author&gt;&lt;author&gt;Henkel, Lynette&lt;/author&gt;&lt;author&gt;Schiemann, Matthias&lt;/author&gt;&lt;author&gt;Drexler, Ingo&lt;/author&gt;&lt;author&gt;Höfer, Thomas&lt;/author&gt;&lt;author&gt;Riddell, Stanley R&lt;/author&gt;&lt;author&gt;Busch, Dirk H&lt;/author&gt;&lt;/authors&gt;&lt;/contributors&gt;&lt;titles&gt;&lt;title&gt;Serial Transfer of Single-Cell-Derived Immunocompetence Reveals Stemness of CD8+ Central Memory T Cells&lt;/title&gt;&lt;secondary-title&gt;Immunity&lt;/secondary-title&gt;&lt;/titles&gt;&lt;periodical&gt;&lt;full-title&gt;Immunity&lt;/full-title&gt;&lt;abbr-1&gt;Immunity&lt;/abbr-1&gt;&lt;/periodical&gt;&lt;pages&gt;116-126&lt;/pages&gt;&lt;volume&gt;41&lt;/volume&gt;&lt;number&gt;1&lt;/number&gt;&lt;dates&gt;&lt;year&gt;2014&lt;/year&gt;&lt;pub-dates&gt;&lt;date&gt;2014/07/17/&lt;/date&gt;&lt;/pub-dates&gt;&lt;/dates&gt;&lt;isbn&gt;1074-7613&lt;/isbn&gt;&lt;urls&gt;&lt;related-urls&gt;&lt;url&gt;http://www.sciencedirect.com/science/article/pii/S107476131400226X&lt;/url&gt;&lt;/related-urls&gt;&lt;/urls&gt;&lt;electronic-resource-num&gt;https://doi.org/10.1016/j.immuni.2014.05.018&lt;/electronic-resource-num&gt;&lt;/record&gt;&lt;/Cite&gt;&lt;/EndNote&gt;</w:instrText>
      </w:r>
      <w:r>
        <w:rPr>
          <w:szCs w:val="24"/>
          <w:rFonts w:cs="Calibri" w:ascii="Calibri" w:hAnsi="Calibri"/>
        </w:rPr>
        <w:fldChar w:fldCharType="separate"/>
      </w:r>
      <w:bookmarkStart w:id="36" w:name="Bookmark36"/>
      <w:r>
        <w:rPr>
          <w:rFonts w:cs="Calibri" w:ascii="Calibri" w:hAnsi="Calibri"/>
          <w:szCs w:val="24"/>
          <w:lang w:val="en-AU"/>
        </w:rPr>
        <w:t>(25)</w:t>
      </w:r>
      <w:r>
        <w:rPr>
          <w:rFonts w:cs="Calibri" w:ascii="Calibri" w:hAnsi="Calibri"/>
          <w:szCs w:val="24"/>
          <w:lang w:val="en-AU"/>
        </w:rPr>
      </w:r>
      <w:r>
        <w:rPr>
          <w:szCs w:val="24"/>
          <w:rFonts w:cs="Calibri" w:ascii="Calibri" w:hAnsi="Calibri"/>
        </w:rPr>
        <w:fldChar w:fldCharType="end"/>
      </w:r>
      <w:bookmarkEnd w:id="36"/>
      <w:r>
        <w:rPr>
          <w:rFonts w:cs="Calibri" w:ascii="Calibri" w:hAnsi="Calibri"/>
          <w:szCs w:val="24"/>
          <w:lang w:val="en-AU"/>
        </w:rPr>
        <w:t>. Notably, a single T</w:t>
      </w:r>
      <w:r>
        <w:rPr>
          <w:rFonts w:cs="Calibri" w:ascii="Calibri" w:hAnsi="Calibri"/>
          <w:szCs w:val="24"/>
          <w:vertAlign w:val="subscript"/>
          <w:lang w:val="en-AU"/>
        </w:rPr>
        <w:t xml:space="preserve">CM </w:t>
      </w:r>
      <w:r>
        <w:rPr>
          <w:rFonts w:cs="Calibri" w:ascii="Calibri" w:hAnsi="Calibri"/>
          <w:szCs w:val="24"/>
          <w:lang w:val="en-AU"/>
        </w:rPr>
        <w:t>cell adoptively transferred into an immunodeficient mouse was shown to propagate and generate T</w:t>
      </w:r>
      <w:r>
        <w:rPr>
          <w:rFonts w:cs="Calibri" w:ascii="Calibri" w:hAnsi="Calibri"/>
          <w:szCs w:val="24"/>
          <w:vertAlign w:val="subscript"/>
          <w:lang w:val="en-AU"/>
        </w:rPr>
        <w:t>EM</w:t>
      </w:r>
      <w:r>
        <w:rPr>
          <w:rFonts w:cs="Calibri" w:ascii="Calibri" w:hAnsi="Calibri"/>
          <w:szCs w:val="24"/>
          <w:lang w:val="en-AU"/>
        </w:rPr>
        <w:t xml:space="preserve"> and effector cell progeny, whilst T</w:t>
      </w:r>
      <w:r>
        <w:rPr>
          <w:rFonts w:cs="Calibri" w:ascii="Calibri" w:hAnsi="Calibri"/>
          <w:szCs w:val="24"/>
          <w:vertAlign w:val="subscript"/>
          <w:lang w:val="en-AU"/>
        </w:rPr>
        <w:t>EM</w:t>
      </w:r>
      <w:r>
        <w:rPr>
          <w:rFonts w:cs="Calibri" w:ascii="Calibri" w:hAnsi="Calibri"/>
          <w:szCs w:val="24"/>
          <w:lang w:val="en-AU"/>
        </w:rPr>
        <w:t xml:space="preserve"> cells, even upon transfers with higher cell numbers, displayed less potential to propagate </w:t>
      </w:r>
      <w:r>
        <w:fldChar w:fldCharType="begin"/>
      </w:r>
      <w:r>
        <w:rPr>
          <w:szCs w:val="24"/>
          <w:rFonts w:cs="Calibri" w:ascii="Calibri" w:hAnsi="Calibri"/>
        </w:rPr>
        <w:instrText>ADDIN EN.CITE &lt;EndNote&gt;&lt;Cite&gt;&lt;Author&gt;Graef&lt;/Author&gt;&lt;Year&gt;2014&lt;/Year&gt;&lt;RecNum&gt;56&lt;/RecNum&gt;&lt;DisplayText&gt;(25)&lt;/DisplayText&gt;&lt;record&gt;&lt;rec-number&gt;56&lt;/rec-number&gt;&lt;foreign-keys&gt;&lt;key app="EN" db-id="0svr029aax0d22erzzkprfpvefwawtzaazpa" timestamp="1596169073"&gt;56&lt;/key&gt;&lt;/foreign-keys&gt;&lt;ref-type name="Journal Article"&gt;17&lt;/ref-type&gt;&lt;contributors&gt;&lt;authors&gt;&lt;author&gt;Graef, Patricia&lt;/author&gt;&lt;author&gt;Buchholz, Veit R&lt;/author&gt;&lt;author&gt;Stemberger, Christian&lt;/author&gt;&lt;author&gt;Flossdorf, Michael&lt;/author&gt;&lt;author&gt;Henkel, Lynette&lt;/author&gt;&lt;author&gt;Schiemann, Matthias&lt;/author&gt;&lt;author&gt;Drexler, Ingo&lt;/author&gt;&lt;author&gt;Höfer, Thomas&lt;/author&gt;&lt;author&gt;Riddell, Stanley R&lt;/author&gt;&lt;author&gt;Busch, Dirk H&lt;/author&gt;&lt;/authors&gt;&lt;/contributors&gt;&lt;titles&gt;&lt;title&gt;Serial Transfer of Single-Cell-Derived Immunocompetence Reveals Stemness of CD8+ Central Memory T Cells&lt;/title&gt;&lt;secondary-title&gt;Immunity&lt;/secondary-title&gt;&lt;/titles&gt;&lt;periodical&gt;&lt;full-title&gt;Immunity&lt;/full-title&gt;&lt;abbr-1&gt;Immunity&lt;/abbr-1&gt;&lt;/periodical&gt;&lt;pages&gt;116-126&lt;/pages&gt;&lt;volume&gt;41&lt;/volume&gt;&lt;number&gt;1&lt;/number&gt;&lt;dates&gt;&lt;year&gt;2014&lt;/year&gt;&lt;pub-dates&gt;&lt;date&gt;2014/07/17/&lt;/date&gt;&lt;/pub-dates&gt;&lt;/dates&gt;&lt;isbn&gt;1074-7613&lt;/isbn&gt;&lt;urls&gt;&lt;related-urls&gt;&lt;url&gt;http://www.sciencedirect.com/science/article/pii/S107476131400226X&lt;/url&gt;&lt;/related-urls&gt;&lt;/urls&gt;&lt;electronic-resource-num&gt;https://doi.org/10.1016/j.immuni.2014.05.018&lt;/electronic-resource-num&gt;&lt;/record&gt;&lt;/Cite&gt;&lt;/EndNote&gt;</w:instrText>
      </w:r>
      <w:r>
        <w:rPr>
          <w:szCs w:val="24"/>
          <w:rFonts w:cs="Calibri" w:ascii="Calibri" w:hAnsi="Calibri"/>
        </w:rPr>
        <w:fldChar w:fldCharType="separate"/>
      </w:r>
      <w:bookmarkStart w:id="37" w:name="Bookmark37"/>
      <w:r>
        <w:rPr>
          <w:rFonts w:cs="Calibri" w:ascii="Calibri" w:hAnsi="Calibri"/>
          <w:szCs w:val="24"/>
          <w:lang w:val="en-AU"/>
        </w:rPr>
        <w:t>(25)</w:t>
      </w:r>
      <w:r>
        <w:rPr>
          <w:rFonts w:cs="Calibri" w:ascii="Calibri" w:hAnsi="Calibri"/>
          <w:szCs w:val="24"/>
          <w:lang w:val="en-AU"/>
        </w:rPr>
      </w:r>
      <w:r>
        <w:rPr>
          <w:szCs w:val="24"/>
          <w:rFonts w:cs="Calibri" w:ascii="Calibri" w:hAnsi="Calibri"/>
        </w:rPr>
        <w:fldChar w:fldCharType="end"/>
      </w:r>
      <w:bookmarkEnd w:id="37"/>
      <w:r>
        <w:rPr>
          <w:rFonts w:cs="Calibri" w:ascii="Calibri" w:hAnsi="Calibri"/>
          <w:szCs w:val="24"/>
          <w:lang w:val="en-AU"/>
        </w:rPr>
        <w:t>.</w:t>
      </w:r>
    </w:p>
    <w:p>
      <w:pPr>
        <w:pStyle w:val="Normal"/>
        <w:rPr>
          <w:rFonts w:ascii="Calibri" w:hAnsi="Calibri" w:cs="Calibri"/>
          <w:szCs w:val="24"/>
          <w:lang w:val="en-AU"/>
        </w:rPr>
      </w:pPr>
      <w:r>
        <w:rPr>
          <w:rFonts w:cs="Calibri" w:ascii="Calibri" w:hAnsi="Calibri"/>
          <w:szCs w:val="24"/>
          <w:lang w:val="en-AU"/>
        </w:rPr>
      </w:r>
    </w:p>
    <w:p>
      <w:pPr>
        <w:pStyle w:val="Normal"/>
        <w:rPr/>
      </w:pPr>
      <w:r>
        <w:rPr>
          <w:rFonts w:cs="Calibri" w:ascii="Calibri" w:hAnsi="Calibri"/>
          <w:szCs w:val="24"/>
          <w:lang w:val="en-AU"/>
        </w:rPr>
        <w:t>A recently identified subset of memory T cells is the T</w:t>
      </w:r>
      <w:r>
        <w:rPr>
          <w:rFonts w:cs="Calibri" w:ascii="Calibri" w:hAnsi="Calibri"/>
          <w:szCs w:val="24"/>
          <w:vertAlign w:val="subscript"/>
          <w:lang w:val="en-AU"/>
        </w:rPr>
        <w:t>SCM</w:t>
      </w:r>
      <w:r>
        <w:rPr>
          <w:rFonts w:cs="Calibri" w:ascii="Calibri" w:hAnsi="Calibri"/>
          <w:szCs w:val="24"/>
          <w:lang w:val="en-AU"/>
        </w:rPr>
        <w:t xml:space="preserve"> cell population, characterised by their naïve or stem-like phenotype. In humans, T</w:t>
      </w:r>
      <w:r>
        <w:rPr>
          <w:rFonts w:cs="Calibri" w:ascii="Calibri" w:hAnsi="Calibri"/>
          <w:szCs w:val="24"/>
          <w:vertAlign w:val="subscript"/>
          <w:lang w:val="en-AU"/>
        </w:rPr>
        <w:t>SCM</w:t>
      </w:r>
      <w:r>
        <w:rPr>
          <w:rFonts w:cs="Calibri" w:ascii="Calibri" w:hAnsi="Calibri"/>
          <w:szCs w:val="24"/>
          <w:lang w:val="en-AU"/>
        </w:rPr>
        <w:t xml:space="preserve"> express  CD62L and CD45RA, whereas in mice, these cells express CD62L, IL-2Rβ, chemokine C-X-C motif receptor 3 (CXCR3) and lack the CD44 marker </w:t>
      </w:r>
      <w:r>
        <w:fldChar w:fldCharType="begin"/>
      </w:r>
      <w:r>
        <w:rPr>
          <w:szCs w:val="24"/>
          <w:rFonts w:cs="Calibri" w:ascii="Calibri" w:hAnsi="Calibri"/>
        </w:rPr>
        <w:instrText>ADDIN EN.CITE &lt;EndNote&gt;&lt;Cite&gt;&lt;Author&gt;Kaech&lt;/Author&gt;&lt;Year&gt;2012&lt;/Year&gt;&lt;RecNum&gt;39&lt;/RecNum&gt;&lt;DisplayText&gt;(27)&lt;/DisplayText&gt;&lt;record&gt;&lt;rec-number&gt;39&lt;/rec-number&gt;&lt;foreign-keys&gt;&lt;key app="EN" db-id="0svr029aax0d22erzzkprfpvefwawtzaazpa" timestamp="1596068996"&gt;39&lt;/key&gt;&lt;/foreign-keys&gt;&lt;ref-type name="Journal Article"&gt;17&lt;/ref-type&gt;&lt;contributors&gt;&lt;authors&gt;&lt;author&gt;Kaech, Susan M.&lt;/author&gt;&lt;author&gt;Cui, Weiguo&lt;/author&gt;&lt;/authors&gt;&lt;/contributors&gt;&lt;titles&gt;&lt;title&gt;Transcriptional control of effector and memory CD8+ T cell differentiation&lt;/title&gt;&lt;secondary-title&gt;Nature Reviews Immunology&lt;/secondary-title&gt;&lt;/titles&gt;&lt;periodical&gt;&lt;full-title&gt;Nature Reviews Immunology&lt;/full-title&gt;&lt;/periodical&gt;&lt;pages&gt;749-761&lt;/pages&gt;&lt;volume&gt;12&lt;/volume&gt;&lt;number&gt;11&lt;/number&gt;&lt;dates&gt;&lt;year&gt;2012&lt;/year&gt;&lt;pub-dates&gt;&lt;date&gt;2012/11/01&lt;/date&gt;&lt;/pub-dates&gt;&lt;/dates&gt;&lt;isbn&gt;1474-1741&lt;/isbn&gt;&lt;urls&gt;&lt;related-urls&gt;&lt;url&gt;https://doi.org/10.1038/nri3307&lt;/url&gt;&lt;/related-urls&gt;&lt;/urls&gt;&lt;electronic-resource-num&gt;10.1038/nri3307&lt;/electronic-resource-num&gt;&lt;/record&gt;&lt;/Cite&gt;&lt;/EndNote&gt;</w:instrText>
      </w:r>
      <w:r>
        <w:rPr>
          <w:szCs w:val="24"/>
          <w:rFonts w:cs="Calibri" w:ascii="Calibri" w:hAnsi="Calibri"/>
        </w:rPr>
        <w:fldChar w:fldCharType="separate"/>
      </w:r>
      <w:bookmarkStart w:id="38" w:name="Bookmark38"/>
      <w:r>
        <w:rPr>
          <w:rFonts w:cs="Calibri" w:ascii="Calibri" w:hAnsi="Calibri"/>
          <w:szCs w:val="24"/>
          <w:lang w:val="en-AU"/>
        </w:rPr>
        <w:t>(27)</w:t>
      </w:r>
      <w:r>
        <w:rPr>
          <w:rFonts w:cs="Calibri" w:ascii="Calibri" w:hAnsi="Calibri"/>
          <w:szCs w:val="24"/>
          <w:lang w:val="en-AU"/>
        </w:rPr>
      </w:r>
      <w:r>
        <w:rPr>
          <w:szCs w:val="24"/>
          <w:rFonts w:cs="Calibri" w:ascii="Calibri" w:hAnsi="Calibri"/>
        </w:rPr>
        <w:fldChar w:fldCharType="end"/>
      </w:r>
      <w:bookmarkEnd w:id="38"/>
      <w:r>
        <w:rPr>
          <w:rFonts w:cs="Calibri" w:ascii="Calibri" w:hAnsi="Calibri"/>
          <w:szCs w:val="24"/>
          <w:lang w:val="en-AU"/>
        </w:rPr>
        <w:t>. T</w:t>
      </w:r>
      <w:r>
        <w:rPr>
          <w:rFonts w:cs="Calibri" w:ascii="Calibri" w:hAnsi="Calibri"/>
          <w:szCs w:val="24"/>
          <w:vertAlign w:val="subscript"/>
          <w:lang w:val="en-AU"/>
        </w:rPr>
        <w:t xml:space="preserve">SCM </w:t>
      </w:r>
      <w:r>
        <w:rPr>
          <w:rFonts w:cs="Calibri" w:ascii="Calibri" w:hAnsi="Calibri"/>
          <w:szCs w:val="24"/>
          <w:lang w:val="en-AU"/>
        </w:rPr>
        <w:t>are thought to carry stem cell-like features and represent a CD8</w:t>
      </w:r>
      <w:r>
        <w:rPr>
          <w:rFonts w:cs="Calibri" w:ascii="Calibri" w:hAnsi="Calibri"/>
          <w:szCs w:val="24"/>
          <w:vertAlign w:val="superscript"/>
          <w:lang w:val="en-AU"/>
        </w:rPr>
        <w:t>+</w:t>
      </w:r>
      <w:r>
        <w:rPr>
          <w:rFonts w:cs="Calibri" w:ascii="Calibri" w:hAnsi="Calibri"/>
          <w:szCs w:val="24"/>
          <w:lang w:val="en-AU"/>
        </w:rPr>
        <w:t xml:space="preserve"> memory T cell population that are less differentiated than T</w:t>
      </w:r>
      <w:r>
        <w:rPr>
          <w:rFonts w:cs="Calibri" w:ascii="Calibri" w:hAnsi="Calibri"/>
          <w:szCs w:val="24"/>
          <w:vertAlign w:val="subscript"/>
          <w:lang w:val="en-AU"/>
        </w:rPr>
        <w:t>CM</w:t>
      </w:r>
      <w:r>
        <w:rPr>
          <w:rFonts w:cs="Calibri" w:ascii="Calibri" w:hAnsi="Calibri"/>
          <w:szCs w:val="24"/>
          <w:lang w:val="en-AU"/>
        </w:rPr>
        <w:t xml:space="preserve"> cells </w:t>
      </w:r>
      <w:r>
        <w:fldChar w:fldCharType="begin"/>
      </w:r>
      <w:r>
        <w:rPr>
          <w:szCs w:val="24"/>
          <w:rFonts w:cs="Calibri" w:ascii="Calibri" w:hAnsi="Calibri"/>
        </w:rPr>
        <w:instrText>ADDIN EN.CITE</w:instrText>
      </w:r>
      <w:r>
        <w:rPr>
          <w:szCs w:val="24"/>
          <w:rFonts w:cs="Calibri" w:ascii="Calibri" w:hAnsi="Calibri"/>
        </w:rPr>
        <w:fldChar w:fldCharType="separate"/>
      </w:r>
      <w:bookmarkStart w:id="39" w:name="Bookmark40"/>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40" w:name="Bookmark39"/>
      <w:bookmarkEnd w:id="39"/>
      <w:r>
        <w:rPr>
          <w:rFonts w:cs="Calibri" w:ascii="Calibri" w:hAnsi="Calibri"/>
          <w:szCs w:val="24"/>
          <w:lang w:val="en-AU"/>
        </w:rPr>
        <w:t>(22)</w:t>
      </w:r>
      <w:r>
        <w:rPr>
          <w:rFonts w:cs="Calibri" w:ascii="Calibri" w:hAnsi="Calibri"/>
          <w:szCs w:val="24"/>
          <w:lang w:val="en-AU"/>
        </w:rPr>
      </w:r>
      <w:r>
        <w:rPr>
          <w:szCs w:val="24"/>
          <w:rFonts w:cs="Calibri" w:ascii="Calibri" w:hAnsi="Calibri"/>
        </w:rPr>
        <w:fldChar w:fldCharType="end"/>
      </w:r>
      <w:bookmarkEnd w:id="40"/>
      <w:r>
        <w:rPr>
          <w:rFonts w:cs="Calibri" w:ascii="Calibri" w:hAnsi="Calibri"/>
          <w:szCs w:val="24"/>
          <w:lang w:val="en-AU"/>
        </w:rPr>
        <w:t>. Evidence for T</w:t>
      </w:r>
      <w:r>
        <w:rPr>
          <w:rFonts w:cs="Calibri" w:ascii="Calibri" w:hAnsi="Calibri"/>
          <w:szCs w:val="24"/>
          <w:vertAlign w:val="subscript"/>
          <w:lang w:val="en-AU"/>
        </w:rPr>
        <w:t>SCM</w:t>
      </w:r>
      <w:r>
        <w:rPr>
          <w:rFonts w:cs="Calibri" w:ascii="Calibri" w:hAnsi="Calibri"/>
          <w:szCs w:val="24"/>
          <w:lang w:val="en-AU"/>
        </w:rPr>
        <w:t xml:space="preserve"> cell stemness has been observed in patients that received haematopoietic stem cell transplantation (HSCT). Longitudinal studies of these patient have shown that reconstitution of the full T cell memory compartment, inclusive of T</w:t>
      </w:r>
      <w:r>
        <w:rPr>
          <w:rFonts w:cs="Calibri" w:ascii="Calibri" w:hAnsi="Calibri"/>
          <w:szCs w:val="24"/>
          <w:vertAlign w:val="subscript"/>
          <w:lang w:val="en-AU"/>
        </w:rPr>
        <w:t>SCM</w:t>
      </w:r>
      <w:r>
        <w:rPr>
          <w:rFonts w:cs="Calibri" w:ascii="Calibri" w:hAnsi="Calibri"/>
          <w:szCs w:val="24"/>
          <w:lang w:val="en-AU"/>
        </w:rPr>
        <w:t xml:space="preserve"> cells, may only occur when T</w:t>
      </w:r>
      <w:r>
        <w:rPr>
          <w:rFonts w:cs="Calibri" w:ascii="Calibri" w:hAnsi="Calibri"/>
          <w:szCs w:val="24"/>
          <w:vertAlign w:val="subscript"/>
          <w:lang w:val="en-AU"/>
        </w:rPr>
        <w:t>SCM</w:t>
      </w:r>
      <w:r>
        <w:rPr>
          <w:rFonts w:cs="Calibri" w:ascii="Calibri" w:hAnsi="Calibri"/>
          <w:szCs w:val="24"/>
          <w:lang w:val="en-AU"/>
        </w:rPr>
        <w:t xml:space="preserve"> cells are present within the infused cell product </w:t>
      </w:r>
      <w:r>
        <w:fldChar w:fldCharType="begin"/>
      </w:r>
      <w:r>
        <w:rPr>
          <w:szCs w:val="24"/>
          <w:rFonts w:cs="Calibri" w:ascii="Calibri" w:hAnsi="Calibri"/>
        </w:rPr>
        <w:instrText>ADDIN EN.CITE</w:instrText>
      </w:r>
      <w:r>
        <w:rPr>
          <w:szCs w:val="24"/>
          <w:rFonts w:cs="Calibri" w:ascii="Calibri" w:hAnsi="Calibri"/>
        </w:rPr>
        <w:fldChar w:fldCharType="separate"/>
      </w:r>
      <w:bookmarkStart w:id="41" w:name="Bookmark42"/>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42" w:name="Bookmark41"/>
      <w:bookmarkEnd w:id="41"/>
      <w:r>
        <w:rPr>
          <w:rFonts w:cs="Calibri" w:ascii="Calibri" w:hAnsi="Calibri"/>
          <w:szCs w:val="24"/>
          <w:lang w:val="en-AU"/>
        </w:rPr>
        <w:t>(28, 29)</w:t>
      </w:r>
      <w:r>
        <w:rPr>
          <w:rFonts w:cs="Calibri" w:ascii="Calibri" w:hAnsi="Calibri"/>
          <w:szCs w:val="24"/>
          <w:lang w:val="en-AU"/>
        </w:rPr>
      </w:r>
      <w:r>
        <w:rPr>
          <w:szCs w:val="24"/>
          <w:rFonts w:cs="Calibri" w:ascii="Calibri" w:hAnsi="Calibri"/>
        </w:rPr>
        <w:fldChar w:fldCharType="end"/>
      </w:r>
      <w:bookmarkEnd w:id="42"/>
      <w:r>
        <w:rPr>
          <w:rFonts w:cs="Calibri" w:ascii="Calibri" w:hAnsi="Calibri"/>
          <w:szCs w:val="24"/>
          <w:lang w:val="en-AU"/>
        </w:rPr>
        <w:t>. Furthermore, longitudinal monitoring of T</w:t>
      </w:r>
      <w:r>
        <w:rPr>
          <w:rFonts w:cs="Calibri" w:ascii="Calibri" w:hAnsi="Calibri"/>
          <w:szCs w:val="24"/>
          <w:vertAlign w:val="subscript"/>
          <w:lang w:val="en-AU"/>
        </w:rPr>
        <w:t>SCM</w:t>
      </w:r>
      <w:r>
        <w:rPr>
          <w:rFonts w:cs="Calibri" w:ascii="Calibri" w:hAnsi="Calibri"/>
          <w:szCs w:val="24"/>
          <w:lang w:val="en-AU"/>
        </w:rPr>
        <w:t xml:space="preserve"> cells has shown that T</w:t>
      </w:r>
      <w:r>
        <w:rPr>
          <w:rFonts w:cs="Calibri" w:ascii="Calibri" w:hAnsi="Calibri"/>
          <w:szCs w:val="24"/>
          <w:vertAlign w:val="subscript"/>
          <w:lang w:val="en-AU"/>
        </w:rPr>
        <w:t>SCM</w:t>
      </w:r>
      <w:r>
        <w:rPr>
          <w:rFonts w:cs="Calibri" w:ascii="Calibri" w:hAnsi="Calibri"/>
          <w:szCs w:val="24"/>
          <w:lang w:val="en-AU"/>
        </w:rPr>
        <w:t xml:space="preserve"> cell clonotypes have the ability to persist and maintain their precursor potential for up to 14 years in the absence of their antigen </w:t>
      </w:r>
      <w:r>
        <w:fldChar w:fldCharType="begin"/>
      </w:r>
      <w:r>
        <w:rPr>
          <w:szCs w:val="24"/>
          <w:rFonts w:cs="Calibri" w:ascii="Calibri" w:hAnsi="Calibri"/>
        </w:rPr>
        <w:instrText>ADDIN EN.CITE</w:instrText>
      </w:r>
      <w:r>
        <w:rPr>
          <w:szCs w:val="24"/>
          <w:rFonts w:cs="Calibri" w:ascii="Calibri" w:hAnsi="Calibri"/>
        </w:rPr>
        <w:fldChar w:fldCharType="separate"/>
      </w:r>
      <w:bookmarkStart w:id="43" w:name="Bookmark44"/>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44" w:name="Bookmark43"/>
      <w:bookmarkEnd w:id="43"/>
      <w:r>
        <w:rPr>
          <w:rFonts w:cs="Calibri" w:ascii="Calibri" w:hAnsi="Calibri"/>
          <w:szCs w:val="24"/>
          <w:lang w:val="en-AU"/>
        </w:rPr>
        <w:t>(29, 30)</w:t>
      </w:r>
      <w:r>
        <w:rPr>
          <w:rFonts w:cs="Calibri" w:ascii="Calibri" w:hAnsi="Calibri"/>
          <w:szCs w:val="24"/>
          <w:lang w:val="en-AU"/>
        </w:rPr>
      </w:r>
      <w:r>
        <w:rPr>
          <w:szCs w:val="24"/>
          <w:rFonts w:cs="Calibri" w:ascii="Calibri" w:hAnsi="Calibri"/>
        </w:rPr>
        <w:fldChar w:fldCharType="end"/>
      </w:r>
      <w:bookmarkEnd w:id="44"/>
      <w:r>
        <w:rPr>
          <w:rFonts w:cs="Calibri" w:ascii="Calibri" w:hAnsi="Calibri"/>
          <w:szCs w:val="24"/>
          <w:lang w:val="en-AU"/>
        </w:rPr>
        <w:t>.</w:t>
      </w:r>
    </w:p>
    <w:p>
      <w:pPr>
        <w:pStyle w:val="Normal"/>
        <w:rPr>
          <w:rFonts w:ascii="Calibri" w:hAnsi="Calibri" w:cs="Calibri"/>
          <w:szCs w:val="24"/>
          <w:lang w:val="en-AU"/>
        </w:rPr>
      </w:pPr>
      <w:r>
        <w:rPr>
          <w:rFonts w:cs="Calibri" w:ascii="Calibri" w:hAnsi="Calibri"/>
          <w:szCs w:val="24"/>
          <w:lang w:val="en-AU"/>
        </w:rPr>
      </w:r>
    </w:p>
    <w:p>
      <w:pPr>
        <w:pStyle w:val="Normal"/>
        <w:rPr>
          <w:rFonts w:ascii="Calibri" w:hAnsi="Calibri" w:cs="Calibri"/>
          <w:b/>
          <w:b/>
          <w:bCs/>
          <w:szCs w:val="24"/>
          <w:lang w:val="en-AU"/>
        </w:rPr>
      </w:pPr>
      <w:r>
        <w:rPr>
          <w:rFonts w:cs="Calibri" w:ascii="Calibri" w:hAnsi="Calibri"/>
          <w:szCs w:val="24"/>
          <w:lang w:val="en-AU"/>
        </w:rPr>
        <w:t>Collectively, these evidences indicate, that whilst T</w:t>
      </w:r>
      <w:r>
        <w:rPr>
          <w:rFonts w:cs="Calibri" w:ascii="Calibri" w:hAnsi="Calibri"/>
          <w:szCs w:val="24"/>
          <w:vertAlign w:val="subscript"/>
          <w:lang w:val="en-AU"/>
        </w:rPr>
        <w:t>EM</w:t>
      </w:r>
      <w:r>
        <w:rPr>
          <w:rFonts w:cs="Calibri" w:ascii="Calibri" w:hAnsi="Calibri"/>
          <w:szCs w:val="24"/>
          <w:lang w:val="en-AU"/>
        </w:rPr>
        <w:t xml:space="preserve"> cells are important in rapid secondary effector responses, T</w:t>
      </w:r>
      <w:r>
        <w:rPr>
          <w:rFonts w:cs="Calibri" w:ascii="Calibri" w:hAnsi="Calibri"/>
          <w:szCs w:val="24"/>
          <w:vertAlign w:val="subscript"/>
          <w:lang w:val="en-AU"/>
        </w:rPr>
        <w:t>CM</w:t>
      </w:r>
      <w:r>
        <w:rPr>
          <w:rFonts w:cs="Calibri" w:ascii="Calibri" w:hAnsi="Calibri"/>
          <w:szCs w:val="24"/>
          <w:lang w:val="en-AU"/>
        </w:rPr>
        <w:t xml:space="preserve"> and T</w:t>
      </w:r>
      <w:r>
        <w:rPr>
          <w:rFonts w:cs="Calibri" w:ascii="Calibri" w:hAnsi="Calibri"/>
          <w:szCs w:val="24"/>
          <w:vertAlign w:val="subscript"/>
          <w:lang w:val="en-AU"/>
        </w:rPr>
        <w:t>SCM</w:t>
      </w:r>
      <w:r>
        <w:rPr>
          <w:rFonts w:cs="Calibri" w:ascii="Calibri" w:hAnsi="Calibri"/>
          <w:szCs w:val="24"/>
          <w:lang w:val="en-AU"/>
        </w:rPr>
        <w:t xml:space="preserve"> cells are critical in sustaining longer term and to an extent, multipotent memory. Less differentiated and progenitor memory subsets have been reported to improve the efficacy of ACT and is further discussed in </w:t>
      </w:r>
      <w:r>
        <w:rPr>
          <w:rFonts w:cs="Calibri" w:ascii="Calibri" w:hAnsi="Calibri"/>
          <w:b/>
          <w:bCs/>
          <w:i/>
          <w:iCs/>
          <w:szCs w:val="24"/>
          <w:lang w:val="en-AU"/>
        </w:rPr>
        <w:t>Section</w:t>
      </w:r>
      <w:r>
        <w:rPr>
          <w:rFonts w:cs="Calibri" w:ascii="Calibri" w:hAnsi="Calibri"/>
          <w:szCs w:val="24"/>
          <w:lang w:val="en-AU"/>
        </w:rPr>
        <w:t xml:space="preserve"> </w:t>
      </w:r>
      <w:r>
        <w:rPr>
          <w:rFonts w:cs="Calibri" w:ascii="Calibri" w:hAnsi="Calibri"/>
          <w:b/>
          <w:bCs/>
          <w:i/>
          <w:iCs/>
          <w:szCs w:val="24"/>
          <w:lang w:val="en-AU"/>
        </w:rPr>
        <w:t>5.1.</w:t>
      </w:r>
    </w:p>
    <w:p>
      <w:pPr>
        <w:pStyle w:val="Normal"/>
        <w:rPr>
          <w:rFonts w:ascii="Calibri" w:hAnsi="Calibri" w:cs="Calibri"/>
          <w:szCs w:val="24"/>
          <w:lang w:val="en-AU"/>
        </w:rPr>
      </w:pPr>
      <w:r>
        <w:rPr>
          <w:rFonts w:cs="Calibri" w:ascii="Calibri" w:hAnsi="Calibri"/>
          <w:szCs w:val="24"/>
          <w:lang w:val="en-AU"/>
        </w:rPr>
      </w:r>
    </w:p>
    <w:p>
      <w:pPr>
        <w:pStyle w:val="Normal"/>
        <w:rPr>
          <w:rFonts w:ascii="Calibri" w:hAnsi="Calibri" w:cs="Calibri"/>
          <w:i/>
          <w:i/>
          <w:iCs/>
          <w:szCs w:val="24"/>
          <w:lang w:val="en-AU"/>
        </w:rPr>
      </w:pPr>
      <w:r>
        <w:rPr>
          <w:rFonts w:cs="Calibri" w:ascii="Calibri" w:hAnsi="Calibri"/>
          <w:b/>
          <w:bCs/>
          <w:i/>
          <w:iCs/>
          <w:szCs w:val="24"/>
          <w:lang w:val="en-AU"/>
        </w:rPr>
        <w:t>3.2 T cell exhaustion and dysfunction</w:t>
      </w:r>
    </w:p>
    <w:p>
      <w:pPr>
        <w:pStyle w:val="Normal"/>
        <w:rPr/>
      </w:pPr>
      <w:r>
        <w:rPr>
          <w:rFonts w:cs="Calibri" w:ascii="Calibri" w:hAnsi="Calibri"/>
          <w:szCs w:val="24"/>
          <w:lang w:val="en-AU"/>
        </w:rPr>
        <w:t xml:space="preserve">In the event that CTLs are chronically exposed to cognate antigens, CTLs enter a state of dysfunction known as ‘exhaustion’. Characteristics of exhaustion include impaired effector functions and elevated expression of multiple immune checkpoint receptors. This is a common feature of tumour infiltrating T cells and is often a negative prognostic marker of disease </w:t>
      </w:r>
      <w:r>
        <w:fldChar w:fldCharType="begin"/>
      </w:r>
      <w:r>
        <w:rPr>
          <w:szCs w:val="24"/>
          <w:rFonts w:cs="Calibri" w:ascii="Calibri" w:hAnsi="Calibri"/>
        </w:rPr>
        <w:instrText>ADDIN EN.CITE</w:instrText>
      </w:r>
      <w:r>
        <w:rPr>
          <w:szCs w:val="24"/>
          <w:rFonts w:cs="Calibri" w:ascii="Calibri" w:hAnsi="Calibri"/>
        </w:rPr>
        <w:fldChar w:fldCharType="separate"/>
      </w:r>
      <w:bookmarkStart w:id="45" w:name="Bookmark46"/>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46" w:name="Bookmark45"/>
      <w:bookmarkEnd w:id="45"/>
      <w:r>
        <w:rPr>
          <w:rFonts w:cs="Calibri" w:ascii="Calibri" w:hAnsi="Calibri"/>
          <w:szCs w:val="24"/>
          <w:lang w:val="en-AU"/>
        </w:rPr>
        <w:t>(31, 32)</w:t>
      </w:r>
      <w:r>
        <w:rPr>
          <w:rFonts w:cs="Calibri" w:ascii="Calibri" w:hAnsi="Calibri"/>
          <w:szCs w:val="24"/>
          <w:lang w:val="en-AU"/>
        </w:rPr>
      </w:r>
      <w:r>
        <w:rPr>
          <w:szCs w:val="24"/>
          <w:rFonts w:cs="Calibri" w:ascii="Calibri" w:hAnsi="Calibri"/>
        </w:rPr>
        <w:fldChar w:fldCharType="end"/>
      </w:r>
      <w:bookmarkEnd w:id="46"/>
      <w:r>
        <w:rPr>
          <w:rFonts w:cs="Calibri" w:ascii="Calibri" w:hAnsi="Calibri"/>
          <w:szCs w:val="24"/>
          <w:lang w:val="en-AU"/>
        </w:rPr>
        <w:t>. T cell dysfunction thought to be regulated by both extrinsic factors encountered in the immunosuppressive TME and T cell intrinsic factors.</w:t>
      </w:r>
    </w:p>
    <w:p>
      <w:pPr>
        <w:pStyle w:val="Normal"/>
        <w:rPr>
          <w:rFonts w:ascii="Calibri" w:hAnsi="Calibri" w:cs="Calibri"/>
          <w:szCs w:val="24"/>
          <w:lang w:val="en-AU"/>
        </w:rPr>
      </w:pPr>
      <w:r>
        <w:rPr>
          <w:rFonts w:cs="Calibri" w:ascii="Calibri" w:hAnsi="Calibri"/>
          <w:szCs w:val="24"/>
          <w:lang w:val="en-AU"/>
        </w:rPr>
      </w:r>
    </w:p>
    <w:p>
      <w:pPr>
        <w:pStyle w:val="Normal"/>
        <w:rPr>
          <w:rFonts w:ascii="Calibri" w:hAnsi="Calibri" w:cs="Calibri"/>
          <w:szCs w:val="24"/>
          <w:lang w:val="en-AU"/>
        </w:rPr>
      </w:pPr>
      <w:r>
        <w:rPr>
          <w:rFonts w:cs="Calibri" w:ascii="Calibri" w:hAnsi="Calibri"/>
          <w:b/>
          <w:bCs/>
          <w:i/>
          <w:iCs/>
          <w:szCs w:val="24"/>
          <w:lang w:val="en-AU"/>
        </w:rPr>
        <w:t>3.2.1 Extrinsic factors of T cell dysfunction</w:t>
      </w:r>
    </w:p>
    <w:p>
      <w:pPr>
        <w:pStyle w:val="Normal"/>
        <w:rPr/>
      </w:pPr>
      <w:r>
        <w:rPr>
          <w:rFonts w:cs="Calibri" w:ascii="Calibri" w:hAnsi="Calibri"/>
          <w:szCs w:val="24"/>
          <w:lang w:val="en-AU"/>
        </w:rPr>
        <w:t xml:space="preserve">Within the TME, T cells are faced with a highly immunosuppressive environment that includes cellular and molecular factors. The recruitment of immunosuppressive cells to the TME is a key characteristic a developing tumour. Together with tumour cells, immunosuppressive cell subsets can secrete immune dampening cytokines, and may aberrantly express ligands for immune checkpoint receptors </w:t>
      </w:r>
      <w:r>
        <w:fldChar w:fldCharType="begin"/>
      </w:r>
      <w:r>
        <w:rPr>
          <w:szCs w:val="24"/>
          <w:rFonts w:cs="Calibri" w:ascii="Calibri" w:hAnsi="Calibri"/>
        </w:rPr>
        <w:instrText>ADDIN EN.CITE</w:instrText>
      </w:r>
      <w:r>
        <w:rPr>
          <w:szCs w:val="24"/>
          <w:rFonts w:cs="Calibri" w:ascii="Calibri" w:hAnsi="Calibri"/>
        </w:rPr>
        <w:fldChar w:fldCharType="separate"/>
      </w:r>
      <w:bookmarkStart w:id="47" w:name="Bookmark48"/>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48" w:name="Bookmark47"/>
      <w:bookmarkEnd w:id="47"/>
      <w:r>
        <w:rPr>
          <w:rFonts w:cs="Calibri" w:ascii="Calibri" w:hAnsi="Calibri"/>
          <w:szCs w:val="24"/>
          <w:lang w:val="en-AU"/>
        </w:rPr>
        <w:t>(33, 34)</w:t>
      </w:r>
      <w:r>
        <w:rPr>
          <w:rFonts w:cs="Calibri" w:ascii="Calibri" w:hAnsi="Calibri"/>
          <w:szCs w:val="24"/>
          <w:lang w:val="en-AU"/>
        </w:rPr>
      </w:r>
      <w:r>
        <w:rPr>
          <w:szCs w:val="24"/>
          <w:rFonts w:cs="Calibri" w:ascii="Calibri" w:hAnsi="Calibri"/>
        </w:rPr>
        <w:fldChar w:fldCharType="end"/>
      </w:r>
      <w:bookmarkEnd w:id="48"/>
      <w:r>
        <w:rPr>
          <w:rFonts w:cs="Calibri" w:ascii="Calibri" w:hAnsi="Calibri"/>
          <w:szCs w:val="24"/>
          <w:lang w:val="en-AU"/>
        </w:rPr>
        <w:t>. T cell interaction with these factors suppresses effector activity restricting immune control of tumours.</w:t>
      </w:r>
    </w:p>
    <w:p>
      <w:pPr>
        <w:pStyle w:val="Normal"/>
        <w:rPr>
          <w:rFonts w:ascii="Calibri" w:hAnsi="Calibri" w:cs="Calibri"/>
          <w:b/>
          <w:b/>
          <w:bCs/>
          <w:szCs w:val="24"/>
          <w:lang w:val="en-AU"/>
        </w:rPr>
      </w:pPr>
      <w:r>
        <w:rPr>
          <w:rFonts w:cs="Calibri" w:ascii="Calibri" w:hAnsi="Calibri"/>
          <w:b/>
          <w:bCs/>
          <w:szCs w:val="24"/>
          <w:lang w:val="en-AU"/>
        </w:rPr>
      </w:r>
    </w:p>
    <w:p>
      <w:pPr>
        <w:pStyle w:val="Normal"/>
        <w:rPr/>
      </w:pPr>
      <w:r>
        <w:rPr>
          <w:rFonts w:cs="Calibri" w:ascii="Calibri" w:hAnsi="Calibri"/>
          <w:color w:val="000000"/>
          <w:szCs w:val="24"/>
          <w:lang w:val="en-AU"/>
        </w:rPr>
        <w:t xml:space="preserve">T cells must additionally compete with the aggressive uptake of glucose and essential amino acids by tumour cells which are required for T cell function and differentiation processes </w:t>
      </w:r>
      <w:r>
        <w:fldChar w:fldCharType="begin"/>
      </w:r>
      <w:r>
        <w:rPr>
          <w:szCs w:val="24"/>
          <w:rFonts w:cs="Calibri" w:ascii="Calibri" w:hAnsi="Calibri"/>
        </w:rPr>
        <w:instrText>ADDIN EN.CITE &lt;EndNote&gt;&lt;Cite&gt;&lt;Author&gt;Davoodzadeh Gholami&lt;/Author&gt;&lt;Year&gt;2017&lt;/Year&gt;&lt;RecNum&gt;120&lt;/RecNum&gt;&lt;DisplayText&gt;(35)&lt;/DisplayText&gt;&lt;record&gt;&lt;rec-number&gt;120&lt;/rec-number&gt;&lt;foreign-keys&gt;&lt;key app="EN" db-id="a92x0raf7dz52reve0m5f29speefwrp0d22r" timestamp="1585089470"&gt;120&lt;/key&gt;&lt;/foreign-keys&gt;&lt;ref-type name="Journal Article"&gt;17&lt;/ref-type&gt;&lt;contributors&gt;&lt;authors&gt;&lt;author&gt;Davoodzadeh Gholami, Mohammad&lt;/author&gt;&lt;author&gt;kardar, Gholam Ali&lt;/author&gt;&lt;author&gt;Saeedi, Yousef&lt;/author&gt;&lt;author&gt;Heydari, Sahel&lt;/author&gt;&lt;author&gt;Garssen, Johan&lt;/author&gt;&lt;author&gt;Falak, Reza&lt;/author&gt;&lt;/authors&gt;&lt;/contributors&gt;&lt;titles&gt;&lt;title&gt;Exhaustion of T lymphocytes in the tumor microenvironment: Significance and effective mechanisms&lt;/title&gt;&lt;secondary-title&gt;Cellular Immunology&lt;/secondary-title&gt;&lt;/titles&gt;&lt;periodical&gt;&lt;full-title&gt;Cellular Immunology&lt;/full-title&gt;&lt;/periodical&gt;&lt;pages&gt;1-14&lt;/pages&gt;&lt;volume&gt;322&lt;/volume&gt;&lt;keywords&gt;&lt;keyword&gt;Tumor microenvironment&lt;/keyword&gt;&lt;keyword&gt;T cell exhaustion&lt;/keyword&gt;&lt;keyword&gt;T cell senescence&lt;/keyword&gt;&lt;keyword&gt;T cell anergy&lt;/keyword&gt;&lt;keyword&gt;Inhibitory receptors&lt;/keyword&gt;&lt;/keywords&gt;&lt;dates&gt;&lt;year&gt;2017&lt;/year&gt;&lt;pub-dates&gt;&lt;date&gt;2017/12/01/&lt;/date&gt;&lt;/pub-dates&gt;&lt;/dates&gt;&lt;isbn&gt;0008-8749&lt;/isbn&gt;&lt;urls&gt;&lt;related-urls&gt;&lt;url&gt;http://www.sciencedirect.com/science/article/pii/S000887491730148X&lt;/url&gt;&lt;/related-urls&gt;&lt;/urls&gt;&lt;electronic-resource-num&gt;https://doi.org/10.1016/j.cellimm.2017.10.002&lt;/electronic-resource-num&gt;&lt;/record&gt;&lt;/Cite&gt;&lt;/EndNote&gt;</w:instrText>
      </w:r>
      <w:r>
        <w:rPr>
          <w:szCs w:val="24"/>
          <w:rFonts w:cs="Calibri" w:ascii="Calibri" w:hAnsi="Calibri"/>
        </w:rPr>
        <w:fldChar w:fldCharType="separate"/>
      </w:r>
      <w:bookmarkStart w:id="49" w:name="Bookmark49"/>
      <w:r>
        <w:rPr>
          <w:rFonts w:cs="Calibri" w:ascii="Calibri" w:hAnsi="Calibri"/>
          <w:color w:val="000000"/>
          <w:szCs w:val="24"/>
          <w:lang w:val="en-AU"/>
        </w:rPr>
        <w:t>(35)</w:t>
      </w:r>
      <w:r>
        <w:rPr>
          <w:rFonts w:cs="Calibri" w:ascii="Calibri" w:hAnsi="Calibri"/>
          <w:color w:val="000000"/>
          <w:szCs w:val="24"/>
          <w:lang w:val="en-AU"/>
        </w:rPr>
      </w:r>
      <w:r>
        <w:rPr>
          <w:szCs w:val="24"/>
          <w:rFonts w:cs="Calibri" w:ascii="Calibri" w:hAnsi="Calibri"/>
        </w:rPr>
        <w:fldChar w:fldCharType="end"/>
      </w:r>
      <w:bookmarkEnd w:id="49"/>
      <w:r>
        <w:rPr>
          <w:rFonts w:cs="Calibri" w:ascii="Calibri" w:hAnsi="Calibri"/>
          <w:color w:val="000000"/>
          <w:szCs w:val="24"/>
          <w:lang w:val="en-AU"/>
        </w:rPr>
        <w:t xml:space="preserve">. Glucose sequestration in the TME has been shown to dysregulate T cell mitochondria function preventing effector molecule synthesis, increase T cell inhibitory checkpoint receptor expression and through lactic acid acidification, suppress T cell function </w:t>
      </w:r>
      <w:r>
        <w:fldChar w:fldCharType="begin"/>
      </w:r>
      <w:r>
        <w:rPr>
          <w:szCs w:val="24"/>
          <w:rFonts w:cs="Calibri" w:ascii="Calibri" w:hAnsi="Calibri"/>
        </w:rPr>
        <w:instrText>ADDIN EN.CITE</w:instrText>
      </w:r>
      <w:r>
        <w:rPr>
          <w:szCs w:val="24"/>
          <w:rFonts w:cs="Calibri" w:ascii="Calibri" w:hAnsi="Calibri"/>
        </w:rPr>
        <w:fldChar w:fldCharType="separate"/>
      </w:r>
      <w:bookmarkStart w:id="50" w:name="Bookmark51"/>
      <w:r>
        <w:rPr>
          <w:rFonts w:cs="Calibri" w:ascii="Calibri" w:hAnsi="Calibri"/>
          <w:color w:val="000000"/>
          <w:szCs w:val="24"/>
          <w:lang w:val="en-AU"/>
        </w:rPr>
      </w:r>
      <w:r>
        <w:rPr>
          <w:rFonts w:cs="Calibri" w:ascii="Calibri" w:hAnsi="Calibri"/>
          <w:color w:val="000000"/>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51" w:name="Bookmark50"/>
      <w:bookmarkEnd w:id="50"/>
      <w:r>
        <w:rPr>
          <w:rFonts w:cs="Calibri" w:ascii="Calibri" w:hAnsi="Calibri"/>
          <w:color w:val="000000"/>
          <w:szCs w:val="24"/>
          <w:lang w:val="en-AU"/>
        </w:rPr>
        <w:t>(35, 36)</w:t>
      </w:r>
      <w:r>
        <w:rPr>
          <w:rFonts w:cs="Calibri" w:ascii="Calibri" w:hAnsi="Calibri"/>
          <w:color w:val="000000"/>
          <w:szCs w:val="24"/>
          <w:lang w:val="en-AU"/>
        </w:rPr>
      </w:r>
      <w:r>
        <w:rPr>
          <w:szCs w:val="24"/>
          <w:rFonts w:cs="Calibri" w:ascii="Calibri" w:hAnsi="Calibri"/>
        </w:rPr>
        <w:fldChar w:fldCharType="end"/>
      </w:r>
      <w:bookmarkEnd w:id="51"/>
      <w:r>
        <w:rPr>
          <w:rFonts w:cs="Calibri" w:ascii="Calibri" w:hAnsi="Calibri"/>
          <w:color w:val="000000"/>
          <w:szCs w:val="24"/>
          <w:lang w:val="en-AU"/>
        </w:rPr>
        <w:t>.</w:t>
      </w:r>
    </w:p>
    <w:p>
      <w:pPr>
        <w:pStyle w:val="Normal"/>
        <w:rPr>
          <w:rFonts w:ascii="Calibri" w:hAnsi="Calibri" w:cs="Calibri"/>
          <w:szCs w:val="24"/>
          <w:lang w:val="en-AU"/>
        </w:rPr>
      </w:pPr>
      <w:r>
        <w:rPr>
          <w:rFonts w:cs="Calibri" w:ascii="Calibri" w:hAnsi="Calibri"/>
          <w:szCs w:val="24"/>
          <w:lang w:val="en-AU"/>
        </w:rPr>
      </w:r>
    </w:p>
    <w:p>
      <w:pPr>
        <w:pStyle w:val="Normal"/>
        <w:rPr>
          <w:rFonts w:ascii="Calibri" w:hAnsi="Calibri" w:cs="Calibri"/>
          <w:szCs w:val="24"/>
          <w:lang w:val="en-AU"/>
        </w:rPr>
      </w:pPr>
      <w:r>
        <w:rPr>
          <w:rFonts w:cs="Calibri" w:ascii="Calibri" w:hAnsi="Calibri"/>
          <w:b/>
          <w:bCs/>
          <w:i/>
          <w:iCs/>
          <w:szCs w:val="24"/>
          <w:lang w:val="en-AU"/>
        </w:rPr>
        <w:t>3.2.2 Intrinsic factors of T cell exhaustion</w:t>
      </w:r>
    </w:p>
    <w:p>
      <w:pPr>
        <w:pStyle w:val="Normal"/>
        <w:rPr/>
      </w:pPr>
      <w:r>
        <w:rPr>
          <w:rFonts w:cs="Calibri" w:ascii="Calibri" w:hAnsi="Calibri"/>
          <w:szCs w:val="24"/>
          <w:lang w:val="en-AU"/>
        </w:rPr>
        <w:t xml:space="preserve">Intrinsic factors that contribute to T cell exhaustion include transcription, epigenetic and metabolic factors. In exhausted T cells, the expression of certain transcription factors is altered when compared to their functional counterparts. Transcription factors that have been implicated in T cell exhaustion include T-bet, B lymphocyte-induced maturation protein 1 (BLIMP1), thymocyte selection-associated high mobility group box protein (TOX), nuclear receptor subfamily 4 group A (NR4A) and members of the nuclear factor of activated T cell (NFAT) family of transcription factors </w:t>
      </w:r>
      <w:r>
        <w:fldChar w:fldCharType="begin"/>
      </w:r>
      <w:r>
        <w:rPr>
          <w:szCs w:val="24"/>
          <w:rFonts w:cs="Calibri" w:ascii="Calibri" w:hAnsi="Calibri"/>
        </w:rPr>
        <w:instrText>ADDIN EN.CITE</w:instrText>
      </w:r>
      <w:r>
        <w:rPr>
          <w:szCs w:val="24"/>
          <w:rFonts w:cs="Calibri" w:ascii="Calibri" w:hAnsi="Calibri"/>
        </w:rPr>
        <w:fldChar w:fldCharType="separate"/>
      </w:r>
      <w:bookmarkStart w:id="52" w:name="Bookmark53"/>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53" w:name="Bookmark52"/>
      <w:bookmarkEnd w:id="52"/>
      <w:r>
        <w:rPr>
          <w:rFonts w:cs="Calibri" w:ascii="Calibri" w:hAnsi="Calibri"/>
          <w:szCs w:val="24"/>
          <w:lang w:val="en-AU"/>
        </w:rPr>
        <w:t>(47, 48)</w:t>
      </w:r>
      <w:r>
        <w:rPr>
          <w:rFonts w:cs="Calibri" w:ascii="Calibri" w:hAnsi="Calibri"/>
          <w:szCs w:val="24"/>
          <w:lang w:val="en-AU"/>
        </w:rPr>
      </w:r>
      <w:r>
        <w:rPr>
          <w:szCs w:val="24"/>
          <w:rFonts w:cs="Calibri" w:ascii="Calibri" w:hAnsi="Calibri"/>
        </w:rPr>
        <w:fldChar w:fldCharType="end"/>
      </w:r>
      <w:bookmarkEnd w:id="53"/>
      <w:r>
        <w:rPr>
          <w:rFonts w:cs="Calibri" w:ascii="Calibri" w:hAnsi="Calibri"/>
          <w:szCs w:val="24"/>
          <w:lang w:val="en-AU"/>
        </w:rPr>
        <w:t xml:space="preserve">. These transcription factors are normally active following TCR stimulation, however increased activity or imbalances of these transcription factors with their negative regulators or binding partners can lead to altered gene expression. Genes with altered expression patterns include those that encode immune checkpoint inhibitors, TCR signalling molecules, co-stimulatory molecules, cytokines and molecules involved in cellular metabolism </w:t>
      </w:r>
      <w:r>
        <w:fldChar w:fldCharType="begin"/>
      </w:r>
      <w:r>
        <w:rPr>
          <w:szCs w:val="24"/>
          <w:rFonts w:cs="Calibri" w:ascii="Calibri" w:hAnsi="Calibri"/>
        </w:rPr>
        <w:instrText>ADDIN EN.CITE &lt;EndNote&gt;&lt;Cite&gt;&lt;Author&gt;McLane&lt;/Author&gt;&lt;Year&gt;2015&lt;/Year&gt;&lt;RecNum&gt;67&lt;/RecNum&gt;&lt;DisplayText&gt;(49)&lt;/DisplayText&gt;&lt;record&gt;&lt;rec-number&gt;67&lt;/rec-number&gt;&lt;foreign-keys&gt;&lt;key app="EN" db-id="0svr029aax0d22erzzkprfpvefwawtzaazpa" timestamp="1596436770"&gt;67&lt;/key&gt;&lt;/foreign-keys&gt;&lt;ref-type name="Journal Article"&gt;17&lt;/ref-type&gt;&lt;contributors&gt;&lt;authors&gt;&lt;author&gt;McLane, Laura M.&lt;/author&gt;&lt;author&gt;Abdel-Hakeem, Mohamed S.&lt;/author&gt;&lt;author&gt;Wherry, E. John&lt;/author&gt;&lt;/authors&gt;&lt;/contributors&gt;&lt;titles&gt;&lt;title&gt;CD8 T Cell Exhaustion During Chronic Viral Infection and Cancer&lt;/title&gt;&lt;secondary-title&gt;Annual Review of Immunology&lt;/secondary-title&gt;&lt;/titles&gt;&lt;periodical&gt;&lt;full-title&gt;Annual Review of Immunology&lt;/full-title&gt;&lt;/periodical&gt;&lt;pages&gt;457-495&lt;/pages&gt;&lt;volume&gt;37&lt;/volume&gt;&lt;number&gt;1&lt;/number&gt;&lt;dates&gt;&lt;year&gt;2015&lt;/year&gt;&lt;pub-dates&gt;&lt;date&gt;2019/04/26&lt;/date&gt;&lt;/pub-dates&gt;&lt;/dates&gt;&lt;publisher&gt;Annual Reviews&lt;/publisher&gt;&lt;isbn&gt;0732-0582&lt;/isbn&gt;&lt;urls&gt;&lt;related-urls&gt;&lt;url&gt;https://doi.org/10.1146/annurev-immunol-041015-055318&lt;/url&gt;&lt;/related-urls&gt;&lt;/urls&gt;&lt;electronic-resource-num&gt;10.1146/annurev-immunol-041015-055318&lt;/electronic-resource-num&gt;&lt;access-date&gt;2020/08/02&lt;/access-date&gt;&lt;/record&gt;&lt;/Cite&gt;&lt;/EndNote&gt;</w:instrText>
      </w:r>
      <w:r>
        <w:rPr>
          <w:szCs w:val="24"/>
          <w:rFonts w:cs="Calibri" w:ascii="Calibri" w:hAnsi="Calibri"/>
        </w:rPr>
        <w:fldChar w:fldCharType="separate"/>
      </w:r>
      <w:bookmarkStart w:id="54" w:name="Bookmark54"/>
      <w:r>
        <w:rPr>
          <w:rFonts w:cs="Calibri" w:ascii="Calibri" w:hAnsi="Calibri"/>
          <w:szCs w:val="24"/>
          <w:lang w:val="en-AU"/>
        </w:rPr>
        <w:t>(49)</w:t>
      </w:r>
      <w:r>
        <w:rPr>
          <w:rFonts w:cs="Calibri" w:ascii="Calibri" w:hAnsi="Calibri"/>
          <w:szCs w:val="24"/>
          <w:lang w:val="en-AU"/>
        </w:rPr>
      </w:r>
      <w:r>
        <w:rPr>
          <w:szCs w:val="24"/>
          <w:rFonts w:cs="Calibri" w:ascii="Calibri" w:hAnsi="Calibri"/>
        </w:rPr>
        <w:fldChar w:fldCharType="end"/>
      </w:r>
      <w:bookmarkEnd w:id="54"/>
      <w:r>
        <w:rPr>
          <w:rFonts w:cs="Calibri" w:ascii="Calibri" w:hAnsi="Calibri"/>
          <w:szCs w:val="24"/>
          <w:lang w:val="en-AU"/>
        </w:rPr>
        <w:t xml:space="preserve">. For example, NFATs normally form heterodimers with activator protein 1 (AP-1) transcription family members that promote expression of effector genes </w:t>
      </w:r>
      <w:r>
        <w:fldChar w:fldCharType="begin"/>
      </w:r>
      <w:r>
        <w:rPr>
          <w:szCs w:val="24"/>
          <w:rFonts w:cs="Calibri" w:ascii="Calibri" w:hAnsi="Calibri"/>
        </w:rPr>
        <w:instrText>ADDIN EN.CITE</w:instrText>
      </w:r>
      <w:r>
        <w:rPr>
          <w:szCs w:val="24"/>
          <w:rFonts w:cs="Calibri" w:ascii="Calibri" w:hAnsi="Calibri"/>
        </w:rPr>
        <w:fldChar w:fldCharType="separate"/>
      </w:r>
      <w:bookmarkStart w:id="55" w:name="Bookmark56"/>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56" w:name="Bookmark55"/>
      <w:bookmarkEnd w:id="55"/>
      <w:r>
        <w:rPr>
          <w:rFonts w:cs="Calibri" w:ascii="Calibri" w:hAnsi="Calibri"/>
          <w:szCs w:val="24"/>
          <w:lang w:val="en-AU"/>
        </w:rPr>
        <w:t>(47)</w:t>
      </w:r>
      <w:r>
        <w:rPr>
          <w:rFonts w:cs="Calibri" w:ascii="Calibri" w:hAnsi="Calibri"/>
          <w:szCs w:val="24"/>
          <w:lang w:val="en-AU"/>
        </w:rPr>
      </w:r>
      <w:r>
        <w:rPr>
          <w:szCs w:val="24"/>
          <w:rFonts w:cs="Calibri" w:ascii="Calibri" w:hAnsi="Calibri"/>
        </w:rPr>
        <w:fldChar w:fldCharType="end"/>
      </w:r>
      <w:bookmarkEnd w:id="56"/>
      <w:r>
        <w:rPr>
          <w:rFonts w:cs="Calibri" w:ascii="Calibri" w:hAnsi="Calibri"/>
          <w:szCs w:val="24"/>
          <w:lang w:val="en-AU"/>
        </w:rPr>
        <w:t xml:space="preserve">. However, during chronic antigen stimulation, the ratio of NFAT to AP-1 can shift in favour of NFAT, leading to an excess of NFAT unbound to AP-1 </w:t>
      </w:r>
      <w:r>
        <w:fldChar w:fldCharType="begin"/>
      </w:r>
      <w:r>
        <w:rPr>
          <w:szCs w:val="24"/>
          <w:rFonts w:cs="Calibri" w:ascii="Calibri" w:hAnsi="Calibri"/>
        </w:rPr>
        <w:instrText>ADDIN EN.CITE</w:instrText>
      </w:r>
      <w:r>
        <w:rPr>
          <w:szCs w:val="24"/>
          <w:rFonts w:cs="Calibri" w:ascii="Calibri" w:hAnsi="Calibri"/>
        </w:rPr>
        <w:fldChar w:fldCharType="separate"/>
      </w:r>
      <w:bookmarkStart w:id="57" w:name="Bookmark58"/>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58" w:name="Bookmark57"/>
      <w:bookmarkEnd w:id="57"/>
      <w:r>
        <w:rPr>
          <w:rFonts w:cs="Calibri" w:ascii="Calibri" w:hAnsi="Calibri"/>
          <w:szCs w:val="24"/>
          <w:lang w:val="en-AU"/>
        </w:rPr>
        <w:t>(49, 50)</w:t>
      </w:r>
      <w:r>
        <w:rPr>
          <w:rFonts w:cs="Calibri" w:ascii="Calibri" w:hAnsi="Calibri"/>
          <w:szCs w:val="24"/>
          <w:lang w:val="en-AU"/>
        </w:rPr>
      </w:r>
      <w:r>
        <w:rPr>
          <w:szCs w:val="24"/>
          <w:rFonts w:cs="Calibri" w:ascii="Calibri" w:hAnsi="Calibri"/>
        </w:rPr>
        <w:fldChar w:fldCharType="end"/>
      </w:r>
      <w:bookmarkEnd w:id="58"/>
      <w:r>
        <w:rPr>
          <w:rFonts w:cs="Calibri" w:ascii="Calibri" w:hAnsi="Calibri"/>
          <w:szCs w:val="24"/>
          <w:lang w:val="en-AU"/>
        </w:rPr>
        <w:t xml:space="preserve">. Partnerless NFAT promotes the expression of genes encoding immune checkpoint receptors, increasing T cell susceptibility to immunosuppression and can further attenuate the strength of activation signals </w:t>
      </w:r>
      <w:r>
        <w:fldChar w:fldCharType="begin"/>
      </w:r>
      <w:r>
        <w:rPr>
          <w:szCs w:val="24"/>
          <w:rFonts w:cs="Calibri" w:ascii="Calibri" w:hAnsi="Calibri"/>
        </w:rPr>
        <w:instrText>ADDIN EN.CITE</w:instrText>
      </w:r>
      <w:r>
        <w:rPr>
          <w:szCs w:val="24"/>
          <w:rFonts w:cs="Calibri" w:ascii="Calibri" w:hAnsi="Calibri"/>
        </w:rPr>
        <w:fldChar w:fldCharType="separate"/>
      </w:r>
      <w:bookmarkStart w:id="59" w:name="Bookmark60"/>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60" w:name="Bookmark59"/>
      <w:bookmarkEnd w:id="59"/>
      <w:r>
        <w:rPr>
          <w:rFonts w:cs="Calibri" w:ascii="Calibri" w:hAnsi="Calibri"/>
          <w:szCs w:val="24"/>
          <w:lang w:val="en-AU"/>
        </w:rPr>
        <w:t>(49, 50)</w:t>
      </w:r>
      <w:r>
        <w:rPr>
          <w:rFonts w:cs="Calibri" w:ascii="Calibri" w:hAnsi="Calibri"/>
          <w:szCs w:val="24"/>
          <w:lang w:val="en-AU"/>
        </w:rPr>
      </w:r>
      <w:r>
        <w:rPr>
          <w:szCs w:val="24"/>
          <w:rFonts w:cs="Calibri" w:ascii="Calibri" w:hAnsi="Calibri"/>
        </w:rPr>
        <w:fldChar w:fldCharType="end"/>
      </w:r>
      <w:bookmarkEnd w:id="60"/>
      <w:r>
        <w:rPr>
          <w:rFonts w:cs="Calibri" w:ascii="Calibri" w:hAnsi="Calibri"/>
          <w:szCs w:val="24"/>
          <w:lang w:val="en-AU"/>
        </w:rPr>
        <w:t>.</w:t>
      </w:r>
    </w:p>
    <w:p>
      <w:pPr>
        <w:pStyle w:val="Normal"/>
        <w:rPr>
          <w:rFonts w:ascii="Calibri" w:hAnsi="Calibri" w:cs="Calibri"/>
          <w:szCs w:val="24"/>
          <w:lang w:val="en-AU"/>
        </w:rPr>
      </w:pPr>
      <w:r>
        <w:rPr>
          <w:rFonts w:cs="Calibri" w:ascii="Calibri" w:hAnsi="Calibri"/>
          <w:szCs w:val="24"/>
          <w:lang w:val="en-AU"/>
        </w:rPr>
      </w:r>
    </w:p>
    <w:p>
      <w:pPr>
        <w:pStyle w:val="Normal"/>
        <w:rPr/>
      </w:pPr>
      <w:r>
        <w:rPr>
          <w:rFonts w:cs="Calibri" w:ascii="Calibri" w:hAnsi="Calibri"/>
          <w:szCs w:val="24"/>
          <w:lang w:val="en-AU"/>
        </w:rPr>
        <w:t xml:space="preserve">The epigenetic profile of exhausted T cells is also distinct from functional effector or memory T cells. Differences in chromatin accessibility in exhausted T cells sustains the repression of effector genes or expression suppressive genes. Whole genome methylation profiling of tumour infiltrating T cells in colorectal cancer patients has revealed that genes encoding PD-1 and TIM3 displayed increased regions of hypomethylation, which increase chromatin accessibility and sustain immune checkpoint receptor expression </w:t>
      </w:r>
      <w:r>
        <w:fldChar w:fldCharType="begin"/>
      </w:r>
      <w:r>
        <w:rPr>
          <w:szCs w:val="24"/>
          <w:rFonts w:cs="Calibri" w:ascii="Calibri" w:hAnsi="Calibri"/>
        </w:rPr>
        <w:instrText>ADDIN EN.CITE &lt;EndNote&gt;&lt;Cite&gt;&lt;Author&gt;Yang&lt;/Author&gt;&lt;Year&gt;2019&lt;/Year&gt;&lt;RecNum&gt;70&lt;/RecNum&gt;&lt;DisplayText&gt;(41)&lt;/DisplayText&gt;&lt;record&gt;&lt;rec-number&gt;70&lt;/rec-number&gt;&lt;foreign-keys&gt;&lt;key app="EN" db-id="0svr029aax0d22erzzkprfpvefwawtzaazpa" timestamp="1596438999"&gt;70&lt;/key&gt;&lt;/foreign-keys&gt;&lt;ref-type name="Journal Article"&gt;17&lt;/ref-type&gt;&lt;contributors&gt;&lt;authors&gt;&lt;author&gt;Yang, Rui&lt;/author&gt;&lt;author&gt;Cheng, Sijin&lt;/author&gt;&lt;author&gt;Luo, Nan&lt;/author&gt;&lt;author&gt;Gao, Ranran&lt;/author&gt;&lt;author&gt;Yu, Kezhuo&lt;/author&gt;&lt;author&gt;Kang, Boxi&lt;/author&gt;&lt;author&gt;Wang, Li&lt;/author&gt;&lt;author&gt;Zhang, Qiming&lt;/author&gt;&lt;author&gt;Fang, Qiao&lt;/author&gt;&lt;author&gt;Zhang, Lei&lt;/author&gt;&lt;author&gt;Li, Chen&lt;/author&gt;&lt;author&gt;He, Aibin&lt;/author&gt;&lt;author&gt;Hu, Xueda&lt;/author&gt;&lt;author&gt;Peng, Jirun&lt;/author&gt;&lt;author&gt;Ren, Xianwen&lt;/author&gt;&lt;author&gt;Zhang, Zemin&lt;/author&gt;&lt;/authors&gt;&lt;/contributors&gt;&lt;titles&gt;&lt;title&gt;Distinct epigenetic features of tumor-reactive CD8+ T cells in colorectal cancer patients revealed by genome-wide DNA methylation analysis&lt;/title&gt;&lt;secondary-title&gt;Genome Biology&lt;/secondary-title&gt;&lt;/titles&gt;&lt;periodical&gt;&lt;full-title&gt;Genome Biology&lt;/full-title&gt;&lt;/periodical&gt;&lt;pages&gt;2&lt;/pages&gt;&lt;volume&gt;21&lt;/volume&gt;&lt;number&gt;1&lt;/number&gt;&lt;dates&gt;&lt;year&gt;2019&lt;/year&gt;&lt;pub-dates&gt;&lt;date&gt;2019/12/31&lt;/date&gt;&lt;/pub-dates&gt;&lt;/dates&gt;&lt;isbn&gt;1474-760X&lt;/isbn&gt;&lt;urls&gt;&lt;related-urls&gt;&lt;url&gt;https://doi.org/10.1186/s13059-019-1921-y&lt;/url&gt;&lt;/related-urls&gt;&lt;/urls&gt;&lt;electronic-resource-num&gt;10.1186/s13059-019-1921-y&lt;/electronic-resource-num&gt;&lt;/record&gt;&lt;/Cite&gt;&lt;/EndNote&gt;</w:instrText>
      </w:r>
      <w:r>
        <w:rPr>
          <w:szCs w:val="24"/>
          <w:rFonts w:cs="Calibri" w:ascii="Calibri" w:hAnsi="Calibri"/>
        </w:rPr>
        <w:fldChar w:fldCharType="separate"/>
      </w:r>
      <w:bookmarkStart w:id="61" w:name="Bookmark61"/>
      <w:r>
        <w:rPr>
          <w:rFonts w:cs="Calibri" w:ascii="Calibri" w:hAnsi="Calibri"/>
          <w:szCs w:val="24"/>
          <w:lang w:val="en-AU"/>
        </w:rPr>
        <w:t>(41)</w:t>
      </w:r>
      <w:r>
        <w:rPr>
          <w:rFonts w:cs="Calibri" w:ascii="Calibri" w:hAnsi="Calibri"/>
          <w:szCs w:val="24"/>
          <w:lang w:val="en-AU"/>
        </w:rPr>
      </w:r>
      <w:r>
        <w:rPr>
          <w:szCs w:val="24"/>
          <w:rFonts w:cs="Calibri" w:ascii="Calibri" w:hAnsi="Calibri"/>
        </w:rPr>
        <w:fldChar w:fldCharType="end"/>
      </w:r>
      <w:bookmarkEnd w:id="61"/>
      <w:r>
        <w:rPr>
          <w:rFonts w:cs="Calibri" w:ascii="Calibri" w:hAnsi="Calibri"/>
          <w:szCs w:val="24"/>
          <w:lang w:val="en-AU"/>
        </w:rPr>
        <w:t>.</w:t>
      </w:r>
    </w:p>
    <w:p>
      <w:pPr>
        <w:pStyle w:val="Normal"/>
        <w:rPr>
          <w:rFonts w:ascii="Calibri" w:hAnsi="Calibri" w:cs="Calibri"/>
          <w:szCs w:val="24"/>
          <w:lang w:val="en-AU"/>
        </w:rPr>
      </w:pPr>
      <w:r>
        <w:rPr>
          <w:rFonts w:cs="Calibri" w:ascii="Calibri" w:hAnsi="Calibri"/>
          <w:szCs w:val="24"/>
          <w:lang w:val="en-AU"/>
        </w:rPr>
      </w:r>
    </w:p>
    <w:p>
      <w:pPr>
        <w:pStyle w:val="Normal"/>
        <w:rPr/>
      </w:pPr>
      <w:r>
        <w:rPr>
          <w:rFonts w:cs="Calibri" w:ascii="Calibri" w:hAnsi="Calibri"/>
          <w:szCs w:val="24"/>
          <w:lang w:val="en-AU"/>
        </w:rPr>
        <w:t xml:space="preserve">Exhausted T cells undergo substantial metabolic changes in the TME. The upregulation of immune checkpoint receptors on suppressed tumour-infiltrating T cells is correlated with a further loss of mitochondrial function and mass </w:t>
      </w:r>
      <w:r>
        <w:fldChar w:fldCharType="begin"/>
      </w:r>
      <w:r>
        <w:rPr>
          <w:szCs w:val="24"/>
          <w:rFonts w:cs="Calibri" w:ascii="Calibri" w:hAnsi="Calibri"/>
        </w:rPr>
        <w:instrText>ADDIN EN.CITE &lt;EndNote&gt;&lt;Cite&gt;&lt;Author&gt;Scharping&lt;/Author&gt;&lt;Year&gt;2016&lt;/Year&gt;&lt;RecNum&gt;281&lt;/RecNum&gt;&lt;DisplayText&gt;(42)&lt;/DisplayText&gt;&lt;record&gt;&lt;rec-number&gt;281&lt;/rec-number&gt;&lt;foreign-keys&gt;&lt;key app="EN" db-id="a92x0raf7dz52reve0m5f29speefwrp0d22r" timestamp="1586762038"&gt;281&lt;/key&gt;&lt;/foreign-keys&gt;&lt;ref-type name="Journal Article"&gt;17&lt;/ref-type&gt;&lt;contributors&gt;&lt;authors&gt;&lt;author&gt;Scharping, Nicole E.&lt;/author&gt;&lt;author&gt;Menk, Ashley V.&lt;/author&gt;&lt;author&gt;Moreci, Rebecca S.&lt;/author&gt;&lt;author&gt;Whetstone, Ryan D.&lt;/author&gt;&lt;author&gt;Dadey, Rebekah E.&lt;/author&gt;&lt;author&gt;Watkins, Simon C.&lt;/author&gt;&lt;author&gt;Ferris, Robert L.&lt;/author&gt;&lt;author&gt;Delgoffe, Greg M.&lt;/author&gt;&lt;/authors&gt;&lt;/contributors&gt;&lt;titles&gt;&lt;title&gt;The Tumor Microenvironment Represses T Cell Mitochondrial Biogenesis to Drive Intratumoral T Cell Metabolic Insufficiency and Dysfunction&lt;/title&gt;&lt;secondary-title&gt;Immunity&lt;/secondary-title&gt;&lt;/titles&gt;&lt;periodical&gt;&lt;full-title&gt;Immunity&lt;/full-title&gt;&lt;/periodical&gt;&lt;pages&gt;374-388&lt;/pages&gt;&lt;volume&gt;45&lt;/volume&gt;&lt;number&gt;2&lt;/number&gt;&lt;dates&gt;&lt;year&gt;2016&lt;/year&gt;&lt;pub-dates&gt;&lt;date&gt;2016/08/16/&lt;/date&gt;&lt;/pub-dates&gt;&lt;/dates&gt;&lt;isbn&gt;1074-7613&lt;/isbn&gt;&lt;urls&gt;&lt;related-urls&gt;&lt;url&gt;http://www.sciencedirect.com/science/article/pii/S1074761316302825&lt;/url&gt;&lt;/related-urls&gt;&lt;/urls&gt;&lt;electronic-resource-num&gt;https://doi.org/10.1016/j.immuni.2016.07.009&lt;/electronic-resource-num&gt;&lt;/record&gt;&lt;/Cite&gt;&lt;/EndNote&gt;</w:instrText>
      </w:r>
      <w:r>
        <w:rPr>
          <w:szCs w:val="24"/>
          <w:rFonts w:cs="Calibri" w:ascii="Calibri" w:hAnsi="Calibri"/>
        </w:rPr>
        <w:fldChar w:fldCharType="separate"/>
      </w:r>
      <w:bookmarkStart w:id="62" w:name="Bookmark62"/>
      <w:r>
        <w:rPr>
          <w:rFonts w:cs="Calibri" w:ascii="Calibri" w:hAnsi="Calibri"/>
          <w:szCs w:val="24"/>
          <w:lang w:val="en-AU"/>
        </w:rPr>
        <w:t>(42)</w:t>
      </w:r>
      <w:r>
        <w:rPr>
          <w:rFonts w:cs="Calibri" w:ascii="Calibri" w:hAnsi="Calibri"/>
          <w:szCs w:val="24"/>
          <w:lang w:val="en-AU"/>
        </w:rPr>
      </w:r>
      <w:r>
        <w:rPr>
          <w:szCs w:val="24"/>
          <w:rFonts w:cs="Calibri" w:ascii="Calibri" w:hAnsi="Calibri"/>
        </w:rPr>
        <w:fldChar w:fldCharType="end"/>
      </w:r>
      <w:bookmarkEnd w:id="62"/>
      <w:r>
        <w:rPr>
          <w:rFonts w:cs="Calibri" w:ascii="Calibri" w:hAnsi="Calibri"/>
          <w:szCs w:val="24"/>
          <w:lang w:val="en-AU"/>
        </w:rPr>
        <w:t xml:space="preserve">. This is due to Akt mediated repression of PPAR-gamma coactivator 1α (PGC1α), that plays a critical role in mitochondrial biogenesis </w:t>
      </w:r>
      <w:r>
        <w:fldChar w:fldCharType="begin"/>
      </w:r>
      <w:r>
        <w:rPr>
          <w:szCs w:val="24"/>
          <w:rFonts w:cs="Calibri" w:ascii="Calibri" w:hAnsi="Calibri"/>
        </w:rPr>
        <w:instrText>ADDIN EN.CITE &lt;EndNote&gt;&lt;Cite&gt;&lt;Author&gt;Scharping&lt;/Author&gt;&lt;Year&gt;2016&lt;/Year&gt;&lt;RecNum&gt;281&lt;/RecNum&gt;&lt;DisplayText&gt;(42)&lt;/DisplayText&gt;&lt;record&gt;&lt;rec-number&gt;281&lt;/rec-number&gt;&lt;foreign-keys&gt;&lt;key app="EN" db-id="a92x0raf7dz52reve0m5f29speefwrp0d22r" timestamp="1586762038"&gt;281&lt;/key&gt;&lt;/foreign-keys&gt;&lt;ref-type name="Journal Article"&gt;17&lt;/ref-type&gt;&lt;contributors&gt;&lt;authors&gt;&lt;author&gt;Scharping, Nicole E.&lt;/author&gt;&lt;author&gt;Menk, Ashley V.&lt;/author&gt;&lt;author&gt;Moreci, Rebecca S.&lt;/author&gt;&lt;author&gt;Whetstone, Ryan D.&lt;/author&gt;&lt;author&gt;Dadey, Rebekah E.&lt;/author&gt;&lt;author&gt;Watkins, Simon C.&lt;/author&gt;&lt;author&gt;Ferris, Robert L.&lt;/author&gt;&lt;author&gt;Delgoffe, Greg M.&lt;/author&gt;&lt;/authors&gt;&lt;/contributors&gt;&lt;titles&gt;&lt;title&gt;The Tumor Microenvironment Represses T Cell Mitochondrial Biogenesis to Drive Intratumoral T Cell Metabolic Insufficiency and Dysfunction&lt;/title&gt;&lt;secondary-title&gt;Immunity&lt;/secondary-title&gt;&lt;/titles&gt;&lt;periodical&gt;&lt;full-title&gt;Immunity&lt;/full-title&gt;&lt;/periodical&gt;&lt;pages&gt;374-388&lt;/pages&gt;&lt;volume&gt;45&lt;/volume&gt;&lt;number&gt;2&lt;/number&gt;&lt;dates&gt;&lt;year&gt;2016&lt;/year&gt;&lt;pub-dates&gt;&lt;date&gt;2016/08/16/&lt;/date&gt;&lt;/pub-dates&gt;&lt;/dates&gt;&lt;isbn&gt;1074-7613&lt;/isbn&gt;&lt;urls&gt;&lt;related-urls&gt;&lt;url&gt;http://www.sciencedirect.com/science/article/pii/S1074761316302825&lt;/url&gt;&lt;/related-urls&gt;&lt;/urls&gt;&lt;electronic-resource-num&gt;https://doi.org/10.1016/j.immuni.2016.07.009&lt;/electronic-resource-num&gt;&lt;/record&gt;&lt;/Cite&gt;&lt;/EndNote&gt;</w:instrText>
      </w:r>
      <w:r>
        <w:rPr>
          <w:szCs w:val="24"/>
          <w:rFonts w:cs="Calibri" w:ascii="Calibri" w:hAnsi="Calibri"/>
        </w:rPr>
        <w:fldChar w:fldCharType="separate"/>
      </w:r>
      <w:bookmarkStart w:id="63" w:name="Bookmark63"/>
      <w:r>
        <w:rPr>
          <w:rFonts w:cs="Calibri" w:ascii="Calibri" w:hAnsi="Calibri"/>
          <w:szCs w:val="24"/>
          <w:lang w:val="en-AU"/>
        </w:rPr>
        <w:t>(42)</w:t>
      </w:r>
      <w:r>
        <w:rPr>
          <w:rFonts w:cs="Calibri" w:ascii="Calibri" w:hAnsi="Calibri"/>
          <w:szCs w:val="24"/>
          <w:lang w:val="en-AU"/>
        </w:rPr>
      </w:r>
      <w:r>
        <w:rPr>
          <w:szCs w:val="24"/>
          <w:rFonts w:cs="Calibri" w:ascii="Calibri" w:hAnsi="Calibri"/>
        </w:rPr>
        <w:fldChar w:fldCharType="end"/>
      </w:r>
      <w:bookmarkEnd w:id="63"/>
      <w:r>
        <w:rPr>
          <w:rFonts w:cs="Calibri" w:ascii="Calibri" w:hAnsi="Calibri"/>
          <w:szCs w:val="24"/>
          <w:lang w:val="en-AU"/>
        </w:rPr>
        <w:t xml:space="preserve">. </w:t>
      </w:r>
      <w:r>
        <w:rPr>
          <w:rFonts w:cs="Calibri" w:ascii="Calibri" w:hAnsi="Calibri"/>
          <w:i/>
          <w:iCs/>
          <w:szCs w:val="24"/>
          <w:lang w:val="en-AU"/>
        </w:rPr>
        <w:t xml:space="preserve">In vitro </w:t>
      </w:r>
      <w:r>
        <w:rPr>
          <w:rFonts w:cs="Calibri" w:ascii="Calibri" w:hAnsi="Calibri"/>
          <w:szCs w:val="24"/>
          <w:lang w:val="en-AU"/>
        </w:rPr>
        <w:t xml:space="preserve">analysis has further demonstrated that PD-1 cross-linking can attenuate phosphoinositide 3 kinase (PI3K) and mammalian target of rapamycin (mTOR) signalling, consequently supressing a number of metabolic pathways including glycolysis </w:t>
      </w:r>
      <w:r>
        <w:fldChar w:fldCharType="begin"/>
      </w:r>
      <w:r>
        <w:rPr>
          <w:szCs w:val="24"/>
          <w:rFonts w:cs="Calibri" w:ascii="Calibri" w:hAnsi="Calibri"/>
        </w:rPr>
        <w:instrText>ADDIN EN.CITE</w:instrText>
      </w:r>
      <w:r>
        <w:rPr>
          <w:szCs w:val="24"/>
          <w:rFonts w:cs="Calibri" w:ascii="Calibri" w:hAnsi="Calibri"/>
        </w:rPr>
        <w:fldChar w:fldCharType="separate"/>
      </w:r>
      <w:bookmarkStart w:id="64" w:name="Bookmark65"/>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65" w:name="Bookmark64"/>
      <w:bookmarkEnd w:id="64"/>
      <w:r>
        <w:rPr>
          <w:rFonts w:cs="Calibri" w:ascii="Calibri" w:hAnsi="Calibri"/>
          <w:szCs w:val="24"/>
          <w:lang w:val="en-AU"/>
        </w:rPr>
        <w:t>(43, 44)</w:t>
      </w:r>
      <w:r>
        <w:rPr>
          <w:rFonts w:cs="Calibri" w:ascii="Calibri" w:hAnsi="Calibri"/>
          <w:szCs w:val="24"/>
          <w:lang w:val="en-AU"/>
        </w:rPr>
      </w:r>
      <w:r>
        <w:rPr>
          <w:szCs w:val="24"/>
          <w:rFonts w:cs="Calibri" w:ascii="Calibri" w:hAnsi="Calibri"/>
        </w:rPr>
        <w:fldChar w:fldCharType="end"/>
      </w:r>
      <w:bookmarkEnd w:id="65"/>
      <w:r>
        <w:rPr>
          <w:rFonts w:cs="Calibri" w:ascii="Calibri" w:hAnsi="Calibri"/>
          <w:szCs w:val="24"/>
          <w:lang w:val="en-AU"/>
        </w:rPr>
        <w:t>.</w:t>
      </w:r>
    </w:p>
    <w:p>
      <w:pPr>
        <w:pStyle w:val="Normal"/>
        <w:rPr>
          <w:rFonts w:ascii="Calibri" w:hAnsi="Calibri" w:cs="Calibri"/>
          <w:szCs w:val="24"/>
          <w:lang w:val="en-AU"/>
        </w:rPr>
      </w:pPr>
      <w:r>
        <w:rPr>
          <w:rFonts w:cs="Calibri" w:ascii="Calibri" w:hAnsi="Calibri"/>
          <w:szCs w:val="24"/>
          <w:lang w:val="en-AU"/>
        </w:rPr>
      </w:r>
    </w:p>
    <w:p>
      <w:pPr>
        <w:pStyle w:val="Normal"/>
        <w:rPr>
          <w:rFonts w:ascii="Calibri" w:hAnsi="Calibri" w:cs="Calibri"/>
          <w:szCs w:val="24"/>
          <w:lang w:val="en-AU"/>
        </w:rPr>
      </w:pPr>
      <w:r>
        <w:rPr>
          <w:rFonts w:cs="Calibri" w:ascii="Calibri" w:hAnsi="Calibri"/>
          <w:b/>
          <w:bCs/>
          <w:i/>
          <w:iCs/>
          <w:szCs w:val="24"/>
          <w:lang w:val="en-AU"/>
        </w:rPr>
        <w:t>3.2.3 Precursor exhausted T cells</w:t>
      </w:r>
    </w:p>
    <w:p>
      <w:pPr>
        <w:pStyle w:val="Normal"/>
        <w:rPr/>
      </w:pPr>
      <w:r>
        <w:rPr>
          <w:rFonts w:cs="Calibri" w:ascii="Calibri" w:hAnsi="Calibri"/>
          <w:szCs w:val="24"/>
          <w:lang w:val="en-AU"/>
        </w:rPr>
        <w:t xml:space="preserve">Despite their reduced functionality, exhausted CTLs are thought to have roles in the control of pathogen and tumours, and are recognised to be a heterogenous population </w:t>
      </w:r>
      <w:r>
        <w:fldChar w:fldCharType="begin"/>
      </w:r>
      <w:r>
        <w:rPr>
          <w:szCs w:val="24"/>
          <w:rFonts w:cs="Calibri" w:ascii="Calibri" w:hAnsi="Calibri"/>
        </w:rPr>
        <w:instrText>ADDIN EN.CITE &lt;EndNote&gt;&lt;Cite&gt;&lt;Author&gt;Wherry&lt;/Author&gt;&lt;Year&gt;2011&lt;/Year&gt;&lt;RecNum&gt;44&lt;/RecNum&gt;&lt;DisplayText&gt;(45, 46)&lt;/DisplayText&gt;&lt;record&gt;&lt;rec-number&gt;44&lt;/rec-number&gt;&lt;foreign-keys&gt;&lt;key app="EN" db-id="0svr029aax0d22erzzkprfpvefwawtzaazpa" timestamp="1596080635"&gt;44&lt;/key&gt;&lt;/foreign-keys&gt;&lt;ref-type name="Journal Article"&gt;17&lt;/ref-type&gt;&lt;contributors&gt;&lt;authors&gt;&lt;author&gt;Wherry, E. John&lt;/author&gt;&lt;/authors&gt;&lt;/contributors&gt;&lt;titles&gt;&lt;title&gt;T cell exhaustion&lt;/title&gt;&lt;secondary-title&gt;Nature Immunology&lt;/secondary-title&gt;&lt;/titles&gt;&lt;periodical&gt;&lt;full-title&gt;Nature Immunology&lt;/full-title&gt;&lt;/periodical&gt;&lt;pages&gt;492-499&lt;/pages&gt;&lt;volume&gt;12&lt;/volume&gt;&lt;number&gt;6&lt;/number&gt;&lt;dates&gt;&lt;year&gt;2011&lt;/year&gt;&lt;pub-dates&gt;&lt;date&gt;2011/06/01&lt;/date&gt;&lt;/pub-dates&gt;&lt;/dates&gt;&lt;isbn&gt;1529-2916&lt;/isbn&gt;&lt;urls&gt;&lt;related-urls&gt;&lt;url&gt;https://doi.org/10.1038/ni.2035&lt;/url&gt;&lt;/related-urls&gt;&lt;/urls&gt;&lt;electronic-resource-num&gt;10.1038/ni.2035&lt;/electronic-resource-num&gt;&lt;/record&gt;&lt;/Cite&gt;&lt;Cite&gt;&lt;Author&gt;Kallies&lt;/Author&gt;&lt;Year&gt;2020&lt;/Year&gt;&lt;RecNum&gt;45&lt;/RecNum&gt;&lt;record&gt;&lt;rec-number&gt;45&lt;/rec-number&gt;&lt;foreign-keys&gt;&lt;key app="EN" db-id="0svr029aax0d22erzzkprfpvefwawtzaazpa" timestamp="1596080648"&gt;45&lt;/key&gt;&lt;/foreign-keys&gt;&lt;ref-type name="Journal Article"&gt;17&lt;/ref-type&gt;&lt;contributors&gt;&lt;authors&gt;&lt;author&gt;Kallies, Axel&lt;/author&gt;&lt;author&gt;Zehn, Dietmar&lt;/author&gt;&lt;author&gt;Utzschneider, Daniel T.&lt;/author&gt;&lt;/authors&gt;&lt;/contributors&gt;&lt;titles&gt;&lt;title&gt;Precursor exhausted T cells: key to successful immunotherapy?&lt;/title&gt;&lt;secondary-title&gt;Nature Reviews Immunology&lt;/secondary-title&gt;&lt;/titles&gt;&lt;periodical&gt;&lt;full-title&gt;Nature Reviews Immunology&lt;/full-title&gt;&lt;/periodical&gt;&lt;pages&gt;128-136&lt;/pages&gt;&lt;volume&gt;20&lt;/volume&gt;&lt;number&gt;2&lt;/number&gt;&lt;dates&gt;&lt;year&gt;2020&lt;/year&gt;&lt;pub-dates&gt;&lt;date&gt;2020/02/01&lt;/date&gt;&lt;/pub-dates&gt;&lt;/dates&gt;&lt;isbn&gt;1474-1741&lt;/isbn&gt;&lt;urls&gt;&lt;related-urls&gt;&lt;url&gt;https://doi.org/10.1038/s41577-019-0223-7&lt;/url&gt;&lt;/related-urls&gt;&lt;/urls&gt;&lt;electronic-resource-num&gt;10.1038/s41577-019-0223-7&lt;/electronic-resource-num&gt;&lt;/record&gt;&lt;/Cite&gt;&lt;/EndNote&gt;</w:instrText>
      </w:r>
      <w:r>
        <w:rPr>
          <w:szCs w:val="24"/>
          <w:rFonts w:cs="Calibri" w:ascii="Calibri" w:hAnsi="Calibri"/>
        </w:rPr>
        <w:fldChar w:fldCharType="separate"/>
      </w:r>
      <w:bookmarkStart w:id="66" w:name="Bookmark66"/>
      <w:r>
        <w:rPr>
          <w:rFonts w:cs="Calibri" w:ascii="Calibri" w:hAnsi="Calibri"/>
          <w:szCs w:val="24"/>
          <w:lang w:val="en-AU"/>
        </w:rPr>
        <w:t>(45, 46)</w:t>
      </w:r>
      <w:r>
        <w:rPr>
          <w:rFonts w:cs="Calibri" w:ascii="Calibri" w:hAnsi="Calibri"/>
          <w:szCs w:val="24"/>
          <w:lang w:val="en-AU"/>
        </w:rPr>
      </w:r>
      <w:r>
        <w:rPr>
          <w:szCs w:val="24"/>
          <w:rFonts w:cs="Calibri" w:ascii="Calibri" w:hAnsi="Calibri"/>
        </w:rPr>
        <w:fldChar w:fldCharType="end"/>
      </w:r>
      <w:bookmarkEnd w:id="66"/>
      <w:r>
        <w:rPr>
          <w:rFonts w:cs="Calibri" w:ascii="Calibri" w:hAnsi="Calibri"/>
          <w:szCs w:val="24"/>
          <w:lang w:val="en-AU"/>
        </w:rPr>
        <w:t>. Recent classification broadly classifies two subsets of exhausted T cells, terminal exhausted effector T (T</w:t>
      </w:r>
      <w:r>
        <w:rPr>
          <w:rFonts w:cs="Calibri" w:ascii="Calibri" w:hAnsi="Calibri"/>
          <w:szCs w:val="24"/>
          <w:vertAlign w:val="subscript"/>
          <w:lang w:val="en-AU"/>
        </w:rPr>
        <w:t>EX</w:t>
      </w:r>
      <w:r>
        <w:rPr>
          <w:rFonts w:cs="Calibri" w:ascii="Calibri" w:hAnsi="Calibri"/>
          <w:szCs w:val="24"/>
          <w:lang w:val="en-AU"/>
        </w:rPr>
        <w:t>) and precursor exhausted T (T</w:t>
      </w:r>
      <w:r>
        <w:rPr>
          <w:rFonts w:cs="Calibri" w:ascii="Calibri" w:hAnsi="Calibri"/>
          <w:szCs w:val="24"/>
          <w:vertAlign w:val="subscript"/>
          <w:lang w:val="en-AU"/>
        </w:rPr>
        <w:t>PEX</w:t>
      </w:r>
      <w:r>
        <w:rPr>
          <w:rFonts w:cs="Calibri" w:ascii="Calibri" w:hAnsi="Calibri"/>
          <w:szCs w:val="24"/>
          <w:lang w:val="en-AU"/>
        </w:rPr>
        <w:t xml:space="preserve">) cells, that are suggested to play key roles chronic in infection and tumour settings </w:t>
      </w:r>
      <w:r>
        <w:fldChar w:fldCharType="begin"/>
      </w:r>
      <w:r>
        <w:rPr>
          <w:szCs w:val="24"/>
          <w:rFonts w:cs="Calibri" w:ascii="Calibri" w:hAnsi="Calibri"/>
        </w:rPr>
        <w:instrText>ADDIN EN.CITE &lt;EndNote&gt;&lt;Cite&gt;&lt;Author&gt;Kallies&lt;/Author&gt;&lt;Year&gt;2020&lt;/Year&gt;&lt;RecNum&gt;45&lt;/RecNum&gt;&lt;DisplayText&gt;(46)&lt;/DisplayText&gt;&lt;record&gt;&lt;rec-number&gt;45&lt;/rec-number&gt;&lt;foreign-keys&gt;&lt;key app="EN" db-id="0svr029aax0d22erzzkprfpvefwawtzaazpa" timestamp="1596080648"&gt;45&lt;/key&gt;&lt;/foreign-keys&gt;&lt;ref-type name="Journal Article"&gt;17&lt;/ref-type&gt;&lt;contributors&gt;&lt;authors&gt;&lt;author&gt;Kallies, Axel&lt;/author&gt;&lt;author&gt;Zehn, Dietmar&lt;/author&gt;&lt;author&gt;Utzschneider, Daniel T.&lt;/author&gt;&lt;/authors&gt;&lt;/contributors&gt;&lt;titles&gt;&lt;title&gt;Precursor exhausted T cells: key to successful immunotherapy?&lt;/title&gt;&lt;secondary-title&gt;Nature Reviews Immunology&lt;/secondary-title&gt;&lt;/titles&gt;&lt;periodical&gt;&lt;full-title&gt;Nature Reviews Immunology&lt;/full-title&gt;&lt;/periodical&gt;&lt;pages&gt;128-136&lt;/pages&gt;&lt;volume&gt;20&lt;/volume&gt;&lt;number&gt;2&lt;/number&gt;&lt;dates&gt;&lt;year&gt;2020&lt;/year&gt;&lt;pub-dates&gt;&lt;date&gt;2020/02/01&lt;/date&gt;&lt;/pub-dates&gt;&lt;/dates&gt;&lt;isbn&gt;1474-1741&lt;/isbn&gt;&lt;urls&gt;&lt;related-urls&gt;&lt;url&gt;https://doi.org/10.1038/s41577-019-0223-7&lt;/url&gt;&lt;/related-urls&gt;&lt;/urls&gt;&lt;electronic-resource-num&gt;10.1038/s41577-019-0223-7&lt;/electronic-resource-num&gt;&lt;/record&gt;&lt;/Cite&gt;&lt;/EndNote&gt;</w:instrText>
      </w:r>
      <w:r>
        <w:rPr>
          <w:szCs w:val="24"/>
          <w:rFonts w:cs="Calibri" w:ascii="Calibri" w:hAnsi="Calibri"/>
        </w:rPr>
        <w:fldChar w:fldCharType="separate"/>
      </w:r>
      <w:bookmarkStart w:id="67" w:name="Bookmark67"/>
      <w:r>
        <w:rPr>
          <w:rFonts w:cs="Calibri" w:ascii="Calibri" w:hAnsi="Calibri"/>
          <w:szCs w:val="24"/>
          <w:lang w:val="en-AU"/>
        </w:rPr>
        <w:t>(46)</w:t>
      </w:r>
      <w:r>
        <w:rPr>
          <w:rFonts w:cs="Calibri" w:ascii="Calibri" w:hAnsi="Calibri"/>
          <w:szCs w:val="24"/>
          <w:lang w:val="en-AU"/>
        </w:rPr>
      </w:r>
      <w:r>
        <w:rPr>
          <w:szCs w:val="24"/>
          <w:rFonts w:cs="Calibri" w:ascii="Calibri" w:hAnsi="Calibri"/>
        </w:rPr>
        <w:fldChar w:fldCharType="end"/>
      </w:r>
      <w:bookmarkEnd w:id="67"/>
      <w:r>
        <w:rPr>
          <w:rFonts w:cs="Calibri" w:ascii="Calibri" w:hAnsi="Calibri"/>
          <w:szCs w:val="24"/>
          <w:lang w:val="en-AU"/>
        </w:rPr>
        <w:t>.</w:t>
      </w:r>
    </w:p>
    <w:p>
      <w:pPr>
        <w:pStyle w:val="Normal"/>
        <w:rPr>
          <w:rFonts w:ascii="Calibri" w:hAnsi="Calibri" w:cs="Calibri"/>
          <w:szCs w:val="24"/>
          <w:lang w:val="en-AU"/>
        </w:rPr>
      </w:pPr>
      <w:r>
        <w:rPr>
          <w:rFonts w:cs="Calibri" w:ascii="Calibri" w:hAnsi="Calibri"/>
          <w:szCs w:val="24"/>
          <w:lang w:val="en-AU"/>
        </w:rPr>
      </w:r>
    </w:p>
    <w:p>
      <w:pPr>
        <w:pStyle w:val="Normal"/>
        <w:rPr/>
      </w:pPr>
      <w:r>
        <w:rPr>
          <w:rFonts w:cs="Calibri" w:ascii="Calibri" w:hAnsi="Calibri"/>
          <w:szCs w:val="24"/>
          <w:lang w:val="en-AU"/>
        </w:rPr>
        <w:t>Whilst T</w:t>
      </w:r>
      <w:r>
        <w:rPr>
          <w:rFonts w:cs="Calibri" w:ascii="Calibri" w:hAnsi="Calibri"/>
          <w:szCs w:val="24"/>
          <w:vertAlign w:val="subscript"/>
          <w:lang w:val="en-AU"/>
        </w:rPr>
        <w:t>PEX</w:t>
      </w:r>
      <w:r>
        <w:rPr>
          <w:rFonts w:cs="Calibri" w:ascii="Calibri" w:hAnsi="Calibri"/>
          <w:szCs w:val="24"/>
          <w:lang w:val="en-AU"/>
        </w:rPr>
        <w:t xml:space="preserve"> and T</w:t>
      </w:r>
      <w:r>
        <w:rPr>
          <w:rFonts w:cs="Calibri" w:ascii="Calibri" w:hAnsi="Calibri"/>
          <w:szCs w:val="24"/>
          <w:vertAlign w:val="subscript"/>
          <w:lang w:val="en-AU"/>
        </w:rPr>
        <w:t>EX</w:t>
      </w:r>
      <w:r>
        <w:rPr>
          <w:rFonts w:cs="Calibri" w:ascii="Calibri" w:hAnsi="Calibri"/>
          <w:szCs w:val="24"/>
          <w:lang w:val="en-AU"/>
        </w:rPr>
        <w:t xml:space="preserve"> cells share certain features of exhaustion including elevated expression of inhibitory receptors and an impaired capacity for inflammatory cytokine secretion, these subsets are understood to be phenotypically and functionally distinct </w:t>
      </w:r>
      <w:r>
        <w:fldChar w:fldCharType="begin"/>
      </w:r>
      <w:r>
        <w:rPr>
          <w:szCs w:val="24"/>
          <w:rFonts w:cs="Calibri" w:ascii="Calibri" w:hAnsi="Calibri"/>
        </w:rPr>
        <w:instrText>ADDIN EN.CITE</w:instrText>
      </w:r>
      <w:r>
        <w:rPr>
          <w:szCs w:val="24"/>
          <w:rFonts w:cs="Calibri" w:ascii="Calibri" w:hAnsi="Calibri"/>
        </w:rPr>
        <w:fldChar w:fldCharType="separate"/>
      </w:r>
      <w:bookmarkStart w:id="68" w:name="Bookmark69"/>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69" w:name="Bookmark68"/>
      <w:bookmarkEnd w:id="68"/>
      <w:r>
        <w:rPr>
          <w:rFonts w:cs="Calibri" w:ascii="Calibri" w:hAnsi="Calibri"/>
          <w:szCs w:val="24"/>
          <w:lang w:val="en-AU"/>
        </w:rPr>
        <w:t>(47, 48)</w:t>
      </w:r>
      <w:r>
        <w:rPr>
          <w:rFonts w:cs="Calibri" w:ascii="Calibri" w:hAnsi="Calibri"/>
          <w:szCs w:val="24"/>
          <w:lang w:val="en-AU"/>
        </w:rPr>
      </w:r>
      <w:r>
        <w:rPr>
          <w:szCs w:val="24"/>
          <w:rFonts w:cs="Calibri" w:ascii="Calibri" w:hAnsi="Calibri"/>
        </w:rPr>
        <w:fldChar w:fldCharType="end"/>
      </w:r>
      <w:bookmarkEnd w:id="69"/>
      <w:r>
        <w:rPr>
          <w:rFonts w:cs="Calibri" w:ascii="Calibri" w:hAnsi="Calibri"/>
          <w:szCs w:val="24"/>
          <w:lang w:val="en-AU"/>
        </w:rPr>
        <w:t>. T</w:t>
      </w:r>
      <w:r>
        <w:rPr>
          <w:rFonts w:cs="Calibri" w:ascii="Calibri" w:hAnsi="Calibri"/>
          <w:szCs w:val="24"/>
          <w:vertAlign w:val="subscript"/>
          <w:lang w:val="en-AU"/>
        </w:rPr>
        <w:t>PEX</w:t>
      </w:r>
      <w:r>
        <w:rPr>
          <w:rFonts w:cs="Calibri" w:ascii="Calibri" w:hAnsi="Calibri"/>
          <w:szCs w:val="24"/>
          <w:lang w:val="en-AU"/>
        </w:rPr>
        <w:t xml:space="preserve"> cells are identified through their expression of the transcription factor, T cell factor 1 (TCF1) and surface expression of Ly108 </w:t>
      </w:r>
      <w:r>
        <w:fldChar w:fldCharType="begin"/>
      </w:r>
      <w:r>
        <w:rPr>
          <w:szCs w:val="24"/>
          <w:rFonts w:cs="Calibri" w:ascii="Calibri" w:hAnsi="Calibri"/>
        </w:rPr>
        <w:instrText>ADDIN EN.CITE &lt;EndNote&gt;&lt;Cite&gt;&lt;Author&gt;Kallies&lt;/Author&gt;&lt;Year&gt;2020&lt;/Year&gt;&lt;RecNum&gt;45&lt;/RecNum&gt;&lt;DisplayText&gt;(46)&lt;/DisplayText&gt;&lt;record&gt;&lt;rec-number&gt;45&lt;/rec-number&gt;&lt;foreign-keys&gt;&lt;key app="EN" db-id="0svr029aax0d22erzzkprfpvefwawtzaazpa" timestamp="1596080648"&gt;45&lt;/key&gt;&lt;/foreign-keys&gt;&lt;ref-type name="Journal Article"&gt;17&lt;/ref-type&gt;&lt;contributors&gt;&lt;authors&gt;&lt;author&gt;Kallies, Axel&lt;/author&gt;&lt;author&gt;Zehn, Dietmar&lt;/author&gt;&lt;author&gt;Utzschneider, Daniel T.&lt;/author&gt;&lt;/authors&gt;&lt;/contributors&gt;&lt;titles&gt;&lt;title&gt;Precursor exhausted T cells: key to successful immunotherapy?&lt;/title&gt;&lt;secondary-title&gt;Nature Reviews Immunology&lt;/secondary-title&gt;&lt;/titles&gt;&lt;periodical&gt;&lt;full-title&gt;Nature Reviews Immunology&lt;/full-title&gt;&lt;/periodical&gt;&lt;pages&gt;128-136&lt;/pages&gt;&lt;volume&gt;20&lt;/volume&gt;&lt;number&gt;2&lt;/number&gt;&lt;dates&gt;&lt;year&gt;2020&lt;/year&gt;&lt;pub-dates&gt;&lt;date&gt;2020/02/01&lt;/date&gt;&lt;/pub-dates&gt;&lt;/dates&gt;&lt;isbn&gt;1474-1741&lt;/isbn&gt;&lt;urls&gt;&lt;related-urls&gt;&lt;url&gt;https://doi.org/10.1038/s41577-019-0223-7&lt;/url&gt;&lt;/related-urls&gt;&lt;/urls&gt;&lt;electronic-resource-num&gt;10.1038/s41577-019-0223-7&lt;/electronic-resource-num&gt;&lt;/record&gt;&lt;/Cite&gt;&lt;/EndNote&gt;</w:instrText>
      </w:r>
      <w:r>
        <w:rPr>
          <w:szCs w:val="24"/>
          <w:rFonts w:cs="Calibri" w:ascii="Calibri" w:hAnsi="Calibri"/>
        </w:rPr>
        <w:fldChar w:fldCharType="separate"/>
      </w:r>
      <w:bookmarkStart w:id="70" w:name="Bookmark70"/>
      <w:r>
        <w:rPr>
          <w:rFonts w:cs="Calibri" w:ascii="Calibri" w:hAnsi="Calibri"/>
          <w:szCs w:val="24"/>
          <w:lang w:val="en-AU"/>
        </w:rPr>
        <w:t>(46)</w:t>
      </w:r>
      <w:r>
        <w:rPr>
          <w:rFonts w:cs="Calibri" w:ascii="Calibri" w:hAnsi="Calibri"/>
          <w:szCs w:val="24"/>
          <w:lang w:val="en-AU"/>
        </w:rPr>
      </w:r>
      <w:r>
        <w:rPr>
          <w:szCs w:val="24"/>
          <w:rFonts w:cs="Calibri" w:ascii="Calibri" w:hAnsi="Calibri"/>
        </w:rPr>
        <w:fldChar w:fldCharType="end"/>
      </w:r>
      <w:bookmarkEnd w:id="70"/>
      <w:r>
        <w:rPr>
          <w:rFonts w:cs="Calibri" w:ascii="Calibri" w:hAnsi="Calibri"/>
          <w:szCs w:val="24"/>
          <w:lang w:val="en-AU"/>
        </w:rPr>
        <w:t>. T</w:t>
      </w:r>
      <w:r>
        <w:rPr>
          <w:rFonts w:cs="Calibri" w:ascii="Calibri" w:hAnsi="Calibri"/>
          <w:szCs w:val="24"/>
          <w:vertAlign w:val="subscript"/>
          <w:lang w:val="en-AU"/>
        </w:rPr>
        <w:t>PEX</w:t>
      </w:r>
      <w:r>
        <w:rPr>
          <w:rFonts w:cs="Calibri" w:ascii="Calibri" w:hAnsi="Calibri"/>
          <w:szCs w:val="24"/>
          <w:lang w:val="en-AU"/>
        </w:rPr>
        <w:t xml:space="preserve"> cells are further defined by a distinct transcriptional and functional phenotype that is similar to those of memory CD8</w:t>
      </w:r>
      <w:r>
        <w:rPr>
          <w:rFonts w:cs="Calibri" w:ascii="Calibri" w:hAnsi="Calibri"/>
          <w:szCs w:val="24"/>
          <w:vertAlign w:val="superscript"/>
          <w:lang w:val="en-AU"/>
        </w:rPr>
        <w:t>+</w:t>
      </w:r>
      <w:r>
        <w:rPr>
          <w:rFonts w:cs="Calibri" w:ascii="Calibri" w:hAnsi="Calibri"/>
          <w:szCs w:val="24"/>
          <w:lang w:val="en-AU"/>
        </w:rPr>
        <w:t xml:space="preserve"> T cells. In addition to TCF1, inhibitor of DNA binding 3 (ID3) and forkhead box protein O1 (FOXO1) are transcription factors that are key in the generation of both conventional memory cells and maintenance of T</w:t>
      </w:r>
      <w:r>
        <w:rPr>
          <w:rFonts w:cs="Calibri" w:ascii="Calibri" w:hAnsi="Calibri"/>
          <w:szCs w:val="24"/>
          <w:vertAlign w:val="subscript"/>
          <w:lang w:val="en-AU"/>
        </w:rPr>
        <w:t>PEX</w:t>
      </w:r>
      <w:r>
        <w:rPr>
          <w:rFonts w:cs="Calibri" w:ascii="Calibri" w:hAnsi="Calibri"/>
          <w:szCs w:val="24"/>
          <w:lang w:val="en-AU"/>
        </w:rPr>
        <w:t xml:space="preserve"> cells </w:t>
      </w:r>
      <w:r>
        <w:fldChar w:fldCharType="begin"/>
      </w:r>
      <w:r>
        <w:rPr>
          <w:szCs w:val="24"/>
          <w:rFonts w:cs="Calibri" w:ascii="Calibri" w:hAnsi="Calibri"/>
        </w:rPr>
        <w:instrText>ADDIN EN.CITE &lt;EndNote&gt;&lt;Cite&gt;&lt;Author&gt;Kallies&lt;/Author&gt;&lt;Year&gt;2020&lt;/Year&gt;&lt;RecNum&gt;45&lt;/RecNum&gt;&lt;DisplayText&gt;(46)&lt;/DisplayText&gt;&lt;record&gt;&lt;rec-number&gt;45&lt;/rec-number&gt;&lt;foreign-keys&gt;&lt;key app="EN" db-id="0svr029aax0d22erzzkprfpvefwawtzaazpa" timestamp="1596080648"&gt;45&lt;/key&gt;&lt;/foreign-keys&gt;&lt;ref-type name="Journal Article"&gt;17&lt;/ref-type&gt;&lt;contributors&gt;&lt;authors&gt;&lt;author&gt;Kallies, Axel&lt;/author&gt;&lt;author&gt;Zehn, Dietmar&lt;/author&gt;&lt;author&gt;Utzschneider, Daniel T.&lt;/author&gt;&lt;/authors&gt;&lt;/contributors&gt;&lt;titles&gt;&lt;title&gt;Precursor exhausted T cells: key to successful immunotherapy?&lt;/title&gt;&lt;secondary-title&gt;Nature Reviews Immunology&lt;/secondary-title&gt;&lt;/titles&gt;&lt;periodical&gt;&lt;full-title&gt;Nature Reviews Immunology&lt;/full-title&gt;&lt;/periodical&gt;&lt;pages&gt;128-136&lt;/pages&gt;&lt;volume&gt;20&lt;/volume&gt;&lt;number&gt;2&lt;/number&gt;&lt;dates&gt;&lt;year&gt;2020&lt;/year&gt;&lt;pub-dates&gt;&lt;date&gt;2020/02/01&lt;/date&gt;&lt;/pub-dates&gt;&lt;/dates&gt;&lt;isbn&gt;1474-1741&lt;/isbn&gt;&lt;urls&gt;&lt;related-urls&gt;&lt;url&gt;https://doi.org/10.1038/s41577-019-0223-7&lt;/url&gt;&lt;/related-urls&gt;&lt;/urls&gt;&lt;electronic-resource-num&gt;10.1038/s41577-019-0223-7&lt;/electronic-resource-num&gt;&lt;/record&gt;&lt;/Cite&gt;&lt;/EndNote&gt;</w:instrText>
      </w:r>
      <w:r>
        <w:rPr>
          <w:szCs w:val="24"/>
          <w:rFonts w:cs="Calibri" w:ascii="Calibri" w:hAnsi="Calibri"/>
        </w:rPr>
        <w:fldChar w:fldCharType="separate"/>
      </w:r>
      <w:bookmarkStart w:id="71" w:name="Bookmark71"/>
      <w:r>
        <w:rPr>
          <w:rFonts w:cs="Calibri" w:ascii="Calibri" w:hAnsi="Calibri"/>
          <w:szCs w:val="24"/>
          <w:lang w:val="en-AU"/>
        </w:rPr>
        <w:t>(46)</w:t>
      </w:r>
      <w:r>
        <w:rPr>
          <w:rFonts w:cs="Calibri" w:ascii="Calibri" w:hAnsi="Calibri"/>
          <w:szCs w:val="24"/>
          <w:lang w:val="en-AU"/>
        </w:rPr>
      </w:r>
      <w:r>
        <w:rPr>
          <w:szCs w:val="24"/>
          <w:rFonts w:cs="Calibri" w:ascii="Calibri" w:hAnsi="Calibri"/>
        </w:rPr>
        <w:fldChar w:fldCharType="end"/>
      </w:r>
      <w:bookmarkEnd w:id="71"/>
      <w:r>
        <w:rPr>
          <w:rFonts w:cs="Calibri" w:ascii="Calibri" w:hAnsi="Calibri"/>
          <w:szCs w:val="24"/>
          <w:lang w:val="en-AU"/>
        </w:rPr>
        <w:t>. Like memory T cells, T</w:t>
      </w:r>
      <w:r>
        <w:rPr>
          <w:rFonts w:cs="Calibri" w:ascii="Calibri" w:hAnsi="Calibri"/>
          <w:szCs w:val="24"/>
          <w:vertAlign w:val="subscript"/>
          <w:lang w:val="en-AU"/>
        </w:rPr>
        <w:t xml:space="preserve">PEX </w:t>
      </w:r>
      <w:r>
        <w:rPr>
          <w:rFonts w:cs="Calibri" w:ascii="Calibri" w:hAnsi="Calibri"/>
          <w:szCs w:val="24"/>
          <w:lang w:val="en-AU"/>
        </w:rPr>
        <w:t xml:space="preserve">cells maintain a capacity for survival and self-renewal in the absence of antigen and the ability to generate effector cells, albeit effector exhausted cells </w:t>
      </w:r>
      <w:r>
        <w:fldChar w:fldCharType="begin"/>
      </w:r>
      <w:r>
        <w:rPr>
          <w:szCs w:val="24"/>
          <w:rFonts w:cs="Calibri" w:ascii="Calibri" w:hAnsi="Calibri"/>
        </w:rPr>
        <w:instrText>ADDIN EN.CITE &lt;EndNote&gt;&lt;Cite&gt;&lt;Author&gt;Kallies&lt;/Author&gt;&lt;Year&gt;2020&lt;/Year&gt;&lt;RecNum&gt;45&lt;/RecNum&gt;&lt;DisplayText&gt;(46)&lt;/DisplayText&gt;&lt;record&gt;&lt;rec-number&gt;45&lt;/rec-number&gt;&lt;foreign-keys&gt;&lt;key app="EN" db-id="0svr029aax0d22erzzkprfpvefwawtzaazpa" timestamp="1596080648"&gt;45&lt;/key&gt;&lt;/foreign-keys&gt;&lt;ref-type name="Journal Article"&gt;17&lt;/ref-type&gt;&lt;contributors&gt;&lt;authors&gt;&lt;author&gt;Kallies, Axel&lt;/author&gt;&lt;author&gt;Zehn, Dietmar&lt;/author&gt;&lt;author&gt;Utzschneider, Daniel T.&lt;/author&gt;&lt;/authors&gt;&lt;/contributors&gt;&lt;titles&gt;&lt;title&gt;Precursor exhausted T cells: key to successful immunotherapy?&lt;/title&gt;&lt;secondary-title&gt;Nature Reviews Immunology&lt;/secondary-title&gt;&lt;/titles&gt;&lt;periodical&gt;&lt;full-title&gt;Nature Reviews Immunology&lt;/full-title&gt;&lt;/periodical&gt;&lt;pages&gt;128-136&lt;/pages&gt;&lt;volume&gt;20&lt;/volume&gt;&lt;number&gt;2&lt;/number&gt;&lt;dates&gt;&lt;year&gt;2020&lt;/year&gt;&lt;pub-dates&gt;&lt;date&gt;2020/02/01&lt;/date&gt;&lt;/pub-dates&gt;&lt;/dates&gt;&lt;isbn&gt;1474-1741&lt;/isbn&gt;&lt;urls&gt;&lt;related-urls&gt;&lt;url&gt;https://doi.org/10.1038/s41577-019-0223-7&lt;/url&gt;&lt;/related-urls&gt;&lt;/urls&gt;&lt;electronic-resource-num&gt;10.1038/s41577-019-0223-7&lt;/electronic-resource-num&gt;&lt;/record&gt;&lt;/Cite&gt;&lt;/EndNote&gt;</w:instrText>
      </w:r>
      <w:r>
        <w:rPr>
          <w:szCs w:val="24"/>
          <w:rFonts w:cs="Calibri" w:ascii="Calibri" w:hAnsi="Calibri"/>
        </w:rPr>
        <w:fldChar w:fldCharType="separate"/>
      </w:r>
      <w:bookmarkStart w:id="72" w:name="Bookmark72"/>
      <w:r>
        <w:rPr>
          <w:rFonts w:cs="Calibri" w:ascii="Calibri" w:hAnsi="Calibri"/>
          <w:szCs w:val="24"/>
          <w:lang w:val="en-AU"/>
        </w:rPr>
        <w:t>(46)</w:t>
      </w:r>
      <w:r>
        <w:rPr>
          <w:rFonts w:cs="Calibri" w:ascii="Calibri" w:hAnsi="Calibri"/>
          <w:szCs w:val="24"/>
          <w:lang w:val="en-AU"/>
        </w:rPr>
      </w:r>
      <w:r>
        <w:rPr>
          <w:szCs w:val="24"/>
          <w:rFonts w:cs="Calibri" w:ascii="Calibri" w:hAnsi="Calibri"/>
        </w:rPr>
        <w:fldChar w:fldCharType="end"/>
      </w:r>
      <w:bookmarkEnd w:id="72"/>
      <w:r>
        <w:rPr>
          <w:rFonts w:cs="Calibri" w:ascii="Calibri" w:hAnsi="Calibri"/>
          <w:szCs w:val="24"/>
          <w:lang w:val="en-AU"/>
        </w:rPr>
        <w:t>. Notably, whilst T</w:t>
      </w:r>
      <w:r>
        <w:rPr>
          <w:rFonts w:cs="Calibri" w:ascii="Calibri" w:hAnsi="Calibri"/>
          <w:szCs w:val="24"/>
          <w:vertAlign w:val="subscript"/>
          <w:lang w:val="en-AU"/>
        </w:rPr>
        <w:t>PEX</w:t>
      </w:r>
      <w:r>
        <w:rPr>
          <w:rFonts w:cs="Calibri" w:ascii="Calibri" w:hAnsi="Calibri"/>
          <w:szCs w:val="24"/>
          <w:lang w:val="en-AU"/>
        </w:rPr>
        <w:t xml:space="preserve"> cells do express PD-1, they often lack the expression of additional immune checkpoint receptors found on their exhausted counterparts such as TIM3 and LAG3 </w:t>
      </w:r>
      <w:r>
        <w:fldChar w:fldCharType="begin"/>
      </w:r>
      <w:r>
        <w:rPr>
          <w:szCs w:val="24"/>
          <w:rFonts w:cs="Calibri" w:ascii="Calibri" w:hAnsi="Calibri"/>
        </w:rPr>
        <w:instrText>ADDIN EN.CITE &lt;EndNote&gt;&lt;Cite&gt;&lt;Author&gt;Kallies&lt;/Author&gt;&lt;Year&gt;2020&lt;/Year&gt;&lt;RecNum&gt;45&lt;/RecNum&gt;&lt;DisplayText&gt;(46)&lt;/DisplayText&gt;&lt;record&gt;&lt;rec-number&gt;45&lt;/rec-number&gt;&lt;foreign-keys&gt;&lt;key app="EN" db-id="0svr029aax0d22erzzkprfpvefwawtzaazpa" timestamp="1596080648"&gt;45&lt;/key&gt;&lt;/foreign-keys&gt;&lt;ref-type name="Journal Article"&gt;17&lt;/ref-type&gt;&lt;contributors&gt;&lt;authors&gt;&lt;author&gt;Kallies, Axel&lt;/author&gt;&lt;author&gt;Zehn, Dietmar&lt;/author&gt;&lt;author&gt;Utzschneider, Daniel T.&lt;/author&gt;&lt;/authors&gt;&lt;/contributors&gt;&lt;titles&gt;&lt;title&gt;Precursor exhausted T cells: key to successful immunotherapy?&lt;/title&gt;&lt;secondary-title&gt;Nature Reviews Immunology&lt;/secondary-title&gt;&lt;/titles&gt;&lt;periodical&gt;&lt;full-title&gt;Nature Reviews Immunology&lt;/full-title&gt;&lt;/periodical&gt;&lt;pages&gt;128-136&lt;/pages&gt;&lt;volume&gt;20&lt;/volume&gt;&lt;number&gt;2&lt;/number&gt;&lt;dates&gt;&lt;year&gt;2020&lt;/year&gt;&lt;pub-dates&gt;&lt;date&gt;2020/02/01&lt;/date&gt;&lt;/pub-dates&gt;&lt;/dates&gt;&lt;isbn&gt;1474-1741&lt;/isbn&gt;&lt;urls&gt;&lt;related-urls&gt;&lt;url&gt;https://doi.org/10.1038/s41577-019-0223-7&lt;/url&gt;&lt;/related-urls&gt;&lt;/urls&gt;&lt;electronic-resource-num&gt;10.1038/s41577-019-0223-7&lt;/electronic-resource-num&gt;&lt;/record&gt;&lt;/Cite&gt;&lt;/EndNote&gt;</w:instrText>
      </w:r>
      <w:r>
        <w:rPr>
          <w:szCs w:val="24"/>
          <w:rFonts w:cs="Calibri" w:ascii="Calibri" w:hAnsi="Calibri"/>
        </w:rPr>
        <w:fldChar w:fldCharType="separate"/>
      </w:r>
      <w:bookmarkStart w:id="73" w:name="Bookmark73"/>
      <w:r>
        <w:rPr>
          <w:rFonts w:cs="Calibri" w:ascii="Calibri" w:hAnsi="Calibri"/>
          <w:szCs w:val="24"/>
          <w:lang w:val="en-AU"/>
        </w:rPr>
        <w:t>(46)</w:t>
      </w:r>
      <w:r>
        <w:rPr>
          <w:rFonts w:cs="Calibri" w:ascii="Calibri" w:hAnsi="Calibri"/>
          <w:szCs w:val="24"/>
          <w:lang w:val="en-AU"/>
        </w:rPr>
      </w:r>
      <w:r>
        <w:rPr>
          <w:szCs w:val="24"/>
          <w:rFonts w:cs="Calibri" w:ascii="Calibri" w:hAnsi="Calibri"/>
        </w:rPr>
        <w:fldChar w:fldCharType="end"/>
      </w:r>
      <w:bookmarkEnd w:id="73"/>
      <w:r>
        <w:rPr>
          <w:rFonts w:cs="Calibri" w:ascii="Calibri" w:hAnsi="Calibri"/>
          <w:szCs w:val="24"/>
          <w:lang w:val="en-AU"/>
        </w:rPr>
        <w:t>.</w:t>
      </w:r>
    </w:p>
    <w:p>
      <w:pPr>
        <w:pStyle w:val="Normal"/>
        <w:rPr>
          <w:rFonts w:ascii="Calibri" w:hAnsi="Calibri" w:cs="Calibri"/>
          <w:szCs w:val="24"/>
          <w:lang w:val="en-AU"/>
        </w:rPr>
      </w:pPr>
      <w:r>
        <w:rPr>
          <w:rFonts w:cs="Calibri" w:ascii="Calibri" w:hAnsi="Calibri"/>
          <w:szCs w:val="24"/>
          <w:lang w:val="en-AU"/>
        </w:rPr>
      </w:r>
    </w:p>
    <w:p>
      <w:pPr>
        <w:pStyle w:val="Normal"/>
        <w:rPr/>
      </w:pPr>
      <w:r>
        <w:rPr>
          <w:rFonts w:cs="Calibri" w:ascii="Calibri" w:hAnsi="Calibri"/>
          <w:szCs w:val="24"/>
          <w:lang w:val="en-AU"/>
        </w:rPr>
        <w:t>T</w:t>
      </w:r>
      <w:r>
        <w:rPr>
          <w:rFonts w:cs="Calibri" w:ascii="Calibri" w:hAnsi="Calibri"/>
          <w:szCs w:val="24"/>
          <w:vertAlign w:val="subscript"/>
          <w:lang w:val="en-AU"/>
        </w:rPr>
        <w:t>EX</w:t>
      </w:r>
      <w:r>
        <w:rPr>
          <w:rFonts w:cs="Calibri" w:ascii="Calibri" w:hAnsi="Calibri"/>
          <w:szCs w:val="24"/>
          <w:lang w:val="en-AU"/>
        </w:rPr>
        <w:t xml:space="preserve"> cells maintain effector like responses of the exhausted T cell population. Unlike T</w:t>
      </w:r>
      <w:r>
        <w:rPr>
          <w:rFonts w:cs="Calibri" w:ascii="Calibri" w:hAnsi="Calibri"/>
          <w:szCs w:val="24"/>
          <w:vertAlign w:val="subscript"/>
          <w:lang w:val="en-AU"/>
        </w:rPr>
        <w:t>PEX</w:t>
      </w:r>
      <w:r>
        <w:rPr>
          <w:rFonts w:cs="Calibri" w:ascii="Calibri" w:hAnsi="Calibri"/>
          <w:szCs w:val="24"/>
          <w:lang w:val="en-AU"/>
        </w:rPr>
        <w:t xml:space="preserve"> cells, they lack TCF1 expression and are more terminally differentiated having a poor capacity for self-renewal. BLIMP1 is highly expressed in T</w:t>
      </w:r>
      <w:r>
        <w:rPr>
          <w:rFonts w:cs="Calibri" w:ascii="Calibri" w:hAnsi="Calibri"/>
          <w:szCs w:val="24"/>
          <w:vertAlign w:val="subscript"/>
          <w:lang w:val="en-AU"/>
        </w:rPr>
        <w:t>EX</w:t>
      </w:r>
      <w:r>
        <w:rPr>
          <w:rFonts w:cs="Calibri" w:ascii="Calibri" w:hAnsi="Calibri"/>
          <w:szCs w:val="24"/>
          <w:lang w:val="en-AU"/>
        </w:rPr>
        <w:t xml:space="preserve"> cells and is responsible for the repression of memory associated genes as well as the expression of genes encoding effector molecules including IFNγ and granzyme B </w:t>
      </w:r>
      <w:r>
        <w:fldChar w:fldCharType="begin"/>
      </w:r>
      <w:r>
        <w:rPr>
          <w:szCs w:val="24"/>
          <w:rFonts w:cs="Calibri" w:ascii="Calibri" w:hAnsi="Calibri"/>
        </w:rPr>
        <w:instrText>ADDIN EN.CITE &lt;EndNote&gt;&lt;Cite&gt;&lt;Author&gt;Kallies&lt;/Author&gt;&lt;Year&gt;2020&lt;/Year&gt;&lt;RecNum&gt;45&lt;/RecNum&gt;&lt;DisplayText&gt;(46)&lt;/DisplayText&gt;&lt;record&gt;&lt;rec-number&gt;45&lt;/rec-number&gt;&lt;foreign-keys&gt;&lt;key app="EN" db-id="0svr029aax0d22erzzkprfpvefwawtzaazpa" timestamp="1596080648"&gt;45&lt;/key&gt;&lt;/foreign-keys&gt;&lt;ref-type name="Journal Article"&gt;17&lt;/ref-type&gt;&lt;contributors&gt;&lt;authors&gt;&lt;author&gt;Kallies, Axel&lt;/author&gt;&lt;author&gt;Zehn, Dietmar&lt;/author&gt;&lt;author&gt;Utzschneider, Daniel T.&lt;/author&gt;&lt;/authors&gt;&lt;/contributors&gt;&lt;titles&gt;&lt;title&gt;Precursor exhausted T cells: key to successful immunotherapy?&lt;/title&gt;&lt;secondary-title&gt;Nature Reviews Immunology&lt;/secondary-title&gt;&lt;/titles&gt;&lt;periodical&gt;&lt;full-title&gt;Nature Reviews Immunology&lt;/full-title&gt;&lt;/periodical&gt;&lt;pages&gt;128-136&lt;/pages&gt;&lt;volume&gt;20&lt;/volume&gt;&lt;number&gt;2&lt;/number&gt;&lt;dates&gt;&lt;year&gt;2020&lt;/year&gt;&lt;pub-dates&gt;&lt;date&gt;2020/02/01&lt;/date&gt;&lt;/pub-dates&gt;&lt;/dates&gt;&lt;isbn&gt;1474-1741&lt;/isbn&gt;&lt;urls&gt;&lt;related-urls&gt;&lt;url&gt;https://doi.org/10.1038/s41577-019-0223-7&lt;/url&gt;&lt;/related-urls&gt;&lt;/urls&gt;&lt;electronic-resource-num&gt;10.1038/s41577-019-0223-7&lt;/electronic-resource-num&gt;&lt;/record&gt;&lt;/Cite&gt;&lt;/EndNote&gt;</w:instrText>
      </w:r>
      <w:r>
        <w:rPr>
          <w:szCs w:val="24"/>
          <w:rFonts w:cs="Calibri" w:ascii="Calibri" w:hAnsi="Calibri"/>
        </w:rPr>
        <w:fldChar w:fldCharType="separate"/>
      </w:r>
      <w:bookmarkStart w:id="74" w:name="Bookmark74"/>
      <w:r>
        <w:rPr>
          <w:rFonts w:cs="Calibri" w:ascii="Calibri" w:hAnsi="Calibri"/>
          <w:szCs w:val="24"/>
          <w:lang w:val="en-AU"/>
        </w:rPr>
        <w:t>(46)</w:t>
      </w:r>
      <w:r>
        <w:rPr>
          <w:rFonts w:cs="Calibri" w:ascii="Calibri" w:hAnsi="Calibri"/>
          <w:szCs w:val="24"/>
          <w:lang w:val="en-AU"/>
        </w:rPr>
      </w:r>
      <w:r>
        <w:rPr>
          <w:szCs w:val="24"/>
          <w:rFonts w:cs="Calibri" w:ascii="Calibri" w:hAnsi="Calibri"/>
        </w:rPr>
        <w:fldChar w:fldCharType="end"/>
      </w:r>
      <w:bookmarkEnd w:id="74"/>
      <w:r>
        <w:rPr>
          <w:rFonts w:cs="Calibri" w:ascii="Calibri" w:hAnsi="Calibri"/>
          <w:szCs w:val="24"/>
          <w:lang w:val="en-AU"/>
        </w:rPr>
        <w:t xml:space="preserve">. </w:t>
      </w:r>
    </w:p>
    <w:p>
      <w:pPr>
        <w:pStyle w:val="Normal"/>
        <w:rPr>
          <w:rFonts w:ascii="Calibri" w:hAnsi="Calibri" w:cs="Calibri"/>
          <w:szCs w:val="24"/>
          <w:lang w:val="en-AU"/>
        </w:rPr>
      </w:pPr>
      <w:r>
        <w:rPr>
          <w:rFonts w:cs="Calibri" w:ascii="Calibri" w:hAnsi="Calibri"/>
          <w:szCs w:val="24"/>
          <w:lang w:val="en-AU"/>
        </w:rPr>
      </w:r>
    </w:p>
    <w:p>
      <w:pPr>
        <w:pStyle w:val="Normal"/>
        <w:rPr/>
      </w:pPr>
      <w:r>
        <w:rPr>
          <w:rFonts w:cs="Calibri" w:ascii="Calibri" w:hAnsi="Calibri"/>
          <w:szCs w:val="24"/>
          <w:lang w:val="en-AU"/>
        </w:rPr>
        <w:t>Thus, as a progenitor like cell, T</w:t>
      </w:r>
      <w:r>
        <w:rPr>
          <w:rFonts w:cs="Calibri" w:ascii="Calibri" w:hAnsi="Calibri"/>
          <w:szCs w:val="24"/>
          <w:vertAlign w:val="subscript"/>
          <w:lang w:val="en-AU"/>
        </w:rPr>
        <w:t>PEX</w:t>
      </w:r>
      <w:r>
        <w:rPr>
          <w:rFonts w:cs="Calibri" w:ascii="Calibri" w:hAnsi="Calibri"/>
          <w:szCs w:val="24"/>
          <w:lang w:val="en-AU"/>
        </w:rPr>
        <w:t xml:space="preserve"> cells may sustain long-term T cell responses through self-renewal and continued generation of T</w:t>
      </w:r>
      <w:r>
        <w:rPr>
          <w:rFonts w:cs="Calibri" w:ascii="Calibri" w:hAnsi="Calibri"/>
          <w:szCs w:val="24"/>
          <w:vertAlign w:val="subscript"/>
          <w:lang w:val="en-AU"/>
        </w:rPr>
        <w:t>EX</w:t>
      </w:r>
      <w:r>
        <w:rPr>
          <w:rFonts w:cs="Calibri" w:ascii="Calibri" w:hAnsi="Calibri"/>
          <w:szCs w:val="24"/>
          <w:lang w:val="en-AU"/>
        </w:rPr>
        <w:t xml:space="preserve"> cells that provide a degree of control over persisting pathogen or tumour. It is reported that T</w:t>
      </w:r>
      <w:r>
        <w:rPr>
          <w:rFonts w:cs="Calibri" w:ascii="Calibri" w:hAnsi="Calibri"/>
          <w:szCs w:val="24"/>
          <w:vertAlign w:val="subscript"/>
          <w:lang w:val="en-AU"/>
        </w:rPr>
        <w:t>PEX</w:t>
      </w:r>
      <w:r>
        <w:rPr>
          <w:rFonts w:cs="Calibri" w:ascii="Calibri" w:hAnsi="Calibri"/>
          <w:szCs w:val="24"/>
          <w:lang w:val="en-AU"/>
        </w:rPr>
        <w:t xml:space="preserve"> cells are of critical importance in immune checkpoint blockade, where antagonistic antibodies are used to prevent immune checkpoint receptor interactions with their respective ligands. Following PD-1 blockade, it is thought that T</w:t>
      </w:r>
      <w:r>
        <w:rPr>
          <w:rFonts w:cs="Calibri" w:ascii="Calibri" w:hAnsi="Calibri"/>
          <w:szCs w:val="24"/>
          <w:vertAlign w:val="subscript"/>
          <w:lang w:val="en-AU"/>
        </w:rPr>
        <w:t>PEX</w:t>
        <w:softHyphen/>
        <w:t xml:space="preserve"> </w:t>
      </w:r>
      <w:r>
        <w:rPr>
          <w:rFonts w:cs="Calibri" w:ascii="Calibri" w:hAnsi="Calibri"/>
          <w:szCs w:val="24"/>
          <w:lang w:val="en-AU"/>
        </w:rPr>
        <w:t>cells expand and differentiate into T</w:t>
      </w:r>
      <w:r>
        <w:rPr>
          <w:rFonts w:cs="Calibri" w:ascii="Calibri" w:hAnsi="Calibri"/>
          <w:szCs w:val="24"/>
          <w:vertAlign w:val="subscript"/>
          <w:lang w:val="en-AU"/>
        </w:rPr>
        <w:t>EX</w:t>
      </w:r>
      <w:r>
        <w:rPr>
          <w:rFonts w:cs="Calibri" w:ascii="Calibri" w:hAnsi="Calibri"/>
          <w:szCs w:val="24"/>
          <w:lang w:val="en-AU"/>
        </w:rPr>
        <w:t xml:space="preserve"> cells, driving effector responses that improve tumour control </w:t>
      </w:r>
      <w:r>
        <w:fldChar w:fldCharType="begin"/>
      </w:r>
      <w:r>
        <w:rPr>
          <w:szCs w:val="24"/>
          <w:rFonts w:cs="Calibri" w:ascii="Calibri" w:hAnsi="Calibri"/>
        </w:rPr>
        <w:instrText>ADDIN EN.CITE &lt;EndNote&gt;&lt;Cite&gt;&lt;Author&gt;Kallies&lt;/Author&gt;&lt;Year&gt;2020&lt;/Year&gt;&lt;RecNum&gt;45&lt;/RecNum&gt;&lt;DisplayText&gt;(46)&lt;/DisplayText&gt;&lt;record&gt;&lt;rec-number&gt;45&lt;/rec-number&gt;&lt;foreign-keys&gt;&lt;key app="EN" db-id="0svr029aax0d22erzzkprfpvefwawtzaazpa" timestamp="1596080648"&gt;45&lt;/key&gt;&lt;/foreign-keys&gt;&lt;ref-type name="Journal Article"&gt;17&lt;/ref-type&gt;&lt;contributors&gt;&lt;authors&gt;&lt;author&gt;Kallies, Axel&lt;/author&gt;&lt;author&gt;Zehn, Dietmar&lt;/author&gt;&lt;author&gt;Utzschneider, Daniel T.&lt;/author&gt;&lt;/authors&gt;&lt;/contributors&gt;&lt;titles&gt;&lt;title&gt;Precursor exhausted T cells: key to successful immunotherapy?&lt;/title&gt;&lt;secondary-title&gt;Nature Reviews Immunology&lt;/secondary-title&gt;&lt;/titles&gt;&lt;periodical&gt;&lt;full-title&gt;Nature Reviews Immunology&lt;/full-title&gt;&lt;/periodical&gt;&lt;pages&gt;128-136&lt;/pages&gt;&lt;volume&gt;20&lt;/volume&gt;&lt;number&gt;2&lt;/number&gt;&lt;dates&gt;&lt;year&gt;2020&lt;/year&gt;&lt;pub-dates&gt;&lt;date&gt;2020/02/01&lt;/date&gt;&lt;/pub-dates&gt;&lt;/dates&gt;&lt;isbn&gt;1474-1741&lt;/isbn&gt;&lt;urls&gt;&lt;related-urls&gt;&lt;url&gt;https://doi.org/10.1038/s41577-019-0223-7&lt;/url&gt;&lt;/related-urls&gt;&lt;/urls&gt;&lt;electronic-resource-num&gt;10.1038/s41577-019-0223-7&lt;/electronic-resource-num&gt;&lt;/record&gt;&lt;/Cite&gt;&lt;/EndNote&gt;</w:instrText>
      </w:r>
      <w:r>
        <w:rPr>
          <w:szCs w:val="24"/>
          <w:rFonts w:cs="Calibri" w:ascii="Calibri" w:hAnsi="Calibri"/>
        </w:rPr>
        <w:fldChar w:fldCharType="separate"/>
      </w:r>
      <w:bookmarkStart w:id="75" w:name="Bookmark75"/>
      <w:r>
        <w:rPr>
          <w:rFonts w:cs="Calibri" w:ascii="Calibri" w:hAnsi="Calibri"/>
          <w:szCs w:val="24"/>
          <w:lang w:val="en-AU"/>
        </w:rPr>
        <w:t>(46)</w:t>
      </w:r>
      <w:r>
        <w:rPr>
          <w:rFonts w:cs="Calibri" w:ascii="Calibri" w:hAnsi="Calibri"/>
          <w:szCs w:val="24"/>
          <w:lang w:val="en-AU"/>
        </w:rPr>
      </w:r>
      <w:r>
        <w:rPr>
          <w:szCs w:val="24"/>
          <w:rFonts w:cs="Calibri" w:ascii="Calibri" w:hAnsi="Calibri"/>
        </w:rPr>
        <w:fldChar w:fldCharType="end"/>
      </w:r>
      <w:bookmarkEnd w:id="75"/>
      <w:r>
        <w:rPr>
          <w:rFonts w:cs="Calibri" w:ascii="Calibri" w:hAnsi="Calibri"/>
          <w:szCs w:val="24"/>
          <w:lang w:val="en-AU"/>
        </w:rPr>
        <w:t>. This is supported by mouse models, where the absence of T</w:t>
      </w:r>
      <w:r>
        <w:rPr>
          <w:rFonts w:cs="Calibri" w:ascii="Calibri" w:hAnsi="Calibri"/>
          <w:szCs w:val="24"/>
          <w:vertAlign w:val="subscript"/>
          <w:lang w:val="en-AU"/>
        </w:rPr>
        <w:t>PEX</w:t>
      </w:r>
      <w:r>
        <w:rPr>
          <w:rFonts w:cs="Calibri" w:ascii="Calibri" w:hAnsi="Calibri"/>
          <w:szCs w:val="24"/>
          <w:lang w:val="en-AU"/>
        </w:rPr>
        <w:t xml:space="preserve"> cells significantly attenuates the anti-tumour effect of PD-1 blockade in melanoma mouse models </w:t>
      </w:r>
      <w:r>
        <w:fldChar w:fldCharType="begin"/>
      </w:r>
      <w:r>
        <w:rPr>
          <w:szCs w:val="24"/>
          <w:rFonts w:cs="Calibri" w:ascii="Calibri" w:hAnsi="Calibri"/>
        </w:rPr>
        <w:instrText>ADDIN EN.CITE</w:instrText>
      </w:r>
      <w:r>
        <w:rPr>
          <w:szCs w:val="24"/>
          <w:rFonts w:cs="Calibri" w:ascii="Calibri" w:hAnsi="Calibri"/>
        </w:rPr>
        <w:fldChar w:fldCharType="separate"/>
      </w:r>
      <w:bookmarkStart w:id="76" w:name="Bookmark77"/>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77" w:name="Bookmark76"/>
      <w:bookmarkEnd w:id="76"/>
      <w:r>
        <w:rPr>
          <w:rFonts w:cs="Calibri" w:ascii="Calibri" w:hAnsi="Calibri"/>
          <w:szCs w:val="24"/>
          <w:lang w:val="en-AU"/>
        </w:rPr>
        <w:t>(49, 50)</w:t>
      </w:r>
      <w:r>
        <w:rPr>
          <w:rFonts w:cs="Calibri" w:ascii="Calibri" w:hAnsi="Calibri"/>
          <w:szCs w:val="24"/>
          <w:lang w:val="en-AU"/>
        </w:rPr>
      </w:r>
      <w:r>
        <w:rPr>
          <w:szCs w:val="24"/>
          <w:rFonts w:cs="Calibri" w:ascii="Calibri" w:hAnsi="Calibri"/>
        </w:rPr>
        <w:fldChar w:fldCharType="end"/>
      </w:r>
      <w:bookmarkEnd w:id="77"/>
      <w:r>
        <w:rPr>
          <w:rFonts w:cs="Calibri" w:ascii="Calibri" w:hAnsi="Calibri"/>
          <w:szCs w:val="24"/>
          <w:lang w:val="en-AU"/>
        </w:rPr>
        <w:t>. Similar correlates extend to melanoma patients, where the presence of tumour infiltrating T</w:t>
      </w:r>
      <w:r>
        <w:rPr>
          <w:rFonts w:cs="Calibri" w:ascii="Calibri" w:hAnsi="Calibri"/>
          <w:szCs w:val="24"/>
          <w:vertAlign w:val="subscript"/>
          <w:lang w:val="en-AU"/>
        </w:rPr>
        <w:t>PEX</w:t>
      </w:r>
      <w:r>
        <w:rPr>
          <w:rFonts w:cs="Calibri" w:ascii="Calibri" w:hAnsi="Calibri"/>
          <w:szCs w:val="24"/>
          <w:lang w:val="en-AU"/>
        </w:rPr>
        <w:t xml:space="preserve"> cells correlate with the efficacy and duration of immune checkpoint blockade </w:t>
      </w:r>
      <w:r>
        <w:fldChar w:fldCharType="begin"/>
      </w:r>
      <w:r>
        <w:rPr>
          <w:szCs w:val="24"/>
          <w:rFonts w:cs="Calibri" w:ascii="Calibri" w:hAnsi="Calibri"/>
        </w:rPr>
        <w:instrText>ADDIN EN.CITE</w:instrText>
      </w:r>
      <w:r>
        <w:rPr>
          <w:szCs w:val="24"/>
          <w:rFonts w:cs="Calibri" w:ascii="Calibri" w:hAnsi="Calibri"/>
        </w:rPr>
        <w:fldChar w:fldCharType="separate"/>
      </w:r>
      <w:bookmarkStart w:id="78" w:name="Bookmark79"/>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79" w:name="Bookmark78"/>
      <w:bookmarkEnd w:id="78"/>
      <w:r>
        <w:rPr>
          <w:rFonts w:cs="Calibri" w:ascii="Calibri" w:hAnsi="Calibri"/>
          <w:szCs w:val="24"/>
          <w:lang w:val="en-AU"/>
        </w:rPr>
        <w:t>(49, 51)</w:t>
      </w:r>
      <w:r>
        <w:rPr>
          <w:rFonts w:cs="Calibri" w:ascii="Calibri" w:hAnsi="Calibri"/>
          <w:szCs w:val="24"/>
          <w:lang w:val="en-AU"/>
        </w:rPr>
      </w:r>
      <w:r>
        <w:rPr>
          <w:szCs w:val="24"/>
          <w:rFonts w:cs="Calibri" w:ascii="Calibri" w:hAnsi="Calibri"/>
        </w:rPr>
        <w:fldChar w:fldCharType="end"/>
      </w:r>
      <w:bookmarkEnd w:id="79"/>
      <w:r>
        <w:rPr>
          <w:rFonts w:cs="Calibri" w:ascii="Calibri" w:hAnsi="Calibri"/>
          <w:szCs w:val="24"/>
          <w:lang w:val="en-AU"/>
        </w:rPr>
        <w:t>. Notably, pathways and phenotypes that participate in these relationships have not been extensively explored in an adoptive cellular therapy setting and therefore warrant further study in this setting.</w:t>
      </w:r>
    </w:p>
    <w:p>
      <w:pPr>
        <w:pStyle w:val="Normal"/>
        <w:rPr>
          <w:rFonts w:ascii="Calibri" w:hAnsi="Calibri" w:cs="Calibri"/>
          <w:szCs w:val="24"/>
          <w:lang w:val="en-AU"/>
        </w:rPr>
      </w:pPr>
      <w:r>
        <w:rPr>
          <w:rFonts w:cs="Calibri" w:ascii="Calibri" w:hAnsi="Calibri"/>
          <w:szCs w:val="24"/>
          <w:lang w:val="en-AU"/>
        </w:rPr>
      </w:r>
    </w:p>
    <w:p>
      <w:pPr>
        <w:pStyle w:val="Normal"/>
        <w:rPr>
          <w:rFonts w:ascii="Calibri" w:hAnsi="Calibri" w:cs="Calibri"/>
          <w:b/>
          <w:b/>
          <w:bCs/>
          <w:szCs w:val="24"/>
          <w:lang w:val="en-AU"/>
        </w:rPr>
      </w:pPr>
      <w:r>
        <w:rPr>
          <w:rFonts w:cs="Calibri" w:ascii="Calibri" w:hAnsi="Calibri"/>
          <w:b/>
          <w:bCs/>
          <w:szCs w:val="24"/>
          <w:lang w:val="en-AU"/>
        </w:rPr>
        <w:t>4. Adoptive cellular therapy (ACT)</w:t>
      </w:r>
    </w:p>
    <w:p>
      <w:pPr>
        <w:pStyle w:val="Normal"/>
        <w:rPr/>
      </w:pPr>
      <w:r>
        <w:rPr>
          <w:rFonts w:cs="Calibri" w:ascii="Calibri" w:hAnsi="Calibri"/>
          <w:szCs w:val="24"/>
          <w:lang w:val="en-AU"/>
        </w:rPr>
        <w:t xml:space="preserve">Adoptive cellular therapy (ACT) is a modality of immunotherapy that involves the infusion of tumour specific immune cells, typically T cells, into patients. The use of ACT was first explored using tumour infiltrating lymphocytes (TILs) derived from patient metastatic melanoma lesions. Whilst successful in a number of metastatic melanoma cases, TIL based ACT has shown to be less effective in other malignancies </w:t>
      </w:r>
      <w:r>
        <w:fldChar w:fldCharType="begin"/>
      </w:r>
      <w:r>
        <w:rPr>
          <w:szCs w:val="24"/>
          <w:rFonts w:cs="Calibri" w:ascii="Calibri" w:hAnsi="Calibri"/>
        </w:rPr>
        <w:instrText>ADDIN EN.CITE</w:instrText>
      </w:r>
      <w:r>
        <w:rPr>
          <w:szCs w:val="24"/>
          <w:rFonts w:cs="Calibri" w:ascii="Calibri" w:hAnsi="Calibri"/>
        </w:rPr>
        <w:fldChar w:fldCharType="separate"/>
      </w:r>
      <w:bookmarkStart w:id="80" w:name="Bookmark81"/>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81" w:name="Bookmark80"/>
      <w:bookmarkEnd w:id="80"/>
      <w:r>
        <w:rPr>
          <w:rFonts w:cs="Calibri" w:ascii="Calibri" w:hAnsi="Calibri"/>
          <w:szCs w:val="24"/>
          <w:lang w:val="en-AU"/>
        </w:rPr>
        <w:t>(52-56)</w:t>
      </w:r>
      <w:r>
        <w:rPr>
          <w:rFonts w:cs="Calibri" w:ascii="Calibri" w:hAnsi="Calibri"/>
          <w:szCs w:val="24"/>
          <w:lang w:val="en-AU"/>
        </w:rPr>
      </w:r>
      <w:r>
        <w:rPr>
          <w:szCs w:val="24"/>
          <w:rFonts w:cs="Calibri" w:ascii="Calibri" w:hAnsi="Calibri"/>
        </w:rPr>
        <w:fldChar w:fldCharType="end"/>
      </w:r>
      <w:bookmarkEnd w:id="81"/>
      <w:r>
        <w:rPr>
          <w:rFonts w:cs="Calibri" w:ascii="Calibri" w:hAnsi="Calibri"/>
          <w:szCs w:val="24"/>
          <w:lang w:val="en-AU"/>
        </w:rPr>
        <w:t xml:space="preserve">. This is attributed to difficulty in isolating and expanding TILs from lymphocyte poor patient samples and the insufficient reactivation of TILs following adoptive transfer </w:t>
      </w:r>
      <w:r>
        <w:fldChar w:fldCharType="begin"/>
      </w:r>
      <w:r>
        <w:rPr>
          <w:szCs w:val="24"/>
          <w:rFonts w:cs="Calibri" w:ascii="Calibri" w:hAnsi="Calibri"/>
        </w:rPr>
        <w:instrText>ADDIN EN.CITE &lt;EndNote&gt;&lt;Cite&gt;&lt;Author&gt;Kershaw&lt;/Author&gt;&lt;Year&gt;2013&lt;/Year&gt;&lt;RecNum&gt;106&lt;/RecNum&gt;&lt;DisplayText&gt;(57)&lt;/DisplayText&gt;&lt;record&gt;&lt;rec-number&gt;106&lt;/rec-number&gt;&lt;foreign-keys&gt;&lt;key app="EN" db-id="a92x0raf7dz52reve0m5f29speefwrp0d22r" timestamp="1585020448"&gt;106&lt;/key&gt;&lt;/foreign-keys&gt;&lt;ref-type name="Journal Article"&gt;17&lt;/ref-type&gt;&lt;contributors&gt;&lt;authors&gt;&lt;author&gt;Kershaw, Michael H.&lt;/author&gt;&lt;author&gt;Westwood, Jennifer A.&lt;/author&gt;&lt;author&gt;Darcy, Phillip K.&lt;/author&gt;&lt;/authors&gt;&lt;/contributors&gt;&lt;titles&gt;&lt;title&gt;Gene-engineered T cells for cancer therapy&lt;/title&gt;&lt;secondary-title&gt;Nature Reviews Cancer&lt;/secondary-title&gt;&lt;/titles&gt;&lt;periodical&gt;&lt;full-title&gt;Nature Reviews Cancer&lt;/full-title&gt;&lt;/periodical&gt;&lt;pages&gt;525-541&lt;/pages&gt;&lt;volume&gt;13&lt;/volume&gt;&lt;number&gt;8&lt;/number&gt;&lt;dates&gt;&lt;year&gt;2013&lt;/year&gt;&lt;pub-dates&gt;&lt;date&gt;2013/08/01&lt;/date&gt;&lt;/pub-dates&gt;&lt;/dates&gt;&lt;isbn&gt;1474-1768&lt;/isbn&gt;&lt;urls&gt;&lt;related-urls&gt;&lt;url&gt;https://doi.org/10.1038/nrc3565&lt;/url&gt;&lt;/related-urls&gt;&lt;/urls&gt;&lt;electronic-resource-num&gt;10.1038/nrc3565&lt;/electronic-resource-num&gt;&lt;/record&gt;&lt;/Cite&gt;&lt;/EndNote&gt;</w:instrText>
      </w:r>
      <w:r>
        <w:rPr>
          <w:szCs w:val="24"/>
          <w:rFonts w:cs="Calibri" w:ascii="Calibri" w:hAnsi="Calibri"/>
        </w:rPr>
        <w:fldChar w:fldCharType="separate"/>
      </w:r>
      <w:bookmarkStart w:id="82" w:name="Bookmark82"/>
      <w:r>
        <w:rPr>
          <w:rFonts w:cs="Calibri" w:ascii="Calibri" w:hAnsi="Calibri"/>
          <w:szCs w:val="24"/>
          <w:lang w:val="en-AU"/>
        </w:rPr>
        <w:t>(57)</w:t>
      </w:r>
      <w:r>
        <w:rPr>
          <w:rFonts w:cs="Calibri" w:ascii="Calibri" w:hAnsi="Calibri"/>
          <w:szCs w:val="24"/>
          <w:lang w:val="en-AU"/>
        </w:rPr>
      </w:r>
      <w:r>
        <w:rPr>
          <w:szCs w:val="24"/>
          <w:rFonts w:cs="Calibri" w:ascii="Calibri" w:hAnsi="Calibri"/>
        </w:rPr>
        <w:fldChar w:fldCharType="end"/>
      </w:r>
      <w:bookmarkEnd w:id="82"/>
      <w:r>
        <w:rPr>
          <w:rFonts w:cs="Calibri" w:ascii="Calibri" w:hAnsi="Calibri"/>
          <w:szCs w:val="24"/>
          <w:lang w:val="en-AU"/>
        </w:rPr>
        <w:t>. To address these shortcomings, strategies have been employed to introduce transgenic antigen receptors into patient T cells as either TCRs or CARs that can be engineered to recognize tumour antigens.</w:t>
      </w:r>
    </w:p>
    <w:p>
      <w:pPr>
        <w:pStyle w:val="Normal"/>
        <w:rPr>
          <w:rFonts w:ascii="Calibri" w:hAnsi="Calibri" w:cs="Calibri"/>
          <w:szCs w:val="24"/>
          <w:lang w:val="en-AU"/>
        </w:rPr>
      </w:pPr>
      <w:r>
        <w:rPr>
          <w:rFonts w:cs="Calibri" w:ascii="Calibri" w:hAnsi="Calibri"/>
          <w:szCs w:val="24"/>
          <w:lang w:val="en-AU"/>
        </w:rPr>
      </w:r>
    </w:p>
    <w:p>
      <w:pPr>
        <w:pStyle w:val="Normal"/>
        <w:rPr>
          <w:rFonts w:ascii="Calibri" w:hAnsi="Calibri" w:cs="Calibri"/>
          <w:b/>
          <w:b/>
          <w:bCs/>
          <w:i/>
          <w:i/>
          <w:iCs/>
          <w:szCs w:val="24"/>
          <w:lang w:val="en-AU"/>
        </w:rPr>
      </w:pPr>
      <w:r>
        <w:rPr>
          <w:rFonts w:cs="Calibri" w:ascii="Calibri" w:hAnsi="Calibri"/>
          <w:b/>
          <w:bCs/>
          <w:i/>
          <w:iCs/>
          <w:szCs w:val="24"/>
          <w:lang w:val="en-AU"/>
        </w:rPr>
        <w:t>4.1 Chimeric antigen receptor (CAR) T cell therapy</w:t>
      </w:r>
    </w:p>
    <w:p>
      <w:pPr>
        <w:pStyle w:val="Normal"/>
        <w:rPr/>
      </w:pPr>
      <w:r>
        <w:rPr>
          <w:rFonts w:cs="Calibri" w:ascii="Calibri" w:hAnsi="Calibri"/>
          <w:szCs w:val="24"/>
          <w:lang w:val="en-AU"/>
        </w:rPr>
        <w:t xml:space="preserve">CAR T cells express a chimeric receptor that are composed of a single-chain antibody variable fragment (scFv) extracellular domain conjugated to intracellular signalling domains </w:t>
      </w:r>
      <w:r>
        <w:fldChar w:fldCharType="begin"/>
      </w:r>
      <w:r>
        <w:rPr>
          <w:szCs w:val="24"/>
          <w:rFonts w:cs="Calibri" w:ascii="Calibri" w:hAnsi="Calibri"/>
        </w:rPr>
        <w:instrText>ADDIN EN.CITE &lt;EndNote&gt;&lt;Cite&gt;&lt;Author&gt;Kershaw&lt;/Author&gt;&lt;Year&gt;2013&lt;/Year&gt;&lt;RecNum&gt;106&lt;/RecNum&gt;&lt;DisplayText&gt;(57)&lt;/DisplayText&gt;&lt;record&gt;&lt;rec-number&gt;106&lt;/rec-number&gt;&lt;foreign-keys&gt;&lt;key app="EN" db-id="a92x0raf7dz52reve0m5f29speefwrp0d22r" timestamp="1585020448"&gt;106&lt;/key&gt;&lt;/foreign-keys&gt;&lt;ref-type name="Journal Article"&gt;17&lt;/ref-type&gt;&lt;contributors&gt;&lt;authors&gt;&lt;author&gt;Kershaw, Michael H.&lt;/author&gt;&lt;author&gt;Westwood, Jennifer A.&lt;/author&gt;&lt;author&gt;Darcy, Phillip K.&lt;/author&gt;&lt;/authors&gt;&lt;/contributors&gt;&lt;titles&gt;&lt;title&gt;Gene-engineered T cells for cancer therapy&lt;/title&gt;&lt;secondary-title&gt;Nature Reviews Cancer&lt;/secondary-title&gt;&lt;/titles&gt;&lt;periodical&gt;&lt;full-title&gt;Nature Reviews Cancer&lt;/full-title&gt;&lt;/periodical&gt;&lt;pages&gt;525-541&lt;/pages&gt;&lt;volume&gt;13&lt;/volume&gt;&lt;number&gt;8&lt;/number&gt;&lt;dates&gt;&lt;year&gt;2013&lt;/year&gt;&lt;pub-dates&gt;&lt;date&gt;2013/08/01&lt;/date&gt;&lt;/pub-dates&gt;&lt;/dates&gt;&lt;isbn&gt;1474-1768&lt;/isbn&gt;&lt;urls&gt;&lt;related-urls&gt;&lt;url&gt;https://doi.org/10.1038/nrc3565&lt;/url&gt;&lt;/related-urls&gt;&lt;/urls&gt;&lt;electronic-resource-num&gt;10.1038/nrc3565&lt;/electronic-resource-num&gt;&lt;/record&gt;&lt;/Cite&gt;&lt;/EndNote&gt;</w:instrText>
      </w:r>
      <w:r>
        <w:rPr>
          <w:szCs w:val="24"/>
          <w:rFonts w:cs="Calibri" w:ascii="Calibri" w:hAnsi="Calibri"/>
        </w:rPr>
        <w:fldChar w:fldCharType="separate"/>
      </w:r>
      <w:bookmarkStart w:id="83" w:name="Bookmark83"/>
      <w:r>
        <w:rPr>
          <w:rFonts w:cs="Calibri" w:ascii="Calibri" w:hAnsi="Calibri"/>
          <w:szCs w:val="24"/>
          <w:lang w:val="en-AU"/>
        </w:rPr>
        <w:t>(57)</w:t>
      </w:r>
      <w:r>
        <w:rPr>
          <w:rFonts w:cs="Calibri" w:ascii="Calibri" w:hAnsi="Calibri"/>
          <w:szCs w:val="24"/>
          <w:lang w:val="en-AU"/>
        </w:rPr>
      </w:r>
      <w:r>
        <w:rPr>
          <w:szCs w:val="24"/>
          <w:rFonts w:cs="Calibri" w:ascii="Calibri" w:hAnsi="Calibri"/>
        </w:rPr>
        <w:fldChar w:fldCharType="end"/>
      </w:r>
      <w:bookmarkEnd w:id="83"/>
      <w:r>
        <w:rPr>
          <w:rFonts w:cs="Calibri" w:ascii="Calibri" w:hAnsi="Calibri"/>
          <w:szCs w:val="24"/>
          <w:lang w:val="en-AU"/>
        </w:rPr>
        <w:t xml:space="preserve">. Tumour antigen recognition through the scFv of the CAR is direct and independent of MHC antigen presentation. CAR T cells have demonstrated remarkable clinical efficacy in the treatment of some haematological malignancies where CD19 directed CAR T cells have achieved complete remission in more than 90% of patients with B cell acute lymphoblastic leukemia (B-ALL) </w:t>
      </w:r>
      <w:r>
        <w:fldChar w:fldCharType="begin"/>
      </w:r>
      <w:r>
        <w:rPr>
          <w:szCs w:val="24"/>
          <w:rFonts w:cs="Calibri" w:ascii="Calibri" w:hAnsi="Calibri"/>
        </w:rPr>
        <w:instrText>ADDIN EN.CITE &lt;EndNote&gt;&lt;Cite&gt;&lt;Author&gt;Maude&lt;/Author&gt;&lt;Year&gt;2014&lt;/Year&gt;&lt;RecNum&gt;7&lt;/RecNum&gt;&lt;DisplayText&gt;(7)&lt;/DisplayText&gt;&lt;record&gt;&lt;rec-number&gt;7&lt;/rec-number&gt;&lt;foreign-keys&gt;&lt;key app="EN" db-id="0svr029aax0d22erzzkprfpvefwawtzaazpa" timestamp="1595979835"&gt;7&lt;/key&gt;&lt;/foreign-keys&gt;&lt;ref-type name="Journal Article"&gt;17&lt;/ref-type&gt;&lt;contributors&gt;&lt;authors&gt;&lt;author&gt;Maude, Shannon L.&lt;/author&gt;&lt;author&gt;Frey, Noelle&lt;/author&gt;&lt;author&gt;Shaw, Pamela A.&lt;/author&gt;&lt;author&gt;Aplenc, Richard&lt;/author&gt;&lt;author&gt;Barrett, David M.&lt;/author&gt;&lt;author&gt;Bunin, Nancy J.&lt;/author&gt;&lt;author&gt;Chew, Anne&lt;/author&gt;&lt;author&gt;Gonzalez, Vanessa E.&lt;/author&gt;&lt;author&gt;Zheng, Zhaohui&lt;/author&gt;&lt;author&gt;Lacey, Simon F.&lt;/author&gt;&lt;author&gt;Mahnke, Yolanda D.&lt;/author&gt;&lt;author&gt;Melenhorst, Jan J.&lt;/author&gt;&lt;author&gt;Rheingold, Susan R.&lt;/author&gt;&lt;author&gt;Shen, Angela&lt;/author&gt;&lt;author&gt;Teachey, David T.&lt;/author&gt;&lt;author&gt;Levine, Bruce L.&lt;/author&gt;&lt;author&gt;June, Carl H.&lt;/author&gt;&lt;author&gt;Porter, David L.&lt;/author&gt;&lt;author&gt;Grupp, Stephan A.&lt;/author&gt;&lt;/authors&gt;&lt;/contributors&gt;&lt;titles&gt;&lt;title&gt;Chimeric Antigen Receptor T Cells for Sustained Remissions in Leukemia&lt;/title&gt;&lt;secondary-title&gt;New England Journal of Medicine&lt;/secondary-title&gt;&lt;/titles&gt;&lt;periodical&gt;&lt;full-title&gt;New England Journal of Medicine&lt;/full-title&gt;&lt;/periodical&gt;&lt;pages&gt;1507-1517&lt;/pages&gt;&lt;volume&gt;371&lt;/volume&gt;&lt;number&gt;16&lt;/number&gt;&lt;dates&gt;&lt;year&gt;2014&lt;/year&gt;&lt;pub-dates&gt;&lt;date&gt;2014/10/16&lt;/date&gt;&lt;/pub-dates&gt;&lt;/dates&gt;&lt;publisher&gt;Massachusetts Medical Society&lt;/publisher&gt;&lt;isbn&gt;0028-4793&lt;/isbn&gt;&lt;urls&gt;&lt;related-urls&gt;&lt;url&gt;https://doi.org/10.1056/NEJMoa1407222&lt;/url&gt;&lt;/related-urls&gt;&lt;/urls&gt;&lt;electronic-resource-num&gt;10.1056/NEJMoa1407222&lt;/electronic-resource-num&gt;&lt;access-date&gt;2020/03/23&lt;/access-date&gt;&lt;/record&gt;&lt;/Cite&gt;&lt;/EndNote&gt;</w:instrText>
      </w:r>
      <w:r>
        <w:rPr>
          <w:szCs w:val="24"/>
          <w:rFonts w:cs="Calibri" w:ascii="Calibri" w:hAnsi="Calibri"/>
        </w:rPr>
        <w:fldChar w:fldCharType="separate"/>
      </w:r>
      <w:bookmarkStart w:id="84" w:name="Bookmark84"/>
      <w:r>
        <w:rPr>
          <w:rFonts w:cs="Calibri" w:ascii="Calibri" w:hAnsi="Calibri"/>
          <w:szCs w:val="24"/>
          <w:lang w:val="en-AU"/>
        </w:rPr>
        <w:t>(7)</w:t>
      </w:r>
      <w:r>
        <w:rPr>
          <w:rFonts w:cs="Calibri" w:ascii="Calibri" w:hAnsi="Calibri"/>
          <w:szCs w:val="24"/>
          <w:lang w:val="en-AU"/>
        </w:rPr>
      </w:r>
      <w:r>
        <w:rPr>
          <w:szCs w:val="24"/>
          <w:rFonts w:cs="Calibri" w:ascii="Calibri" w:hAnsi="Calibri"/>
        </w:rPr>
        <w:fldChar w:fldCharType="end"/>
      </w:r>
      <w:bookmarkEnd w:id="84"/>
      <w:r>
        <w:rPr>
          <w:rFonts w:cs="Calibri" w:ascii="Calibri" w:hAnsi="Calibri"/>
          <w:szCs w:val="24"/>
          <w:lang w:val="en-AU"/>
        </w:rPr>
        <w:t xml:space="preserve">. This has resulted in the FDA approval of CD19 targeting CAR T cells for the treatment of B-ALL (Kymriah) and non-Hodgkin’s lymphoma (Yescarta) </w:t>
      </w:r>
      <w:r>
        <w:fldChar w:fldCharType="begin"/>
      </w:r>
      <w:r>
        <w:rPr>
          <w:szCs w:val="24"/>
          <w:rFonts w:cs="Calibri" w:ascii="Calibri" w:hAnsi="Calibri"/>
        </w:rPr>
        <w:instrText>ADDIN EN.CITE</w:instrText>
      </w:r>
      <w:r>
        <w:rPr>
          <w:szCs w:val="24"/>
          <w:rFonts w:cs="Calibri" w:ascii="Calibri" w:hAnsi="Calibri"/>
        </w:rPr>
        <w:fldChar w:fldCharType="separate"/>
      </w:r>
      <w:bookmarkStart w:id="85" w:name="Bookmark86"/>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86" w:name="Bookmark85"/>
      <w:bookmarkEnd w:id="85"/>
      <w:r>
        <w:rPr>
          <w:rFonts w:cs="Calibri" w:ascii="Calibri" w:hAnsi="Calibri"/>
          <w:szCs w:val="24"/>
          <w:lang w:val="en-AU"/>
        </w:rPr>
        <w:t>(6)</w:t>
      </w:r>
      <w:r>
        <w:rPr>
          <w:rFonts w:cs="Calibri" w:ascii="Calibri" w:hAnsi="Calibri"/>
          <w:szCs w:val="24"/>
          <w:lang w:val="en-AU"/>
        </w:rPr>
      </w:r>
      <w:r>
        <w:rPr>
          <w:szCs w:val="24"/>
          <w:rFonts w:cs="Calibri" w:ascii="Calibri" w:hAnsi="Calibri"/>
        </w:rPr>
        <w:fldChar w:fldCharType="end"/>
      </w:r>
      <w:bookmarkEnd w:id="86"/>
      <w:r>
        <w:rPr>
          <w:rFonts w:cs="Calibri" w:ascii="Calibri" w:hAnsi="Calibri"/>
          <w:szCs w:val="24"/>
          <w:lang w:val="en-AU"/>
        </w:rPr>
        <w:t xml:space="preserve">. Despite these successes, CAR T cells have demonstrated poor clinical efficacy in the treatment of solid tumours. This is driven by a range of factors including the aforementioned mechanisms of immunosuppression by the TME and poor CAR T cell persistence </w:t>
      </w:r>
      <w:r>
        <w:fldChar w:fldCharType="begin"/>
      </w:r>
      <w:r>
        <w:rPr>
          <w:szCs w:val="24"/>
          <w:rFonts w:cs="Calibri" w:ascii="Calibri" w:hAnsi="Calibri"/>
        </w:rPr>
        <w:instrText>ADDIN EN.CITE &lt;EndNote&gt;&lt;Cite&gt;&lt;Author&gt;Yong&lt;/Author&gt;&lt;Year&gt;2017&lt;/Year&gt;&lt;RecNum&gt;8&lt;/RecNum&gt;&lt;DisplayText&gt;(8)&lt;/DisplayText&gt;&lt;record&gt;&lt;rec-number&gt;8&lt;/rec-number&gt;&lt;foreign-keys&gt;&lt;key app="EN" db-id="0svr029aax0d22erzzkprfpvefwawtzaazpa" timestamp="1595979835"&gt;8&lt;/key&gt;&lt;/foreign-keys&gt;&lt;ref-type name="Journal Article"&gt;17&lt;/ref-type&gt;&lt;contributors&gt;&lt;authors&gt;&lt;author&gt;Yong, Carmen S M&lt;/author&gt;&lt;author&gt;Dardalhon, Valerie&lt;/author&gt;&lt;author&gt;Devaud, Christel&lt;/author&gt;&lt;author&gt;Taylor, Naomi&lt;/author&gt;&lt;author&gt;Darcy, Phillip K&lt;/author&gt;&lt;author&gt;Kershaw, Michael H&lt;/author&gt;&lt;/authors&gt;&lt;/contributors&gt;&lt;titles&gt;&lt;title&gt;CAR T-cell therapy of solid tumors&lt;/title&gt;&lt;secondary-title&gt;Immunology &amp;amp; Cell Biology&lt;/secondary-title&gt;&lt;/titles&gt;&lt;periodical&gt;&lt;full-title&gt;Immunology &amp;amp; Cell Biology&lt;/full-title&gt;&lt;/periodical&gt;&lt;pages&gt;356-363&lt;/pages&gt;&lt;volume&gt;95&lt;/volume&gt;&lt;number&gt;4&lt;/number&gt;&lt;dates&gt;&lt;year&gt;2017&lt;/year&gt;&lt;/dates&gt;&lt;isbn&gt;0818-9641&lt;/isbn&gt;&lt;urls&gt;&lt;related-urls&gt;&lt;url&gt;https://onlinelibrary.wiley.com/doi/abs/10.1038/icb.2016.128&lt;/url&gt;&lt;/related-urls&gt;&lt;/urls&gt;&lt;electronic-resource-num&gt;10.1038/icb.2016.128&lt;/electronic-resource-num&gt;&lt;/record&gt;&lt;/Cite&gt;&lt;/EndNote&gt;</w:instrText>
      </w:r>
      <w:r>
        <w:rPr>
          <w:szCs w:val="24"/>
          <w:rFonts w:cs="Calibri" w:ascii="Calibri" w:hAnsi="Calibri"/>
        </w:rPr>
        <w:fldChar w:fldCharType="separate"/>
      </w:r>
      <w:bookmarkStart w:id="87" w:name="Bookmark87"/>
      <w:r>
        <w:rPr>
          <w:rFonts w:cs="Calibri" w:ascii="Calibri" w:hAnsi="Calibri"/>
          <w:szCs w:val="24"/>
          <w:lang w:val="en-AU"/>
        </w:rPr>
        <w:t>(8)</w:t>
      </w:r>
      <w:r>
        <w:rPr>
          <w:rFonts w:cs="Calibri" w:ascii="Calibri" w:hAnsi="Calibri"/>
          <w:szCs w:val="24"/>
          <w:lang w:val="en-AU"/>
        </w:rPr>
      </w:r>
      <w:r>
        <w:rPr>
          <w:szCs w:val="24"/>
          <w:rFonts w:cs="Calibri" w:ascii="Calibri" w:hAnsi="Calibri"/>
        </w:rPr>
        <w:fldChar w:fldCharType="end"/>
      </w:r>
      <w:bookmarkEnd w:id="87"/>
      <w:r>
        <w:rPr>
          <w:rFonts w:cs="Calibri" w:ascii="Calibri" w:hAnsi="Calibri"/>
          <w:szCs w:val="24"/>
          <w:lang w:val="en-AU"/>
        </w:rPr>
        <w:t>. Therefore, there is a need to optimise CAR T cell efficacy by improving CAR T cell survival and increasing resistance to dysfunction.</w:t>
      </w:r>
    </w:p>
    <w:p>
      <w:pPr>
        <w:pStyle w:val="Normal"/>
        <w:rPr>
          <w:rFonts w:ascii="Calibri" w:hAnsi="Calibri" w:cs="Calibri"/>
          <w:szCs w:val="24"/>
          <w:lang w:val="en-AU"/>
        </w:rPr>
      </w:pPr>
      <w:r>
        <w:rPr>
          <w:rFonts w:cs="Calibri" w:ascii="Calibri" w:hAnsi="Calibri"/>
          <w:szCs w:val="24"/>
          <w:lang w:val="en-AU"/>
        </w:rPr>
      </w:r>
    </w:p>
    <w:p>
      <w:pPr>
        <w:pStyle w:val="Normal"/>
        <w:rPr>
          <w:rFonts w:ascii="Calibri" w:hAnsi="Calibri" w:cs="Calibri"/>
          <w:szCs w:val="24"/>
          <w:lang w:val="en-AU"/>
        </w:rPr>
      </w:pPr>
      <w:r>
        <w:rPr>
          <w:rFonts w:cs="Calibri" w:ascii="Calibri" w:hAnsi="Calibri"/>
          <w:szCs w:val="24"/>
          <w:lang w:val="en-AU"/>
        </w:rPr>
        <w:t xml:space="preserve"> </w:t>
      </w:r>
      <w:r>
        <w:rPr>
          <w:rFonts w:cs="Calibri" w:ascii="Calibri" w:hAnsi="Calibri"/>
          <w:b/>
          <w:bCs/>
          <w:i/>
          <w:iCs/>
          <w:szCs w:val="24"/>
          <w:lang w:val="en-AU"/>
        </w:rPr>
        <w:t>4.1.1 Correlates between memory CD8</w:t>
      </w:r>
      <w:r>
        <w:rPr>
          <w:rFonts w:cs="Calibri" w:ascii="Calibri" w:hAnsi="Calibri"/>
          <w:b/>
          <w:bCs/>
          <w:i/>
          <w:iCs/>
          <w:szCs w:val="24"/>
          <w:vertAlign w:val="superscript"/>
          <w:lang w:val="en-AU"/>
        </w:rPr>
        <w:t>+</w:t>
      </w:r>
      <w:r>
        <w:rPr>
          <w:rFonts w:cs="Calibri" w:ascii="Calibri" w:hAnsi="Calibri"/>
          <w:b/>
          <w:bCs/>
          <w:i/>
          <w:iCs/>
          <w:szCs w:val="24"/>
          <w:lang w:val="en-AU"/>
        </w:rPr>
        <w:t xml:space="preserve"> T cell subsets and CAR T cell persistence</w:t>
      </w:r>
    </w:p>
    <w:p>
      <w:pPr>
        <w:pStyle w:val="Normal"/>
        <w:jc w:val="both"/>
        <w:rPr/>
      </w:pPr>
      <w:r>
        <w:rPr>
          <w:rFonts w:cs="Calibri" w:ascii="Calibri" w:hAnsi="Calibri"/>
          <w:szCs w:val="24"/>
          <w:lang w:val="en-AU"/>
        </w:rPr>
        <w:t>Despite harbouring a greater cytotoxicity compared to other CD8</w:t>
      </w:r>
      <w:r>
        <w:rPr>
          <w:rFonts w:cs="Calibri" w:ascii="Calibri" w:hAnsi="Calibri"/>
          <w:szCs w:val="24"/>
          <w:vertAlign w:val="superscript"/>
          <w:lang w:val="en-AU"/>
        </w:rPr>
        <w:t>+</w:t>
      </w:r>
      <w:r>
        <w:rPr>
          <w:rFonts w:cs="Calibri" w:ascii="Calibri" w:hAnsi="Calibri"/>
          <w:szCs w:val="24"/>
          <w:lang w:val="en-AU"/>
        </w:rPr>
        <w:t xml:space="preserve"> memory T cell subsets, CAR T cells of a T</w:t>
      </w:r>
      <w:r>
        <w:rPr>
          <w:rFonts w:cs="Calibri" w:ascii="Calibri" w:hAnsi="Calibri"/>
          <w:szCs w:val="24"/>
          <w:vertAlign w:val="subscript"/>
          <w:lang w:val="en-AU"/>
        </w:rPr>
        <w:t>EM</w:t>
      </w:r>
      <w:r>
        <w:rPr>
          <w:rFonts w:cs="Calibri" w:ascii="Calibri" w:hAnsi="Calibri"/>
          <w:szCs w:val="24"/>
          <w:lang w:val="en-AU"/>
        </w:rPr>
        <w:t xml:space="preserve"> cell phenotype have reduced </w:t>
      </w:r>
      <w:r>
        <w:rPr>
          <w:rFonts w:cs="Calibri" w:ascii="Calibri" w:hAnsi="Calibri"/>
          <w:i/>
          <w:iCs/>
          <w:szCs w:val="24"/>
          <w:lang w:val="en-AU"/>
        </w:rPr>
        <w:t>in vivo</w:t>
      </w:r>
      <w:r>
        <w:rPr>
          <w:rFonts w:cs="Calibri" w:ascii="Calibri" w:hAnsi="Calibri"/>
          <w:szCs w:val="24"/>
          <w:lang w:val="en-AU"/>
        </w:rPr>
        <w:t xml:space="preserve"> persistence and are predisposed to terminally differentiate, die, or become dysfunctional </w:t>
      </w:r>
      <w:r>
        <w:fldChar w:fldCharType="begin"/>
      </w:r>
      <w:r>
        <w:rPr>
          <w:szCs w:val="24"/>
          <w:rFonts w:cs="Calibri" w:ascii="Calibri" w:hAnsi="Calibri"/>
        </w:rPr>
        <w:instrText>ADDIN EN.CITE</w:instrText>
      </w:r>
      <w:r>
        <w:rPr>
          <w:szCs w:val="24"/>
          <w:rFonts w:cs="Calibri" w:ascii="Calibri" w:hAnsi="Calibri"/>
        </w:rPr>
        <w:fldChar w:fldCharType="separate"/>
      </w:r>
      <w:bookmarkStart w:id="88" w:name="Bookmark89"/>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89" w:name="Bookmark88"/>
      <w:bookmarkEnd w:id="88"/>
      <w:r>
        <w:rPr>
          <w:rFonts w:cs="Calibri" w:ascii="Calibri" w:hAnsi="Calibri"/>
          <w:szCs w:val="24"/>
          <w:lang w:val="en-AU"/>
        </w:rPr>
        <w:t>(58-60)</w:t>
      </w:r>
      <w:r>
        <w:rPr>
          <w:rFonts w:cs="Calibri" w:ascii="Calibri" w:hAnsi="Calibri"/>
          <w:szCs w:val="24"/>
          <w:lang w:val="en-AU"/>
        </w:rPr>
      </w:r>
      <w:r>
        <w:rPr>
          <w:szCs w:val="24"/>
          <w:rFonts w:cs="Calibri" w:ascii="Calibri" w:hAnsi="Calibri"/>
        </w:rPr>
        <w:fldChar w:fldCharType="end"/>
      </w:r>
      <w:bookmarkEnd w:id="89"/>
      <w:r>
        <w:rPr>
          <w:rFonts w:cs="Calibri" w:ascii="Calibri" w:hAnsi="Calibri"/>
          <w:szCs w:val="24"/>
          <w:lang w:val="en-AU"/>
        </w:rPr>
        <w:t>. In contrast, studies have shown that adoptive transfer of T cells of a less differentiated phenotype correlate with improved T cell persistence and clinical outcomes.</w:t>
      </w:r>
    </w:p>
    <w:p>
      <w:pPr>
        <w:pStyle w:val="Normal"/>
        <w:jc w:val="both"/>
        <w:rPr>
          <w:rFonts w:ascii="Calibri" w:hAnsi="Calibri" w:cs="Calibri"/>
          <w:szCs w:val="24"/>
          <w:lang w:val="en-AU"/>
        </w:rPr>
      </w:pPr>
      <w:r>
        <w:rPr>
          <w:rFonts w:cs="Calibri" w:ascii="Calibri" w:hAnsi="Calibri"/>
          <w:szCs w:val="24"/>
          <w:lang w:val="en-AU"/>
        </w:rPr>
      </w:r>
    </w:p>
    <w:p>
      <w:pPr>
        <w:pStyle w:val="Normal"/>
        <w:jc w:val="both"/>
        <w:rPr/>
      </w:pPr>
      <w:r>
        <w:rPr>
          <w:rFonts w:cs="Calibri" w:ascii="Calibri" w:hAnsi="Calibri"/>
          <w:szCs w:val="24"/>
          <w:lang w:val="en-AU"/>
        </w:rPr>
        <w:t>In humanized mouse models the adoptive transfer of sorted populations of T</w:t>
      </w:r>
      <w:r>
        <w:rPr>
          <w:rFonts w:cs="Calibri" w:ascii="Calibri" w:hAnsi="Calibri"/>
          <w:szCs w:val="24"/>
          <w:vertAlign w:val="subscript"/>
          <w:lang w:val="en-AU"/>
        </w:rPr>
        <w:t>SCM</w:t>
      </w:r>
      <w:r>
        <w:rPr>
          <w:rFonts w:cs="Calibri" w:ascii="Calibri" w:hAnsi="Calibri"/>
          <w:szCs w:val="24"/>
          <w:lang w:val="en-AU"/>
        </w:rPr>
        <w:t xml:space="preserve"> and T</w:t>
      </w:r>
      <w:r>
        <w:rPr>
          <w:rFonts w:cs="Calibri" w:ascii="Calibri" w:hAnsi="Calibri"/>
          <w:szCs w:val="24"/>
          <w:vertAlign w:val="subscript"/>
          <w:lang w:val="en-AU"/>
        </w:rPr>
        <w:t>CM</w:t>
      </w:r>
      <w:r>
        <w:rPr>
          <w:rFonts w:cs="Calibri" w:ascii="Calibri" w:hAnsi="Calibri"/>
          <w:szCs w:val="24"/>
          <w:lang w:val="en-AU"/>
        </w:rPr>
        <w:t xml:space="preserve"> cells is correlated with enhanced survival and tumour control compared to T</w:t>
      </w:r>
      <w:r>
        <w:rPr>
          <w:rFonts w:cs="Calibri" w:ascii="Calibri" w:hAnsi="Calibri"/>
          <w:szCs w:val="24"/>
          <w:vertAlign w:val="subscript"/>
          <w:lang w:val="en-AU"/>
        </w:rPr>
        <w:t>EM</w:t>
      </w:r>
      <w:r>
        <w:rPr>
          <w:rFonts w:cs="Calibri" w:ascii="Calibri" w:hAnsi="Calibri"/>
          <w:szCs w:val="24"/>
          <w:lang w:val="en-AU"/>
        </w:rPr>
        <w:t xml:space="preserve"> cells that have a reduced persistence capacity </w:t>
      </w:r>
      <w:r>
        <w:fldChar w:fldCharType="begin"/>
      </w:r>
      <w:r>
        <w:rPr>
          <w:szCs w:val="24"/>
          <w:rFonts w:cs="Calibri" w:ascii="Calibri" w:hAnsi="Calibri"/>
        </w:rPr>
        <w:instrText>ADDIN EN.CITE</w:instrText>
      </w:r>
      <w:r>
        <w:rPr>
          <w:szCs w:val="24"/>
          <w:rFonts w:cs="Calibri" w:ascii="Calibri" w:hAnsi="Calibri"/>
        </w:rPr>
        <w:fldChar w:fldCharType="separate"/>
      </w:r>
      <w:bookmarkStart w:id="90" w:name="Bookmark91"/>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91" w:name="Bookmark90"/>
      <w:bookmarkEnd w:id="90"/>
      <w:r>
        <w:rPr>
          <w:rFonts w:cs="Calibri" w:ascii="Calibri" w:hAnsi="Calibri"/>
          <w:szCs w:val="24"/>
          <w:lang w:val="en-AU"/>
        </w:rPr>
        <w:t>(60-62)</w:t>
      </w:r>
      <w:r>
        <w:rPr>
          <w:rFonts w:cs="Calibri" w:ascii="Calibri" w:hAnsi="Calibri"/>
          <w:szCs w:val="24"/>
          <w:lang w:val="en-AU"/>
        </w:rPr>
      </w:r>
      <w:r>
        <w:rPr>
          <w:szCs w:val="24"/>
          <w:rFonts w:cs="Calibri" w:ascii="Calibri" w:hAnsi="Calibri"/>
        </w:rPr>
        <w:fldChar w:fldCharType="end"/>
      </w:r>
      <w:bookmarkEnd w:id="91"/>
      <w:r>
        <w:rPr>
          <w:rFonts w:cs="Calibri" w:ascii="Calibri" w:hAnsi="Calibri"/>
          <w:szCs w:val="24"/>
          <w:lang w:val="en-AU"/>
        </w:rPr>
        <w:t>. Furthermore, the less differentiated T</w:t>
      </w:r>
      <w:r>
        <w:rPr>
          <w:rFonts w:cs="Calibri" w:ascii="Calibri" w:hAnsi="Calibri"/>
          <w:szCs w:val="24"/>
          <w:vertAlign w:val="subscript"/>
          <w:lang w:val="en-AU"/>
        </w:rPr>
        <w:t>SCM</w:t>
      </w:r>
      <w:r>
        <w:rPr>
          <w:rFonts w:cs="Calibri" w:ascii="Calibri" w:hAnsi="Calibri"/>
          <w:szCs w:val="24"/>
          <w:lang w:val="en-AU"/>
        </w:rPr>
        <w:t xml:space="preserve"> cells outperformed T</w:t>
      </w:r>
      <w:r>
        <w:rPr>
          <w:rFonts w:cs="Calibri" w:ascii="Calibri" w:hAnsi="Calibri"/>
          <w:szCs w:val="24"/>
          <w:vertAlign w:val="subscript"/>
          <w:lang w:val="en-AU"/>
        </w:rPr>
        <w:t>CM</w:t>
      </w:r>
      <w:r>
        <w:rPr>
          <w:rFonts w:cs="Calibri" w:ascii="Calibri" w:hAnsi="Calibri"/>
          <w:szCs w:val="24"/>
          <w:lang w:val="en-AU"/>
        </w:rPr>
        <w:t xml:space="preserve"> cells and were associated with increased </w:t>
      </w:r>
      <w:r>
        <w:rPr>
          <w:rFonts w:cs="Calibri" w:ascii="Calibri" w:hAnsi="Calibri"/>
          <w:i/>
          <w:iCs/>
          <w:szCs w:val="24"/>
          <w:lang w:val="en-AU"/>
        </w:rPr>
        <w:t>in vivo</w:t>
      </w:r>
      <w:r>
        <w:rPr>
          <w:rFonts w:cs="Calibri" w:ascii="Calibri" w:hAnsi="Calibri"/>
          <w:szCs w:val="24"/>
          <w:lang w:val="en-AU"/>
        </w:rPr>
        <w:t xml:space="preserve"> expansion and persistence and increased trafficking to secondary lymphoid tissues </w:t>
      </w:r>
      <w:r>
        <w:fldChar w:fldCharType="begin"/>
      </w:r>
      <w:r>
        <w:rPr>
          <w:szCs w:val="24"/>
          <w:rFonts w:cs="Calibri" w:ascii="Calibri" w:hAnsi="Calibri"/>
        </w:rPr>
        <w:instrText>ADDIN EN.CITE</w:instrText>
      </w:r>
      <w:r>
        <w:rPr>
          <w:szCs w:val="24"/>
          <w:rFonts w:cs="Calibri" w:ascii="Calibri" w:hAnsi="Calibri"/>
        </w:rPr>
        <w:fldChar w:fldCharType="separate"/>
      </w:r>
      <w:bookmarkStart w:id="92" w:name="Bookmark93"/>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93" w:name="Bookmark92"/>
      <w:bookmarkEnd w:id="92"/>
      <w:r>
        <w:rPr>
          <w:rFonts w:cs="Calibri" w:ascii="Calibri" w:hAnsi="Calibri"/>
          <w:szCs w:val="24"/>
          <w:lang w:val="en-AU"/>
        </w:rPr>
        <w:t>(60)</w:t>
      </w:r>
      <w:r>
        <w:rPr>
          <w:rFonts w:cs="Calibri" w:ascii="Calibri" w:hAnsi="Calibri"/>
          <w:szCs w:val="24"/>
          <w:lang w:val="en-AU"/>
        </w:rPr>
      </w:r>
      <w:r>
        <w:rPr>
          <w:szCs w:val="24"/>
          <w:rFonts w:cs="Calibri" w:ascii="Calibri" w:hAnsi="Calibri"/>
        </w:rPr>
        <w:fldChar w:fldCharType="end"/>
      </w:r>
      <w:bookmarkEnd w:id="93"/>
      <w:r>
        <w:rPr>
          <w:rFonts w:cs="Calibri" w:ascii="Calibri" w:hAnsi="Calibri"/>
          <w:szCs w:val="24"/>
          <w:lang w:val="en-AU"/>
        </w:rPr>
        <w:t xml:space="preserve">. </w:t>
      </w:r>
    </w:p>
    <w:p>
      <w:pPr>
        <w:pStyle w:val="Normal"/>
        <w:jc w:val="both"/>
        <w:rPr>
          <w:rFonts w:ascii="Calibri" w:hAnsi="Calibri" w:cs="Calibri"/>
          <w:szCs w:val="24"/>
          <w:lang w:val="en-AU"/>
        </w:rPr>
      </w:pPr>
      <w:r>
        <w:rPr>
          <w:rFonts w:cs="Calibri" w:ascii="Calibri" w:hAnsi="Calibri"/>
          <w:szCs w:val="24"/>
          <w:lang w:val="en-AU"/>
        </w:rPr>
      </w:r>
    </w:p>
    <w:p>
      <w:pPr>
        <w:pStyle w:val="Normal"/>
        <w:jc w:val="both"/>
        <w:rPr/>
      </w:pPr>
      <w:r>
        <w:rPr>
          <w:rFonts w:cs="Calibri" w:ascii="Calibri" w:hAnsi="Calibri"/>
          <w:szCs w:val="24"/>
          <w:lang w:val="en-AU"/>
        </w:rPr>
        <w:t>In conventional CD19-CAR T cell trials, it has been identified that CAR T cell persistence and expansion is correlated with T</w:t>
      </w:r>
      <w:r>
        <w:rPr>
          <w:rFonts w:cs="Calibri" w:ascii="Calibri" w:hAnsi="Calibri"/>
          <w:szCs w:val="24"/>
          <w:vertAlign w:val="subscript"/>
          <w:lang w:val="en-AU"/>
        </w:rPr>
        <w:t>SCM</w:t>
      </w:r>
      <w:r>
        <w:rPr>
          <w:rFonts w:cs="Calibri" w:ascii="Calibri" w:hAnsi="Calibri"/>
          <w:szCs w:val="24"/>
          <w:lang w:val="en-AU"/>
        </w:rPr>
        <w:t xml:space="preserve"> and T</w:t>
      </w:r>
      <w:r>
        <w:rPr>
          <w:rFonts w:cs="Calibri" w:ascii="Calibri" w:hAnsi="Calibri"/>
          <w:szCs w:val="24"/>
          <w:vertAlign w:val="subscript"/>
          <w:lang w:val="en-AU"/>
        </w:rPr>
        <w:t>CM</w:t>
      </w:r>
      <w:r>
        <w:rPr>
          <w:rFonts w:cs="Calibri" w:ascii="Calibri" w:hAnsi="Calibri"/>
          <w:szCs w:val="24"/>
          <w:lang w:val="en-AU"/>
        </w:rPr>
        <w:t xml:space="preserve"> cell populations </w:t>
      </w:r>
      <w:r>
        <w:fldChar w:fldCharType="begin"/>
      </w:r>
      <w:r>
        <w:rPr>
          <w:szCs w:val="24"/>
          <w:rFonts w:cs="Calibri" w:ascii="Calibri" w:hAnsi="Calibri"/>
        </w:rPr>
        <w:instrText>ADDIN EN.CITE</w:instrText>
      </w:r>
      <w:r>
        <w:rPr>
          <w:szCs w:val="24"/>
          <w:rFonts w:cs="Calibri" w:ascii="Calibri" w:hAnsi="Calibri"/>
        </w:rPr>
        <w:fldChar w:fldCharType="separate"/>
      </w:r>
      <w:bookmarkStart w:id="94" w:name="Bookmark95"/>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95" w:name="Bookmark94"/>
      <w:bookmarkEnd w:id="94"/>
      <w:r>
        <w:rPr>
          <w:rFonts w:cs="Calibri" w:ascii="Calibri" w:hAnsi="Calibri"/>
          <w:szCs w:val="24"/>
          <w:lang w:val="en-AU"/>
        </w:rPr>
        <w:t>(59, 63)</w:t>
      </w:r>
      <w:r>
        <w:rPr>
          <w:rFonts w:cs="Calibri" w:ascii="Calibri" w:hAnsi="Calibri"/>
          <w:szCs w:val="24"/>
          <w:lang w:val="en-AU"/>
        </w:rPr>
      </w:r>
      <w:r>
        <w:rPr>
          <w:szCs w:val="24"/>
          <w:rFonts w:cs="Calibri" w:ascii="Calibri" w:hAnsi="Calibri"/>
        </w:rPr>
        <w:fldChar w:fldCharType="end"/>
      </w:r>
      <w:bookmarkEnd w:id="95"/>
      <w:r>
        <w:rPr>
          <w:rFonts w:cs="Calibri" w:ascii="Calibri" w:hAnsi="Calibri"/>
          <w:szCs w:val="24"/>
          <w:lang w:val="en-AU"/>
        </w:rPr>
        <w:t xml:space="preserve">. This was recently highlighted in a CD19 CAR T cell treated chronic lymphocytic leukaemia (CLL) patient, whose complete response was dictated by a TET methylcytosine dioxygenase 2 (TET2) disrupted clone </w:t>
      </w:r>
      <w:r>
        <w:fldChar w:fldCharType="begin"/>
      </w:r>
      <w:r>
        <w:rPr>
          <w:szCs w:val="24"/>
          <w:rFonts w:cs="Calibri" w:ascii="Calibri" w:hAnsi="Calibri"/>
        </w:rPr>
        <w:instrText>ADDIN EN.CITE</w:instrText>
      </w:r>
      <w:r>
        <w:rPr>
          <w:szCs w:val="24"/>
          <w:rFonts w:cs="Calibri" w:ascii="Calibri" w:hAnsi="Calibri"/>
        </w:rPr>
        <w:fldChar w:fldCharType="separate"/>
      </w:r>
      <w:bookmarkStart w:id="96" w:name="Bookmark97"/>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97" w:name="Bookmark96"/>
      <w:bookmarkEnd w:id="96"/>
      <w:r>
        <w:rPr>
          <w:rFonts w:cs="Calibri" w:ascii="Calibri" w:hAnsi="Calibri"/>
          <w:szCs w:val="24"/>
          <w:lang w:val="en-AU"/>
        </w:rPr>
        <w:t>(64)</w:t>
      </w:r>
      <w:r>
        <w:rPr>
          <w:rFonts w:cs="Calibri" w:ascii="Calibri" w:hAnsi="Calibri"/>
          <w:szCs w:val="24"/>
          <w:lang w:val="en-AU"/>
        </w:rPr>
      </w:r>
      <w:r>
        <w:rPr>
          <w:szCs w:val="24"/>
          <w:rFonts w:cs="Calibri" w:ascii="Calibri" w:hAnsi="Calibri"/>
        </w:rPr>
        <w:fldChar w:fldCharType="end"/>
      </w:r>
      <w:bookmarkEnd w:id="97"/>
      <w:r>
        <w:rPr>
          <w:rFonts w:cs="Calibri" w:ascii="Calibri" w:hAnsi="Calibri"/>
          <w:szCs w:val="24"/>
          <w:lang w:val="en-AU"/>
        </w:rPr>
        <w:t>. Altered CAR T cell differentiation due to epigenetic changes borne from the loss of TET2 function, favoured the formation of T</w:t>
      </w:r>
      <w:r>
        <w:rPr>
          <w:rFonts w:cs="Calibri" w:ascii="Calibri" w:hAnsi="Calibri"/>
          <w:szCs w:val="24"/>
          <w:vertAlign w:val="subscript"/>
          <w:lang w:val="en-AU"/>
        </w:rPr>
        <w:t>CM</w:t>
      </w:r>
      <w:r>
        <w:rPr>
          <w:rFonts w:cs="Calibri" w:ascii="Calibri" w:hAnsi="Calibri"/>
          <w:szCs w:val="24"/>
          <w:lang w:val="en-AU"/>
        </w:rPr>
        <w:t xml:space="preserve"> cells that possessed long-term persistence and enabled effective control of disease </w:t>
      </w:r>
      <w:r>
        <w:fldChar w:fldCharType="begin"/>
      </w:r>
      <w:r>
        <w:rPr>
          <w:szCs w:val="24"/>
          <w:rFonts w:cs="Calibri" w:ascii="Calibri" w:hAnsi="Calibri"/>
        </w:rPr>
        <w:instrText>ADDIN EN.CITE</w:instrText>
      </w:r>
      <w:r>
        <w:rPr>
          <w:szCs w:val="24"/>
          <w:rFonts w:cs="Calibri" w:ascii="Calibri" w:hAnsi="Calibri"/>
        </w:rPr>
        <w:fldChar w:fldCharType="separate"/>
      </w:r>
      <w:bookmarkStart w:id="98" w:name="Bookmark99"/>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99" w:name="Bookmark98"/>
      <w:bookmarkEnd w:id="98"/>
      <w:r>
        <w:rPr>
          <w:rFonts w:cs="Calibri" w:ascii="Calibri" w:hAnsi="Calibri"/>
          <w:szCs w:val="24"/>
          <w:lang w:val="en-AU"/>
        </w:rPr>
        <w:t>(64)</w:t>
      </w:r>
      <w:r>
        <w:rPr>
          <w:rFonts w:cs="Calibri" w:ascii="Calibri" w:hAnsi="Calibri"/>
          <w:szCs w:val="24"/>
          <w:lang w:val="en-AU"/>
        </w:rPr>
      </w:r>
      <w:r>
        <w:rPr>
          <w:szCs w:val="24"/>
          <w:rFonts w:cs="Calibri" w:ascii="Calibri" w:hAnsi="Calibri"/>
        </w:rPr>
        <w:fldChar w:fldCharType="end"/>
      </w:r>
      <w:bookmarkEnd w:id="99"/>
      <w:r>
        <w:rPr>
          <w:rFonts w:cs="Calibri" w:ascii="Calibri" w:hAnsi="Calibri"/>
          <w:szCs w:val="24"/>
          <w:lang w:val="en-AU"/>
        </w:rPr>
        <w:t>.</w:t>
      </w:r>
    </w:p>
    <w:p>
      <w:pPr>
        <w:pStyle w:val="Normal"/>
        <w:jc w:val="both"/>
        <w:rPr>
          <w:rFonts w:ascii="Calibri" w:hAnsi="Calibri" w:cs="Calibri"/>
          <w:szCs w:val="24"/>
          <w:lang w:val="en-AU"/>
        </w:rPr>
      </w:pPr>
      <w:r>
        <w:rPr>
          <w:rFonts w:cs="Calibri" w:ascii="Calibri" w:hAnsi="Calibri"/>
          <w:szCs w:val="24"/>
          <w:lang w:val="en-AU"/>
        </w:rPr>
      </w:r>
    </w:p>
    <w:p>
      <w:pPr>
        <w:pStyle w:val="Normal"/>
        <w:rPr/>
      </w:pPr>
      <w:r>
        <w:rPr>
          <w:rFonts w:cs="Calibri" w:ascii="Calibri" w:hAnsi="Calibri"/>
          <w:szCs w:val="24"/>
          <w:lang w:val="en-AU"/>
        </w:rPr>
        <w:t>Clinical correlates demonstrate that T</w:t>
      </w:r>
      <w:r>
        <w:rPr>
          <w:rFonts w:cs="Calibri" w:ascii="Calibri" w:hAnsi="Calibri"/>
          <w:szCs w:val="24"/>
          <w:vertAlign w:val="subscript"/>
          <w:lang w:val="en-AU"/>
        </w:rPr>
        <w:t>CM</w:t>
      </w:r>
      <w:r>
        <w:rPr>
          <w:rFonts w:cs="Calibri" w:ascii="Calibri" w:hAnsi="Calibri"/>
          <w:szCs w:val="24"/>
          <w:lang w:val="en-AU"/>
        </w:rPr>
        <w:t xml:space="preserve"> and T</w:t>
      </w:r>
      <w:r>
        <w:rPr>
          <w:rFonts w:cs="Calibri" w:ascii="Calibri" w:hAnsi="Calibri"/>
          <w:szCs w:val="24"/>
          <w:vertAlign w:val="subscript"/>
          <w:lang w:val="en-AU"/>
        </w:rPr>
        <w:t>SCM</w:t>
      </w:r>
      <w:r>
        <w:rPr>
          <w:rFonts w:cs="Calibri" w:ascii="Calibri" w:hAnsi="Calibri"/>
          <w:szCs w:val="24"/>
          <w:lang w:val="en-AU"/>
        </w:rPr>
        <w:t xml:space="preserve"> cells can confer superior and protracted efficacy through the generation of effector cell progeny and self-renewal </w:t>
      </w:r>
      <w:r>
        <w:fldChar w:fldCharType="begin"/>
      </w:r>
      <w:r>
        <w:rPr>
          <w:szCs w:val="24"/>
          <w:rFonts w:cs="Calibri" w:ascii="Calibri" w:hAnsi="Calibri"/>
        </w:rPr>
        <w:instrText>ADDIN EN.CITE</w:instrText>
      </w:r>
      <w:r>
        <w:rPr>
          <w:szCs w:val="24"/>
          <w:rFonts w:cs="Calibri" w:ascii="Calibri" w:hAnsi="Calibri"/>
        </w:rPr>
        <w:fldChar w:fldCharType="separate"/>
      </w:r>
      <w:bookmarkStart w:id="100" w:name="Bookmark101"/>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101" w:name="Bookmark100"/>
      <w:bookmarkEnd w:id="100"/>
      <w:r>
        <w:rPr>
          <w:rFonts w:cs="Calibri" w:ascii="Calibri" w:hAnsi="Calibri"/>
          <w:szCs w:val="24"/>
          <w:lang w:val="en-AU"/>
        </w:rPr>
        <w:t>(25, 28, 29)</w:t>
      </w:r>
      <w:r>
        <w:rPr>
          <w:rFonts w:cs="Calibri" w:ascii="Calibri" w:hAnsi="Calibri"/>
          <w:szCs w:val="24"/>
          <w:lang w:val="en-AU"/>
        </w:rPr>
      </w:r>
      <w:r>
        <w:rPr>
          <w:szCs w:val="24"/>
          <w:rFonts w:cs="Calibri" w:ascii="Calibri" w:hAnsi="Calibri"/>
        </w:rPr>
        <w:fldChar w:fldCharType="end"/>
      </w:r>
      <w:bookmarkEnd w:id="101"/>
      <w:r>
        <w:rPr>
          <w:rFonts w:cs="Calibri" w:ascii="Calibri" w:hAnsi="Calibri"/>
          <w:szCs w:val="24"/>
          <w:lang w:val="en-AU"/>
        </w:rPr>
        <w:t>. This therefore establishes a need to adoptively transfer CAR T cells of a less differentiated phenotype in order to maintain CAR T cell persistence and improve long-term responses against solid tumours.</w:t>
      </w:r>
    </w:p>
    <w:p>
      <w:pPr>
        <w:pStyle w:val="Normal"/>
        <w:jc w:val="both"/>
        <w:rPr>
          <w:rFonts w:ascii="Calibri" w:hAnsi="Calibri" w:cs="Calibri"/>
          <w:szCs w:val="24"/>
          <w:lang w:val="en-AU"/>
        </w:rPr>
      </w:pPr>
      <w:r>
        <w:rPr>
          <w:rFonts w:cs="Calibri" w:ascii="Calibri" w:hAnsi="Calibri"/>
          <w:szCs w:val="24"/>
          <w:lang w:val="en-AU"/>
        </w:rPr>
      </w:r>
    </w:p>
    <w:p>
      <w:pPr>
        <w:pStyle w:val="Normal"/>
        <w:jc w:val="both"/>
        <w:rPr>
          <w:rFonts w:ascii="Calibri" w:hAnsi="Calibri" w:cs="Calibri"/>
          <w:szCs w:val="24"/>
          <w:lang w:val="en-AU"/>
        </w:rPr>
      </w:pPr>
      <w:r>
        <w:rPr>
          <w:rFonts w:cs="Calibri" w:ascii="Calibri" w:hAnsi="Calibri"/>
          <w:b/>
          <w:bCs/>
          <w:i/>
          <w:iCs/>
          <w:szCs w:val="24"/>
          <w:lang w:val="en-AU"/>
        </w:rPr>
        <w:t>4.1.2 Strategies to improve CAR T cell stemness and persistence</w:t>
      </w:r>
    </w:p>
    <w:p>
      <w:pPr>
        <w:pStyle w:val="Normal"/>
        <w:jc w:val="both"/>
        <w:rPr/>
      </w:pPr>
      <w:r>
        <w:rPr>
          <w:rFonts w:cs="Calibri" w:ascii="Calibri" w:hAnsi="Calibri"/>
          <w:szCs w:val="24"/>
          <w:lang w:val="en-AU"/>
        </w:rPr>
        <w:t>A variety of strategies to regulate CAR T cell memory subset polarisation have been employed that target T cell growth and differentiation pathways. The use of specific cytokines during CAR T cell transduction such as IL-7 and IL-15 have been shown to boost the proportion of T</w:t>
      </w:r>
      <w:r>
        <w:rPr>
          <w:rFonts w:cs="Calibri" w:ascii="Calibri" w:hAnsi="Calibri"/>
          <w:szCs w:val="24"/>
          <w:vertAlign w:val="subscript"/>
          <w:lang w:val="en-AU"/>
        </w:rPr>
        <w:t>SCM</w:t>
      </w:r>
      <w:r>
        <w:rPr>
          <w:rFonts w:cs="Calibri" w:ascii="Calibri" w:hAnsi="Calibri"/>
          <w:szCs w:val="24"/>
          <w:lang w:val="en-AU"/>
        </w:rPr>
        <w:t xml:space="preserve"> and T</w:t>
      </w:r>
      <w:r>
        <w:rPr>
          <w:rFonts w:cs="Calibri" w:ascii="Calibri" w:hAnsi="Calibri"/>
          <w:szCs w:val="24"/>
          <w:vertAlign w:val="subscript"/>
          <w:lang w:val="en-AU"/>
        </w:rPr>
        <w:t>CM</w:t>
      </w:r>
      <w:r>
        <w:rPr>
          <w:rFonts w:cs="Calibri" w:ascii="Calibri" w:hAnsi="Calibri"/>
          <w:szCs w:val="24"/>
          <w:lang w:val="en-AU"/>
        </w:rPr>
        <w:t xml:space="preserve"> cells </w:t>
      </w:r>
      <w:r>
        <w:fldChar w:fldCharType="begin"/>
      </w:r>
      <w:r>
        <w:rPr>
          <w:szCs w:val="24"/>
          <w:rFonts w:cs="Calibri" w:ascii="Calibri" w:hAnsi="Calibri"/>
        </w:rPr>
        <w:instrText>ADDIN EN.CITE</w:instrText>
      </w:r>
      <w:r>
        <w:rPr>
          <w:szCs w:val="24"/>
          <w:rFonts w:cs="Calibri" w:ascii="Calibri" w:hAnsi="Calibri"/>
        </w:rPr>
        <w:fldChar w:fldCharType="separate"/>
      </w:r>
      <w:bookmarkStart w:id="102" w:name="Bookmark103"/>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103" w:name="Bookmark102"/>
      <w:bookmarkEnd w:id="102"/>
      <w:r>
        <w:rPr>
          <w:rFonts w:cs="Calibri" w:ascii="Calibri" w:hAnsi="Calibri"/>
          <w:szCs w:val="24"/>
          <w:lang w:val="en-AU"/>
        </w:rPr>
        <w:t>(26, 65-67)</w:t>
      </w:r>
      <w:r>
        <w:rPr>
          <w:rFonts w:cs="Calibri" w:ascii="Calibri" w:hAnsi="Calibri"/>
          <w:szCs w:val="24"/>
          <w:lang w:val="en-AU"/>
        </w:rPr>
      </w:r>
      <w:r>
        <w:rPr>
          <w:szCs w:val="24"/>
          <w:rFonts w:cs="Calibri" w:ascii="Calibri" w:hAnsi="Calibri"/>
        </w:rPr>
        <w:fldChar w:fldCharType="end"/>
      </w:r>
      <w:bookmarkEnd w:id="103"/>
      <w:r>
        <w:rPr>
          <w:rFonts w:cs="Calibri" w:ascii="Calibri" w:hAnsi="Calibri"/>
          <w:szCs w:val="24"/>
          <w:lang w:val="en-AU"/>
        </w:rPr>
        <w:t xml:space="preserve">. In pre-clinical experiments, CAR T cells cultured with IL-7 and IL-15 provided greater </w:t>
      </w:r>
      <w:r>
        <w:rPr>
          <w:rFonts w:cs="Calibri" w:ascii="Calibri" w:hAnsi="Calibri"/>
          <w:i/>
          <w:iCs/>
          <w:szCs w:val="24"/>
          <w:lang w:val="en-AU"/>
        </w:rPr>
        <w:t>in vivo</w:t>
      </w:r>
      <w:r>
        <w:rPr>
          <w:rFonts w:cs="Calibri" w:ascii="Calibri" w:hAnsi="Calibri"/>
          <w:szCs w:val="24"/>
          <w:lang w:val="en-AU"/>
        </w:rPr>
        <w:t xml:space="preserve"> anti-tumour activity at low doses as compared to those cultured with conventional IL-2 </w:t>
      </w:r>
      <w:r>
        <w:fldChar w:fldCharType="begin"/>
      </w:r>
      <w:r>
        <w:rPr>
          <w:szCs w:val="24"/>
          <w:rFonts w:cs="Calibri" w:ascii="Calibri" w:hAnsi="Calibri"/>
        </w:rPr>
        <w:instrText>ADDIN EN.CITE</w:instrText>
      </w:r>
      <w:r>
        <w:rPr>
          <w:szCs w:val="24"/>
          <w:rFonts w:cs="Calibri" w:ascii="Calibri" w:hAnsi="Calibri"/>
        </w:rPr>
        <w:fldChar w:fldCharType="separate"/>
      </w:r>
      <w:bookmarkStart w:id="104" w:name="Bookmark105"/>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105" w:name="Bookmark104"/>
      <w:bookmarkEnd w:id="104"/>
      <w:r>
        <w:rPr>
          <w:rFonts w:cs="Calibri" w:ascii="Calibri" w:hAnsi="Calibri"/>
          <w:szCs w:val="24"/>
          <w:lang w:val="en-AU"/>
        </w:rPr>
        <w:t>(59, 67, 68)</w:t>
      </w:r>
      <w:r>
        <w:rPr>
          <w:rFonts w:cs="Calibri" w:ascii="Calibri" w:hAnsi="Calibri"/>
          <w:szCs w:val="24"/>
          <w:lang w:val="en-AU"/>
        </w:rPr>
      </w:r>
      <w:r>
        <w:rPr>
          <w:szCs w:val="24"/>
          <w:rFonts w:cs="Calibri" w:ascii="Calibri" w:hAnsi="Calibri"/>
        </w:rPr>
        <w:fldChar w:fldCharType="end"/>
      </w:r>
      <w:bookmarkEnd w:id="105"/>
      <w:r>
        <w:rPr>
          <w:rFonts w:cs="Calibri" w:ascii="Calibri" w:hAnsi="Calibri"/>
          <w:szCs w:val="24"/>
          <w:lang w:val="en-AU"/>
        </w:rPr>
        <w:t>. Additionally, the choice of specific CAR T cell co-stimulatory signals, such as the inclusion of 4-1BB (CD137) in CAR signalling domain, may also improve the formation of T</w:t>
      </w:r>
      <w:r>
        <w:rPr>
          <w:rFonts w:cs="Calibri" w:ascii="Calibri" w:hAnsi="Calibri"/>
          <w:szCs w:val="24"/>
          <w:vertAlign w:val="subscript"/>
          <w:lang w:val="en-AU"/>
        </w:rPr>
        <w:t>CM</w:t>
      </w:r>
      <w:r>
        <w:rPr>
          <w:rFonts w:cs="Calibri" w:ascii="Calibri" w:hAnsi="Calibri"/>
          <w:szCs w:val="24"/>
          <w:lang w:val="en-AU"/>
        </w:rPr>
        <w:t xml:space="preserve"> cells following CAR T cell activation </w:t>
      </w:r>
      <w:r>
        <w:fldChar w:fldCharType="begin"/>
      </w:r>
      <w:r>
        <w:rPr>
          <w:szCs w:val="24"/>
          <w:rFonts w:cs="Calibri" w:ascii="Calibri" w:hAnsi="Calibri"/>
        </w:rPr>
        <w:instrText>ADDIN EN.CITE</w:instrText>
      </w:r>
      <w:r>
        <w:rPr>
          <w:szCs w:val="24"/>
          <w:rFonts w:cs="Calibri" w:ascii="Calibri" w:hAnsi="Calibri"/>
        </w:rPr>
        <w:fldChar w:fldCharType="separate"/>
      </w:r>
      <w:bookmarkStart w:id="106" w:name="Bookmark107"/>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107" w:name="Bookmark106"/>
      <w:bookmarkEnd w:id="106"/>
      <w:r>
        <w:rPr>
          <w:rFonts w:cs="Calibri" w:ascii="Calibri" w:hAnsi="Calibri"/>
          <w:szCs w:val="24"/>
          <w:lang w:val="en-AU"/>
        </w:rPr>
        <w:t>(77-80)</w:t>
      </w:r>
      <w:r>
        <w:rPr>
          <w:rFonts w:cs="Calibri" w:ascii="Calibri" w:hAnsi="Calibri"/>
          <w:szCs w:val="24"/>
          <w:lang w:val="en-AU"/>
        </w:rPr>
      </w:r>
      <w:r>
        <w:rPr>
          <w:szCs w:val="24"/>
          <w:rFonts w:cs="Calibri" w:ascii="Calibri" w:hAnsi="Calibri"/>
        </w:rPr>
        <w:fldChar w:fldCharType="end"/>
      </w:r>
      <w:bookmarkEnd w:id="107"/>
      <w:r>
        <w:rPr>
          <w:rFonts w:cs="Calibri" w:ascii="Calibri" w:hAnsi="Calibri"/>
          <w:szCs w:val="24"/>
          <w:lang w:val="en-AU"/>
        </w:rPr>
        <w:t xml:space="preserve">. </w:t>
      </w:r>
    </w:p>
    <w:p>
      <w:pPr>
        <w:pStyle w:val="Normal"/>
        <w:jc w:val="both"/>
        <w:rPr>
          <w:rFonts w:ascii="Calibri" w:hAnsi="Calibri" w:cs="Calibri"/>
          <w:szCs w:val="24"/>
          <w:lang w:val="en-AU"/>
        </w:rPr>
      </w:pPr>
      <w:r>
        <w:rPr>
          <w:rFonts w:cs="Calibri" w:ascii="Calibri" w:hAnsi="Calibri"/>
          <w:szCs w:val="24"/>
          <w:lang w:val="en-AU"/>
        </w:rPr>
      </w:r>
    </w:p>
    <w:p>
      <w:pPr>
        <w:pStyle w:val="Normal"/>
        <w:jc w:val="both"/>
        <w:rPr/>
      </w:pPr>
      <w:r>
        <w:rPr>
          <w:rFonts w:cs="Calibri" w:ascii="Calibri" w:hAnsi="Calibri"/>
          <w:szCs w:val="24"/>
          <w:lang w:val="en-AU"/>
        </w:rPr>
        <w:t>CAR T cell differentiation has also been modulated through pharmacological agents. Targeting the PI3K-Akt pathway through the use PI3K or Akt inhibitors has been shown to enhance the formation of T</w:t>
      </w:r>
      <w:r>
        <w:rPr>
          <w:rFonts w:cs="Calibri" w:ascii="Calibri" w:hAnsi="Calibri"/>
          <w:szCs w:val="24"/>
          <w:vertAlign w:val="subscript"/>
          <w:lang w:val="en-AU"/>
        </w:rPr>
        <w:t>CM</w:t>
      </w:r>
      <w:r>
        <w:rPr>
          <w:rFonts w:cs="Calibri" w:ascii="Calibri" w:hAnsi="Calibri"/>
          <w:szCs w:val="24"/>
          <w:lang w:val="en-AU"/>
        </w:rPr>
        <w:t xml:space="preserve"> and T</w:t>
      </w:r>
      <w:r>
        <w:rPr>
          <w:rFonts w:cs="Calibri" w:ascii="Calibri" w:hAnsi="Calibri"/>
          <w:szCs w:val="24"/>
          <w:vertAlign w:val="subscript"/>
          <w:lang w:val="en-AU"/>
        </w:rPr>
        <w:t>SCM</w:t>
      </w:r>
      <w:r>
        <w:rPr>
          <w:rFonts w:cs="Calibri" w:ascii="Calibri" w:hAnsi="Calibri"/>
          <w:szCs w:val="24"/>
          <w:lang w:val="en-AU"/>
        </w:rPr>
        <w:t xml:space="preserve"> CAR T cells </w:t>
      </w:r>
      <w:r>
        <w:fldChar w:fldCharType="begin"/>
      </w:r>
      <w:r>
        <w:rPr>
          <w:szCs w:val="24"/>
          <w:rFonts w:cs="Calibri" w:ascii="Calibri" w:hAnsi="Calibri"/>
        </w:rPr>
        <w:instrText>ADDIN EN.CITE</w:instrText>
      </w:r>
      <w:r>
        <w:rPr>
          <w:szCs w:val="24"/>
          <w:rFonts w:cs="Calibri" w:ascii="Calibri" w:hAnsi="Calibri"/>
        </w:rPr>
        <w:fldChar w:fldCharType="separate"/>
      </w:r>
      <w:bookmarkStart w:id="108" w:name="Bookmark109"/>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109" w:name="Bookmark108"/>
      <w:bookmarkEnd w:id="108"/>
      <w:r>
        <w:rPr>
          <w:rFonts w:cs="Calibri" w:ascii="Calibri" w:hAnsi="Calibri"/>
          <w:szCs w:val="24"/>
          <w:lang w:val="en-AU"/>
        </w:rPr>
        <w:t>(69-72)</w:t>
      </w:r>
      <w:r>
        <w:rPr>
          <w:rFonts w:cs="Calibri" w:ascii="Calibri" w:hAnsi="Calibri"/>
          <w:szCs w:val="24"/>
          <w:lang w:val="en-AU"/>
        </w:rPr>
      </w:r>
      <w:r>
        <w:rPr>
          <w:szCs w:val="24"/>
          <w:rFonts w:cs="Calibri" w:ascii="Calibri" w:hAnsi="Calibri"/>
        </w:rPr>
        <w:fldChar w:fldCharType="end"/>
      </w:r>
      <w:bookmarkEnd w:id="109"/>
      <w:r>
        <w:rPr>
          <w:rFonts w:cs="Calibri" w:ascii="Calibri" w:hAnsi="Calibri"/>
          <w:szCs w:val="24"/>
          <w:lang w:val="en-AU"/>
        </w:rPr>
        <w:t xml:space="preserve">. Inhibition of this pathway in human CD19 CAR T cells enhanced persistence and superior anti-leukemic activity </w:t>
      </w:r>
      <w:r>
        <w:fldChar w:fldCharType="begin"/>
      </w:r>
      <w:r>
        <w:rPr>
          <w:szCs w:val="24"/>
          <w:rFonts w:cs="Calibri" w:ascii="Calibri" w:hAnsi="Calibri"/>
        </w:rPr>
        <w:instrText>ADDIN EN.CITE</w:instrText>
      </w:r>
      <w:r>
        <w:rPr>
          <w:szCs w:val="24"/>
          <w:rFonts w:cs="Calibri" w:ascii="Calibri" w:hAnsi="Calibri"/>
        </w:rPr>
        <w:fldChar w:fldCharType="separate"/>
      </w:r>
      <w:bookmarkStart w:id="110" w:name="Bookmark111"/>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111" w:name="Bookmark110"/>
      <w:bookmarkEnd w:id="110"/>
      <w:r>
        <w:rPr>
          <w:rFonts w:cs="Calibri" w:ascii="Calibri" w:hAnsi="Calibri"/>
          <w:szCs w:val="24"/>
          <w:lang w:val="en-AU"/>
        </w:rPr>
        <w:t>(71, 73)</w:t>
      </w:r>
      <w:r>
        <w:rPr>
          <w:rFonts w:cs="Calibri" w:ascii="Calibri" w:hAnsi="Calibri"/>
          <w:szCs w:val="24"/>
          <w:lang w:val="en-AU"/>
        </w:rPr>
      </w:r>
      <w:r>
        <w:rPr>
          <w:szCs w:val="24"/>
          <w:rFonts w:cs="Calibri" w:ascii="Calibri" w:hAnsi="Calibri"/>
        </w:rPr>
        <w:fldChar w:fldCharType="end"/>
      </w:r>
      <w:bookmarkEnd w:id="111"/>
      <w:r>
        <w:rPr>
          <w:rFonts w:cs="Calibri" w:ascii="Calibri" w:hAnsi="Calibri"/>
          <w:szCs w:val="24"/>
          <w:lang w:val="en-AU"/>
        </w:rPr>
        <w:t xml:space="preserve">. Importantly, less differentiated CAR T cell populations were preserved through the retained expression of early effector transcription factors such as FOXO1, B cell lymphoma 6 (BCL-6) expression and suppressed effector exhausted associated transcription factors eomesodermin (EOMES) and inhibitor of DNA binding 2 (ID2) </w:t>
      </w:r>
      <w:r>
        <w:fldChar w:fldCharType="begin"/>
      </w:r>
      <w:r>
        <w:rPr>
          <w:szCs w:val="24"/>
          <w:rFonts w:cs="Calibri" w:ascii="Calibri" w:hAnsi="Calibri"/>
        </w:rPr>
        <w:instrText>ADDIN EN.CITE &lt;EndNote&gt;&lt;Cite&gt;&lt;Author&gt;Mousset&lt;/Author&gt;&lt;Year&gt;2018&lt;/Year&gt;&lt;RecNum&gt;301&lt;/RecNum&gt;&lt;DisplayText&gt;(72)&lt;/DisplayText&gt;&lt;record&gt;&lt;rec-number&gt;301&lt;/rec-number&gt;&lt;foreign-keys&gt;&lt;key app="EN" db-id="a92x0raf7dz52reve0m5f29speefwrp0d22r" timestamp="1587535922"&gt;301&lt;/key&gt;&lt;/foreign-keys&gt;&lt;ref-type name="Journal Article"&gt;17&lt;/ref-type&gt;&lt;contributors&gt;&lt;authors&gt;&lt;author&gt;Mousset, Charlotte M.&lt;/author&gt;&lt;author&gt;Hobo, Willemijn&lt;/author&gt;&lt;author&gt;Ji, Yun&lt;/author&gt;&lt;author&gt;Fredrix, Hanny&lt;/author&gt;&lt;author&gt;De Giorgi, Valeria&lt;/author&gt;&lt;author&gt;Allison, Robert D.&lt;/author&gt;&lt;author&gt;Kester, Michel G. D.&lt;/author&gt;&lt;author&gt;Falkenburg, J. H. Frederik&lt;/author&gt;&lt;author&gt;Schaap, Nicolaas P. M.&lt;/author&gt;&lt;author&gt;Jansen, Joop H.&lt;/author&gt;&lt;author&gt;Gattinoni, Luca&lt;/author&gt;&lt;author&gt;Dolstra, Harry&lt;/author&gt;&lt;author&gt;van der Waart, Anniek B.&lt;/author&gt;&lt;/authors&gt;&lt;/contributors&gt;&lt;titles&gt;&lt;title&gt;Ex vivo AKT-inhibition facilitates generation of polyfunctional stem cell memory-like CD8+ T cells for adoptive immunotherapy&lt;/title&gt;&lt;secondary-title&gt;OncoImmunology&lt;/secondary-title&gt;&lt;/titles&gt;&lt;periodical&gt;&lt;full-title&gt;OncoImmunology&lt;/full-title&gt;&lt;/periodical&gt;&lt;pages&gt;e1488565&lt;/pages&gt;&lt;volume&gt;7&lt;/volume&gt;&lt;number&gt;10&lt;/number&gt;&lt;dates&gt;&lt;year&gt;2018&lt;/year&gt;&lt;pub-dates&gt;&lt;date&gt;2018/10/03&lt;/date&gt;&lt;/pub-dates&gt;&lt;/dates&gt;&lt;publisher&gt;Taylor &amp;amp; Francis&lt;/publisher&gt;&lt;isbn&gt;null&lt;/isbn&gt;&lt;urls&gt;&lt;related-urls&gt;&lt;url&gt;https://doi.org/10.1080/2162402X.2018.1488565&lt;/url&gt;&lt;/related-urls&gt;&lt;/urls&gt;&lt;electronic-resource-num&gt;10.1080/2162402X.2018.1488565&lt;/electronic-resource-num&gt;&lt;/record&gt;&lt;/Cite&gt;&lt;/EndNote&gt;</w:instrText>
      </w:r>
      <w:r>
        <w:rPr>
          <w:szCs w:val="24"/>
          <w:rFonts w:cs="Calibri" w:ascii="Calibri" w:hAnsi="Calibri"/>
        </w:rPr>
        <w:fldChar w:fldCharType="separate"/>
      </w:r>
      <w:bookmarkStart w:id="112" w:name="Bookmark112"/>
      <w:r>
        <w:rPr>
          <w:rFonts w:cs="Calibri" w:ascii="Calibri" w:hAnsi="Calibri"/>
          <w:szCs w:val="24"/>
          <w:lang w:val="en-AU"/>
        </w:rPr>
        <w:t>(72)</w:t>
      </w:r>
      <w:r>
        <w:rPr>
          <w:rFonts w:cs="Calibri" w:ascii="Calibri" w:hAnsi="Calibri"/>
          <w:szCs w:val="24"/>
          <w:lang w:val="en-AU"/>
        </w:rPr>
      </w:r>
      <w:r>
        <w:rPr>
          <w:szCs w:val="24"/>
          <w:rFonts w:cs="Calibri" w:ascii="Calibri" w:hAnsi="Calibri"/>
        </w:rPr>
        <w:fldChar w:fldCharType="end"/>
      </w:r>
      <w:bookmarkEnd w:id="112"/>
      <w:r>
        <w:rPr>
          <w:rFonts w:cs="Calibri" w:ascii="Calibri" w:hAnsi="Calibri"/>
          <w:szCs w:val="24"/>
          <w:lang w:val="en-AU"/>
        </w:rPr>
        <w:t>.</w:t>
      </w:r>
    </w:p>
    <w:p>
      <w:pPr>
        <w:pStyle w:val="Normal"/>
        <w:jc w:val="both"/>
        <w:rPr>
          <w:rFonts w:ascii="Calibri" w:hAnsi="Calibri" w:cs="Calibri"/>
          <w:szCs w:val="24"/>
          <w:lang w:val="en-AU"/>
        </w:rPr>
      </w:pPr>
      <w:r>
        <w:rPr>
          <w:rFonts w:cs="Calibri" w:ascii="Calibri" w:hAnsi="Calibri"/>
          <w:szCs w:val="24"/>
          <w:lang w:val="en-AU"/>
        </w:rPr>
      </w:r>
    </w:p>
    <w:p>
      <w:pPr>
        <w:pStyle w:val="Normal"/>
        <w:jc w:val="both"/>
        <w:rPr/>
      </w:pPr>
      <w:r>
        <w:rPr>
          <w:rFonts w:cs="Calibri" w:ascii="Calibri" w:hAnsi="Calibri"/>
          <w:szCs w:val="24"/>
          <w:lang w:val="en-AU"/>
        </w:rPr>
        <w:t>Targeting the Wnt signalling pathway through the use of the Wnt agonist, Wnt-3a or glycogen synthase kinase-3β inhibitor, TWS119, has also been shown to generate significant proportions of T</w:t>
      </w:r>
      <w:r>
        <w:rPr>
          <w:rFonts w:cs="Calibri" w:ascii="Calibri" w:hAnsi="Calibri"/>
          <w:szCs w:val="24"/>
          <w:vertAlign w:val="subscript"/>
          <w:lang w:val="en-AU"/>
        </w:rPr>
        <w:t>SCM</w:t>
      </w:r>
      <w:r>
        <w:rPr>
          <w:rFonts w:cs="Calibri" w:ascii="Calibri" w:hAnsi="Calibri"/>
          <w:szCs w:val="24"/>
          <w:lang w:val="en-AU"/>
        </w:rPr>
        <w:t xml:space="preserve"> and T</w:t>
      </w:r>
      <w:r>
        <w:rPr>
          <w:rFonts w:cs="Calibri" w:ascii="Calibri" w:hAnsi="Calibri"/>
          <w:szCs w:val="24"/>
          <w:vertAlign w:val="subscript"/>
          <w:lang w:val="en-AU"/>
        </w:rPr>
        <w:t>CM</w:t>
      </w:r>
      <w:r>
        <w:rPr>
          <w:rFonts w:cs="Calibri" w:ascii="Calibri" w:hAnsi="Calibri"/>
          <w:szCs w:val="24"/>
          <w:lang w:val="en-AU"/>
        </w:rPr>
        <w:t xml:space="preserve"> cells </w:t>
      </w:r>
      <w:r>
        <w:fldChar w:fldCharType="begin"/>
      </w:r>
      <w:r>
        <w:rPr>
          <w:szCs w:val="24"/>
          <w:rFonts w:cs="Calibri" w:ascii="Calibri" w:hAnsi="Calibri"/>
        </w:rPr>
        <w:instrText>ADDIN EN.CITE</w:instrText>
      </w:r>
      <w:r>
        <w:rPr>
          <w:szCs w:val="24"/>
          <w:rFonts w:cs="Calibri" w:ascii="Calibri" w:hAnsi="Calibri"/>
        </w:rPr>
        <w:fldChar w:fldCharType="separate"/>
      </w:r>
      <w:bookmarkStart w:id="113" w:name="Bookmark114"/>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114" w:name="Bookmark113"/>
      <w:bookmarkEnd w:id="113"/>
      <w:r>
        <w:rPr>
          <w:rFonts w:cs="Calibri" w:ascii="Calibri" w:hAnsi="Calibri"/>
          <w:szCs w:val="24"/>
          <w:lang w:val="en-AU"/>
        </w:rPr>
        <w:t>(74, 75)</w:t>
      </w:r>
      <w:r>
        <w:rPr>
          <w:rFonts w:cs="Calibri" w:ascii="Calibri" w:hAnsi="Calibri"/>
          <w:szCs w:val="24"/>
          <w:lang w:val="en-AU"/>
        </w:rPr>
      </w:r>
      <w:r>
        <w:rPr>
          <w:szCs w:val="24"/>
          <w:rFonts w:cs="Calibri" w:ascii="Calibri" w:hAnsi="Calibri"/>
        </w:rPr>
        <w:fldChar w:fldCharType="end"/>
      </w:r>
      <w:bookmarkEnd w:id="114"/>
      <w:r>
        <w:rPr>
          <w:rFonts w:cs="Calibri" w:ascii="Calibri" w:hAnsi="Calibri"/>
          <w:szCs w:val="24"/>
          <w:lang w:val="en-AU"/>
        </w:rPr>
        <w:t xml:space="preserve">. Wnt signalling plays an important role in the formation T cell memory by engaging the transcription factor TCF1 </w:t>
      </w:r>
      <w:r>
        <w:fldChar w:fldCharType="begin"/>
      </w:r>
      <w:r>
        <w:rPr>
          <w:szCs w:val="24"/>
          <w:rFonts w:cs="Calibri" w:ascii="Calibri" w:hAnsi="Calibri"/>
        </w:rPr>
        <w:instrText>ADDIN EN.CITE</w:instrText>
      </w:r>
      <w:r>
        <w:rPr>
          <w:szCs w:val="24"/>
          <w:rFonts w:cs="Calibri" w:ascii="Calibri" w:hAnsi="Calibri"/>
        </w:rPr>
        <w:fldChar w:fldCharType="separate"/>
      </w:r>
      <w:bookmarkStart w:id="115" w:name="Bookmark116"/>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116" w:name="Bookmark115"/>
      <w:bookmarkEnd w:id="115"/>
      <w:r>
        <w:rPr>
          <w:rFonts w:cs="Calibri" w:ascii="Calibri" w:hAnsi="Calibri"/>
          <w:szCs w:val="24"/>
          <w:lang w:val="en-AU"/>
        </w:rPr>
        <w:t>(74, 76)</w:t>
      </w:r>
      <w:r>
        <w:rPr>
          <w:rFonts w:cs="Calibri" w:ascii="Calibri" w:hAnsi="Calibri"/>
          <w:szCs w:val="24"/>
          <w:lang w:val="en-AU"/>
        </w:rPr>
      </w:r>
      <w:r>
        <w:rPr>
          <w:szCs w:val="24"/>
          <w:rFonts w:cs="Calibri" w:ascii="Calibri" w:hAnsi="Calibri"/>
        </w:rPr>
        <w:fldChar w:fldCharType="end"/>
      </w:r>
      <w:bookmarkEnd w:id="116"/>
      <w:r>
        <w:rPr>
          <w:rFonts w:cs="Calibri" w:ascii="Calibri" w:hAnsi="Calibri"/>
          <w:szCs w:val="24"/>
          <w:lang w:val="en-AU"/>
        </w:rPr>
        <w:t>. In murine models, T</w:t>
      </w:r>
      <w:r>
        <w:rPr>
          <w:rFonts w:cs="Calibri" w:ascii="Calibri" w:hAnsi="Calibri"/>
          <w:szCs w:val="24"/>
          <w:vertAlign w:val="subscript"/>
          <w:lang w:val="en-AU"/>
        </w:rPr>
        <w:t>SCM</w:t>
      </w:r>
      <w:r>
        <w:rPr>
          <w:rFonts w:cs="Calibri" w:ascii="Calibri" w:hAnsi="Calibri"/>
          <w:szCs w:val="24"/>
          <w:lang w:val="en-AU"/>
        </w:rPr>
        <w:t xml:space="preserve"> and T</w:t>
      </w:r>
      <w:r>
        <w:rPr>
          <w:rFonts w:cs="Calibri" w:ascii="Calibri" w:hAnsi="Calibri"/>
          <w:szCs w:val="24"/>
          <w:vertAlign w:val="subscript"/>
          <w:lang w:val="en-AU"/>
        </w:rPr>
        <w:t>CM</w:t>
        <w:softHyphen/>
      </w:r>
      <w:r>
        <w:rPr>
          <w:rFonts w:cs="Calibri" w:ascii="Calibri" w:hAnsi="Calibri"/>
          <w:szCs w:val="24"/>
          <w:lang w:val="en-AU"/>
        </w:rPr>
        <w:t xml:space="preserve"> CAR T cells generated through TWS119 treatment elicited superior anti-tumour effects relative to T</w:t>
      </w:r>
      <w:r>
        <w:rPr>
          <w:rFonts w:cs="Calibri" w:ascii="Calibri" w:hAnsi="Calibri"/>
          <w:szCs w:val="24"/>
          <w:vertAlign w:val="subscript"/>
          <w:lang w:val="en-AU"/>
        </w:rPr>
        <w:t>EM</w:t>
      </w:r>
      <w:r>
        <w:rPr>
          <w:rFonts w:cs="Calibri" w:ascii="Calibri" w:hAnsi="Calibri"/>
          <w:szCs w:val="24"/>
          <w:lang w:val="en-AU"/>
        </w:rPr>
        <w:t xml:space="preserve"> cells and significantly improved survival in murine models </w:t>
      </w:r>
      <w:r>
        <w:fldChar w:fldCharType="begin"/>
      </w:r>
      <w:r>
        <w:rPr>
          <w:szCs w:val="24"/>
          <w:rFonts w:cs="Calibri" w:ascii="Calibri" w:hAnsi="Calibri"/>
        </w:rPr>
        <w:instrText>ADDIN EN.CITE</w:instrText>
      </w:r>
      <w:r>
        <w:rPr>
          <w:szCs w:val="24"/>
          <w:rFonts w:cs="Calibri" w:ascii="Calibri" w:hAnsi="Calibri"/>
        </w:rPr>
        <w:fldChar w:fldCharType="separate"/>
      </w:r>
      <w:bookmarkStart w:id="117" w:name="Bookmark118"/>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118" w:name="Bookmark117"/>
      <w:bookmarkEnd w:id="117"/>
      <w:r>
        <w:rPr>
          <w:rFonts w:cs="Calibri" w:ascii="Calibri" w:hAnsi="Calibri"/>
          <w:szCs w:val="24"/>
          <w:lang w:val="en-AU"/>
        </w:rPr>
        <w:t>(74)</w:t>
      </w:r>
      <w:r>
        <w:rPr>
          <w:rFonts w:cs="Calibri" w:ascii="Calibri" w:hAnsi="Calibri"/>
          <w:szCs w:val="24"/>
          <w:lang w:val="en-AU"/>
        </w:rPr>
      </w:r>
      <w:r>
        <w:rPr>
          <w:szCs w:val="24"/>
          <w:rFonts w:cs="Calibri" w:ascii="Calibri" w:hAnsi="Calibri"/>
        </w:rPr>
        <w:fldChar w:fldCharType="end"/>
      </w:r>
      <w:bookmarkEnd w:id="118"/>
      <w:r>
        <w:rPr>
          <w:rFonts w:cs="Calibri" w:ascii="Calibri" w:hAnsi="Calibri"/>
          <w:szCs w:val="24"/>
          <w:lang w:val="en-AU"/>
        </w:rPr>
        <w:t xml:space="preserve">. </w:t>
      </w:r>
    </w:p>
    <w:p>
      <w:pPr>
        <w:pStyle w:val="Normal"/>
        <w:jc w:val="both"/>
        <w:rPr>
          <w:rFonts w:ascii="Calibri" w:hAnsi="Calibri" w:cs="Calibri"/>
          <w:szCs w:val="24"/>
          <w:lang w:val="en-AU"/>
        </w:rPr>
      </w:pPr>
      <w:r>
        <w:rPr>
          <w:rFonts w:cs="Calibri" w:ascii="Calibri" w:hAnsi="Calibri"/>
          <w:szCs w:val="24"/>
          <w:lang w:val="en-AU"/>
        </w:rPr>
      </w:r>
    </w:p>
    <w:p>
      <w:pPr>
        <w:pStyle w:val="Normal"/>
        <w:jc w:val="both"/>
        <w:rPr/>
      </w:pPr>
      <w:r>
        <w:rPr>
          <w:rFonts w:cs="Calibri" w:ascii="Calibri" w:hAnsi="Calibri"/>
          <w:szCs w:val="24"/>
          <w:lang w:val="en-AU"/>
        </w:rPr>
        <w:t>Notably, the transcription factors that contribute to an improved CAR T cell memory phenotype through these methods are also associated with the T</w:t>
      </w:r>
      <w:r>
        <w:rPr>
          <w:rFonts w:cs="Calibri" w:ascii="Calibri" w:hAnsi="Calibri"/>
          <w:szCs w:val="24"/>
          <w:vertAlign w:val="subscript"/>
          <w:lang w:val="en-AU"/>
        </w:rPr>
        <w:t>PEX</w:t>
      </w:r>
      <w:r>
        <w:rPr>
          <w:rFonts w:cs="Calibri" w:ascii="Calibri" w:hAnsi="Calibri"/>
          <w:szCs w:val="24"/>
          <w:lang w:val="en-AU"/>
        </w:rPr>
        <w:t xml:space="preserve"> cell phenotype </w:t>
      </w:r>
      <w:r>
        <w:fldChar w:fldCharType="begin"/>
      </w:r>
      <w:r>
        <w:rPr>
          <w:szCs w:val="24"/>
          <w:rFonts w:cs="Calibri" w:ascii="Calibri" w:hAnsi="Calibri"/>
        </w:rPr>
        <w:instrText>ADDIN EN.CITE &lt;EndNote&gt;&lt;Cite&gt;&lt;Author&gt;Kallies&lt;/Author&gt;&lt;Year&gt;2020&lt;/Year&gt;&lt;RecNum&gt;45&lt;/RecNum&gt;&lt;DisplayText&gt;(46)&lt;/DisplayText&gt;&lt;record&gt;&lt;rec-number&gt;45&lt;/rec-number&gt;&lt;foreign-keys&gt;&lt;key app="EN" db-id="0svr029aax0d22erzzkprfpvefwawtzaazpa" timestamp="1596080648"&gt;45&lt;/key&gt;&lt;/foreign-keys&gt;&lt;ref-type name="Journal Article"&gt;17&lt;/ref-type&gt;&lt;contributors&gt;&lt;authors&gt;&lt;author&gt;Kallies, Axel&lt;/author&gt;&lt;author&gt;Zehn, Dietmar&lt;/author&gt;&lt;author&gt;Utzschneider, Daniel T.&lt;/author&gt;&lt;/authors&gt;&lt;/contributors&gt;&lt;titles&gt;&lt;title&gt;Precursor exhausted T cells: key to successful immunotherapy?&lt;/title&gt;&lt;secondary-title&gt;Nature Reviews Immunology&lt;/secondary-title&gt;&lt;/titles&gt;&lt;periodical&gt;&lt;full-title&gt;Nature Reviews Immunology&lt;/full-title&gt;&lt;/periodical&gt;&lt;pages&gt;128-136&lt;/pages&gt;&lt;volume&gt;20&lt;/volume&gt;&lt;number&gt;2&lt;/number&gt;&lt;dates&gt;&lt;year&gt;2020&lt;/year&gt;&lt;pub-dates&gt;&lt;date&gt;2020/02/01&lt;/date&gt;&lt;/pub-dates&gt;&lt;/dates&gt;&lt;isbn&gt;1474-1741&lt;/isbn&gt;&lt;urls&gt;&lt;related-urls&gt;&lt;url&gt;https://doi.org/10.1038/s41577-019-0223-7&lt;/url&gt;&lt;/related-urls&gt;&lt;/urls&gt;&lt;electronic-resource-num&gt;10.1038/s41577-019-0223-7&lt;/electronic-resource-num&gt;&lt;/record&gt;&lt;/Cite&gt;&lt;/EndNote&gt;</w:instrText>
      </w:r>
      <w:r>
        <w:rPr>
          <w:szCs w:val="24"/>
          <w:rFonts w:cs="Calibri" w:ascii="Calibri" w:hAnsi="Calibri"/>
        </w:rPr>
        <w:fldChar w:fldCharType="separate"/>
      </w:r>
      <w:bookmarkStart w:id="119" w:name="Bookmark119"/>
      <w:r>
        <w:rPr>
          <w:rFonts w:cs="Calibri" w:ascii="Calibri" w:hAnsi="Calibri"/>
          <w:szCs w:val="24"/>
          <w:lang w:val="en-AU"/>
        </w:rPr>
        <w:t>(46)</w:t>
      </w:r>
      <w:r>
        <w:rPr>
          <w:rFonts w:cs="Calibri" w:ascii="Calibri" w:hAnsi="Calibri"/>
          <w:szCs w:val="24"/>
          <w:lang w:val="en-AU"/>
        </w:rPr>
      </w:r>
      <w:r>
        <w:rPr>
          <w:szCs w:val="24"/>
          <w:rFonts w:cs="Calibri" w:ascii="Calibri" w:hAnsi="Calibri"/>
        </w:rPr>
        <w:fldChar w:fldCharType="end"/>
      </w:r>
      <w:bookmarkEnd w:id="119"/>
      <w:r>
        <w:rPr>
          <w:rFonts w:cs="Calibri" w:ascii="Calibri" w:hAnsi="Calibri"/>
          <w:szCs w:val="24"/>
          <w:lang w:val="en-AU"/>
        </w:rPr>
        <w:t>.</w:t>
      </w:r>
    </w:p>
    <w:p>
      <w:pPr>
        <w:pStyle w:val="Normal"/>
        <w:jc w:val="both"/>
        <w:rPr>
          <w:rFonts w:ascii="Calibri" w:hAnsi="Calibri" w:cs="Calibri"/>
          <w:szCs w:val="24"/>
          <w:lang w:val="en-AU"/>
        </w:rPr>
      </w:pPr>
      <w:r>
        <w:rPr>
          <w:rFonts w:cs="Calibri" w:ascii="Calibri" w:hAnsi="Calibri"/>
          <w:szCs w:val="24"/>
          <w:lang w:val="en-AU"/>
        </w:rPr>
      </w:r>
    </w:p>
    <w:p>
      <w:pPr>
        <w:pStyle w:val="Normal"/>
        <w:jc w:val="both"/>
        <w:rPr>
          <w:rFonts w:ascii="Calibri" w:hAnsi="Calibri" w:cs="Calibri"/>
          <w:b/>
          <w:b/>
          <w:bCs/>
          <w:i/>
          <w:i/>
          <w:iCs/>
          <w:szCs w:val="24"/>
          <w:lang w:val="en-AU"/>
        </w:rPr>
      </w:pPr>
      <w:r>
        <w:rPr>
          <w:rFonts w:cs="Calibri" w:ascii="Calibri" w:hAnsi="Calibri"/>
          <w:b/>
          <w:bCs/>
          <w:i/>
          <w:iCs/>
          <w:szCs w:val="24"/>
          <w:lang w:val="en-AU"/>
        </w:rPr>
        <w:t>4.1.2.1 Modulation of CAR T cell transcription factor activity</w:t>
      </w:r>
    </w:p>
    <w:p>
      <w:pPr>
        <w:pStyle w:val="Normal"/>
        <w:jc w:val="both"/>
        <w:rPr/>
      </w:pPr>
      <w:r>
        <w:rPr>
          <w:rFonts w:cs="Calibri" w:ascii="Calibri" w:hAnsi="Calibri"/>
          <w:szCs w:val="24"/>
          <w:lang w:val="en-AU"/>
        </w:rPr>
        <w:t>Key to the maintenance of less differentiated memory cell subtypes is the alteration of CAR T cell transcription factor activity. The memory differentiation status of T cells is critically dependent on specific transcriptional signatures. As previously highlighted, these transcriptional programs may be engaged through the exogenous application of pharmacological agents. Another approach is by the overexpression of transcription factors associated with CD8</w:t>
      </w:r>
      <w:r>
        <w:rPr>
          <w:rFonts w:cs="Calibri" w:ascii="Calibri" w:hAnsi="Calibri"/>
          <w:szCs w:val="24"/>
          <w:vertAlign w:val="superscript"/>
          <w:lang w:val="en-AU"/>
        </w:rPr>
        <w:t>+</w:t>
      </w:r>
      <w:r>
        <w:rPr>
          <w:rFonts w:cs="Calibri" w:ascii="Calibri" w:hAnsi="Calibri"/>
          <w:szCs w:val="24"/>
          <w:lang w:val="en-AU"/>
        </w:rPr>
        <w:t xml:space="preserve"> T cell memory and persistence, which may provide a more durable engagement of these transcriptional signatures, and thus represents a more promising avenue to improve the efficacy and durability of CAR T cell therapy </w:t>
      </w:r>
      <w:r>
        <w:fldChar w:fldCharType="begin"/>
      </w:r>
      <w:r>
        <w:rPr>
          <w:szCs w:val="24"/>
          <w:rFonts w:cs="Calibri" w:ascii="Calibri" w:hAnsi="Calibri"/>
        </w:rPr>
        <w:instrText>ADDIN EN.CITE</w:instrText>
      </w:r>
      <w:r>
        <w:rPr>
          <w:szCs w:val="24"/>
          <w:rFonts w:cs="Calibri" w:ascii="Calibri" w:hAnsi="Calibri"/>
        </w:rPr>
        <w:fldChar w:fldCharType="separate"/>
      </w:r>
      <w:bookmarkStart w:id="120" w:name="Bookmark121"/>
      <w:r>
        <w:rPr>
          <w:rFonts w:cs="Calibri" w:ascii="Calibri" w:hAnsi="Calibri"/>
          <w:szCs w:val="24"/>
          <w:lang w:val="en-AU"/>
        </w:rPr>
      </w:r>
      <w:r>
        <w:rPr>
          <w:rFonts w:cs="Calibri" w:ascii="Calibri" w:hAnsi="Calibri"/>
          <w:szCs w:val="24"/>
          <w:lang w:val="en-AU"/>
        </w:rPr>
      </w:r>
      <w:r>
        <w:rPr>
          <w:szCs w:val="24"/>
          <w:rFonts w:cs="Calibri" w:ascii="Calibri" w:hAnsi="Calibri"/>
        </w:rPr>
        <w:fldChar w:fldCharType="end"/>
      </w:r>
      <w:r>
        <w:fldChar w:fldCharType="begin"/>
      </w:r>
      <w:r>
        <w:rPr>
          <w:szCs w:val="24"/>
          <w:rFonts w:cs="Calibri" w:ascii="Calibri" w:hAnsi="Calibri"/>
        </w:rPr>
        <w:instrText>ADDIN EN.CITE.DATA</w:instrText>
      </w:r>
      <w:r>
        <w:rPr>
          <w:szCs w:val="24"/>
          <w:rFonts w:cs="Calibri" w:ascii="Calibri" w:hAnsi="Calibri"/>
        </w:rPr>
        <w:fldChar w:fldCharType="separate"/>
      </w:r>
      <w:bookmarkStart w:id="121" w:name="Bookmark120"/>
      <w:bookmarkEnd w:id="120"/>
      <w:r>
        <w:rPr>
          <w:rFonts w:cs="Calibri" w:ascii="Calibri" w:hAnsi="Calibri"/>
          <w:szCs w:val="24"/>
          <w:lang w:val="en-AU"/>
        </w:rPr>
        <w:t>(77-80)</w:t>
      </w:r>
      <w:r>
        <w:rPr>
          <w:rFonts w:cs="Calibri" w:ascii="Calibri" w:hAnsi="Calibri"/>
          <w:szCs w:val="24"/>
          <w:lang w:val="en-AU"/>
        </w:rPr>
      </w:r>
      <w:r>
        <w:rPr>
          <w:szCs w:val="24"/>
          <w:rFonts w:cs="Calibri" w:ascii="Calibri" w:hAnsi="Calibri"/>
        </w:rPr>
        <w:fldChar w:fldCharType="end"/>
      </w:r>
      <w:bookmarkEnd w:id="121"/>
      <w:r>
        <w:rPr>
          <w:rFonts w:cs="Calibri" w:ascii="Calibri" w:hAnsi="Calibri"/>
          <w:szCs w:val="24"/>
          <w:lang w:val="en-AU"/>
        </w:rPr>
        <w:t>.</w:t>
      </w:r>
    </w:p>
    <w:p>
      <w:pPr>
        <w:pStyle w:val="Normal"/>
        <w:jc w:val="both"/>
        <w:rPr>
          <w:rFonts w:ascii="Calibri" w:hAnsi="Calibri" w:cs="Calibri"/>
          <w:szCs w:val="24"/>
          <w:lang w:val="en-AU"/>
        </w:rPr>
      </w:pPr>
      <w:r>
        <w:rPr>
          <w:rFonts w:cs="Calibri" w:ascii="Calibri" w:hAnsi="Calibri"/>
          <w:szCs w:val="24"/>
          <w:lang w:val="en-AU"/>
        </w:rPr>
      </w:r>
    </w:p>
    <w:p>
      <w:pPr>
        <w:pStyle w:val="Normal"/>
        <w:jc w:val="both"/>
        <w:rPr/>
      </w:pPr>
      <w:r>
        <w:rPr>
          <w:rFonts w:cs="Calibri" w:ascii="Calibri" w:hAnsi="Calibri"/>
          <w:szCs w:val="24"/>
          <w:lang w:val="en-AU"/>
        </w:rPr>
        <w:t xml:space="preserve">The potential of this technique has been demonstrated in a major study by </w:t>
      </w:r>
      <w:r>
        <w:rPr>
          <w:rFonts w:cs="Calibri" w:ascii="Calibri" w:hAnsi="Calibri"/>
          <w:i/>
          <w:iCs/>
          <w:szCs w:val="24"/>
          <w:lang w:val="en-AU"/>
        </w:rPr>
        <w:t>Lynn</w:t>
      </w:r>
      <w:r>
        <w:rPr>
          <w:rFonts w:cs="Calibri" w:ascii="Calibri" w:hAnsi="Calibri"/>
          <w:szCs w:val="24"/>
          <w:lang w:val="en-AU"/>
        </w:rPr>
        <w:t xml:space="preserve"> </w:t>
      </w:r>
      <w:r>
        <w:rPr>
          <w:rFonts w:cs="Calibri" w:ascii="Calibri" w:hAnsi="Calibri"/>
          <w:i/>
          <w:szCs w:val="24"/>
          <w:lang w:val="en-AU"/>
        </w:rPr>
        <w:t xml:space="preserve">et al </w:t>
      </w:r>
      <w:r>
        <w:fldChar w:fldCharType="begin"/>
      </w:r>
      <w:r>
        <w:rPr>
          <w:i/>
          <w:szCs w:val="24"/>
          <w:rFonts w:cs="Calibri" w:ascii="Calibri" w:hAnsi="Calibri"/>
        </w:rPr>
        <w:instrText>ADDIN EN.CITE &lt;EndNote&gt;&lt;Cite&gt;&lt;Author&gt;Lynn&lt;/Author&gt;&lt;Year&gt;2019&lt;/Year&gt;&lt;RecNum&gt;202&lt;/RecNum&gt;&lt;DisplayText&gt;(81)&lt;/DisplayText&gt;&lt;record&gt;&lt;rec-number&gt;202&lt;/rec-number&gt;&lt;foreign-keys&gt;&lt;key app="EN" db-id="a92x0raf7dz52reve0m5f29speefwrp0d22r" timestamp="1585541200"&gt;202&lt;/key&gt;&lt;/foreign-keys&gt;&lt;ref-type name="Journal Article"&gt;17&lt;/ref-type&gt;&lt;contributors&gt;&lt;authors&gt;&lt;author&gt;Lynn, Rachel C.&lt;/author&gt;&lt;author&gt;Weber, Evan W.&lt;/author&gt;&lt;author&gt;Sotillo, Elena&lt;/author&gt;&lt;author&gt;Gennert, David&lt;/author&gt;&lt;author&gt;Xu, Peng&lt;/author&gt;&lt;author&gt;Good, Zinaida&lt;/author&gt;&lt;author&gt;Anbunathan, Hima&lt;/author&gt;&lt;author&gt;Lattin, John&lt;/author&gt;&lt;author&gt;Jones, Robert&lt;/author&gt;&lt;author&gt;Tieu, Victor&lt;/author&gt;&lt;author&gt;Nagaraja, Surya&lt;/author&gt;&lt;author&gt;Granja, Jeffrey&lt;/author&gt;&lt;author&gt;de Bourcy, Charles F. A.&lt;/author&gt;&lt;author&gt;Majzner, Robbie&lt;/author&gt;&lt;author&gt;Satpathy, Ansuman T.&lt;/author&gt;&lt;author&gt;Quake, Stephen R.&lt;/author&gt;&lt;author&gt;Monje, Michelle&lt;/author&gt;&lt;author&gt;Chang, Howard Y.&lt;/author&gt;&lt;author&gt;Mackall, Crystal L.&lt;/author&gt;&lt;/authors&gt;&lt;/contributors&gt;&lt;titles&gt;&lt;title&gt;c-Jun overexpression in CAR T cells induces exhaustion resistance&lt;/title&gt;&lt;secondary-title&gt;Nature&lt;/secondary-title&gt;&lt;/titles&gt;&lt;periodical&gt;&lt;full-title&gt;Nature&lt;/full-title&gt;&lt;/periodical&gt;&lt;pages&gt;293-300&lt;/pages&gt;&lt;volume&gt;576&lt;/volume&gt;&lt;number&gt;7786&lt;/number&gt;&lt;dates&gt;&lt;year&gt;2019&lt;/year&gt;&lt;pub-dates&gt;&lt;date&gt;2019/12/01&lt;/date&gt;&lt;/pub-dates&gt;&lt;/dates&gt;&lt;isbn&gt;1476-4687&lt;/isbn&gt;&lt;urls&gt;&lt;related-urls&gt;&lt;url&gt;https://doi.org/10.1038/s41586-019-1805-z&lt;/url&gt;&lt;/related-urls&gt;&lt;/urls&gt;&lt;electronic-resource-num&gt;10.1038/s41586-019-1805-z&lt;/electronic-resource-num&gt;&lt;/record&gt;&lt;/Cite&gt;&lt;/EndNote&gt;</w:instrText>
      </w:r>
      <w:r>
        <w:rPr>
          <w:i/>
          <w:szCs w:val="24"/>
          <w:rFonts w:cs="Calibri" w:ascii="Calibri" w:hAnsi="Calibri"/>
        </w:rPr>
        <w:fldChar w:fldCharType="separate"/>
      </w:r>
      <w:bookmarkStart w:id="122" w:name="Bookmark122"/>
      <w:r>
        <w:rPr>
          <w:rFonts w:cs="Calibri" w:ascii="Calibri" w:hAnsi="Calibri"/>
          <w:i/>
          <w:szCs w:val="24"/>
          <w:lang w:val="en-AU"/>
        </w:rPr>
        <w:t>(81)</w:t>
      </w:r>
      <w:r>
        <w:rPr>
          <w:rFonts w:cs="Calibri" w:ascii="Calibri" w:hAnsi="Calibri"/>
          <w:i/>
          <w:szCs w:val="24"/>
          <w:lang w:val="en-AU"/>
        </w:rPr>
      </w:r>
      <w:r>
        <w:rPr>
          <w:i/>
          <w:szCs w:val="24"/>
          <w:rFonts w:cs="Calibri" w:ascii="Calibri" w:hAnsi="Calibri"/>
        </w:rPr>
        <w:fldChar w:fldCharType="end"/>
      </w:r>
      <w:bookmarkEnd w:id="122"/>
      <w:r>
        <w:rPr>
          <w:rFonts w:cs="Calibri" w:ascii="Calibri" w:hAnsi="Calibri"/>
          <w:szCs w:val="24"/>
          <w:lang w:val="en-AU"/>
        </w:rPr>
        <w:t xml:space="preserve">. Retroviral overexpression of the AP-1 transcription factor, c-Jun, promoted CAR T cell persistence and resistance to exhaustion </w:t>
      </w:r>
      <w:r>
        <w:fldChar w:fldCharType="begin"/>
      </w:r>
      <w:r>
        <w:rPr>
          <w:szCs w:val="24"/>
          <w:rFonts w:cs="Calibri" w:ascii="Calibri" w:hAnsi="Calibri"/>
        </w:rPr>
        <w:instrText>ADDIN EN.CITE &lt;EndNote&gt;&lt;Cite&gt;&lt;Author&gt;Lynn&lt;/Author&gt;&lt;Year&gt;2019&lt;/Year&gt;&lt;RecNum&gt;202&lt;/RecNum&gt;&lt;DisplayText&gt;(81)&lt;/DisplayText&gt;&lt;record&gt;&lt;rec-number&gt;202&lt;/rec-number&gt;&lt;foreign-keys&gt;&lt;key app="EN" db-id="a92x0raf7dz52reve0m5f29speefwrp0d22r" timestamp="1585541200"&gt;202&lt;/key&gt;&lt;/foreign-keys&gt;&lt;ref-type name="Journal Article"&gt;17&lt;/ref-type&gt;&lt;contributors&gt;&lt;authors&gt;&lt;author&gt;Lynn, Rachel C.&lt;/author&gt;&lt;author&gt;Weber, Evan W.&lt;/author&gt;&lt;author&gt;Sotillo, Elena&lt;/author&gt;&lt;author&gt;Gennert, David&lt;/author&gt;&lt;author&gt;Xu, Peng&lt;/author&gt;&lt;author&gt;Good, Zinaida&lt;/author&gt;&lt;author&gt;Anbunathan, Hima&lt;/author&gt;&lt;author&gt;Lattin, John&lt;/author&gt;&lt;author&gt;Jones, Robert&lt;/author&gt;&lt;author&gt;Tieu, Victor&lt;/author&gt;&lt;author&gt;Nagaraja, Surya&lt;/author&gt;&lt;author&gt;Granja, Jeffrey&lt;/author&gt;&lt;author&gt;de Bourcy, Charles F. A.&lt;/author&gt;&lt;author&gt;Majzner, Robbie&lt;/author&gt;&lt;author&gt;Satpathy, Ansuman T.&lt;/author&gt;&lt;author&gt;Quake, Stephen R.&lt;/author&gt;&lt;author&gt;Monje, Michelle&lt;/author&gt;&lt;author&gt;Chang, Howard Y.&lt;/author&gt;&lt;author&gt;Mackall, Crystal L.&lt;/author&gt;&lt;/authors&gt;&lt;/contributors&gt;&lt;titles&gt;&lt;title&gt;c-Jun overexpression in CAR T cells induces exhaustion resistance&lt;/title&gt;&lt;secondary-title&gt;Nature&lt;/secondary-title&gt;&lt;/titles&gt;&lt;periodical&gt;&lt;full-title&gt;Nature&lt;/full-title&gt;&lt;/periodical&gt;&lt;pages&gt;293-300&lt;/pages&gt;&lt;volume&gt;576&lt;/volume&gt;&lt;number&gt;7786&lt;/number&gt;&lt;dates&gt;&lt;year&gt;2019&lt;/year&gt;&lt;pub-dates&gt;&lt;date&gt;2019/12/01&lt;/date&gt;&lt;/pub-dates&gt;&lt;/dates&gt;&lt;isbn&gt;1476-4687&lt;/isbn&gt;&lt;urls&gt;&lt;related-urls&gt;&lt;url&gt;https://doi.org/10.1038/s41586-019-1805-z&lt;/url&gt;&lt;/related-urls&gt;&lt;/urls&gt;&lt;electronic-resource-num&gt;10.1038/s41586-019-1805-z&lt;/electronic-resource-num&gt;&lt;/record&gt;&lt;/Cite&gt;&lt;/EndNote&gt;</w:instrText>
      </w:r>
      <w:r>
        <w:rPr>
          <w:szCs w:val="24"/>
          <w:rFonts w:cs="Calibri" w:ascii="Calibri" w:hAnsi="Calibri"/>
        </w:rPr>
        <w:fldChar w:fldCharType="separate"/>
      </w:r>
      <w:bookmarkStart w:id="123" w:name="Bookmark123"/>
      <w:r>
        <w:rPr>
          <w:rFonts w:cs="Calibri" w:ascii="Calibri" w:hAnsi="Calibri"/>
          <w:szCs w:val="24"/>
          <w:lang w:val="en-AU"/>
        </w:rPr>
        <w:t>(81)</w:t>
      </w:r>
      <w:r>
        <w:rPr>
          <w:rFonts w:cs="Calibri" w:ascii="Calibri" w:hAnsi="Calibri"/>
          <w:szCs w:val="24"/>
          <w:lang w:val="en-AU"/>
        </w:rPr>
      </w:r>
      <w:r>
        <w:rPr>
          <w:szCs w:val="24"/>
          <w:rFonts w:cs="Calibri" w:ascii="Calibri" w:hAnsi="Calibri"/>
        </w:rPr>
        <w:fldChar w:fldCharType="end"/>
      </w:r>
      <w:bookmarkEnd w:id="123"/>
      <w:r>
        <w:rPr>
          <w:rFonts w:cs="Calibri" w:ascii="Calibri" w:hAnsi="Calibri"/>
          <w:szCs w:val="24"/>
          <w:lang w:val="en-AU"/>
        </w:rPr>
        <w:t xml:space="preserve">. c-Jun overexpression led to an enhanced the anti-tumour effect of CAR T cells in leukemia and osteosarcoma mouse models </w:t>
      </w:r>
      <w:r>
        <w:fldChar w:fldCharType="begin"/>
      </w:r>
      <w:r>
        <w:rPr>
          <w:szCs w:val="24"/>
          <w:rFonts w:cs="Calibri" w:ascii="Calibri" w:hAnsi="Calibri"/>
        </w:rPr>
        <w:instrText>ADDIN EN.CITE &lt;EndNote&gt;&lt;Cite&gt;&lt;Author&gt;Lynn&lt;/Author&gt;&lt;Year&gt;2019&lt;/Year&gt;&lt;RecNum&gt;202&lt;/RecNum&gt;&lt;DisplayText&gt;(81)&lt;/DisplayText&gt;&lt;record&gt;&lt;rec-number&gt;202&lt;/rec-number&gt;&lt;foreign-keys&gt;&lt;key app="EN" db-id="a92x0raf7dz52reve0m5f29speefwrp0d22r" timestamp="1585541200"&gt;202&lt;/key&gt;&lt;/foreign-keys&gt;&lt;ref-type name="Journal Article"&gt;17&lt;/ref-type&gt;&lt;contributors&gt;&lt;authors&gt;&lt;author&gt;Lynn, Rachel C.&lt;/author&gt;&lt;author&gt;Weber, Evan W.&lt;/author&gt;&lt;author&gt;Sotillo, Elena&lt;/author&gt;&lt;author&gt;Gennert, David&lt;/author&gt;&lt;author&gt;Xu, Peng&lt;/author&gt;&lt;author&gt;Good, Zinaida&lt;/author&gt;&lt;author&gt;Anbunathan, Hima&lt;/author&gt;&lt;author&gt;Lattin, John&lt;/author&gt;&lt;author&gt;Jones, Robert&lt;/author&gt;&lt;author&gt;Tieu, Victor&lt;/author&gt;&lt;author&gt;Nagaraja, Surya&lt;/author&gt;&lt;author&gt;Granja, Jeffrey&lt;/author&gt;&lt;author&gt;de Bourcy, Charles F. A.&lt;/author&gt;&lt;author&gt;Majzner, Robbie&lt;/author&gt;&lt;author&gt;Satpathy, Ansuman T.&lt;/author&gt;&lt;author&gt;Quake, Stephen R.&lt;/author&gt;&lt;author&gt;Monje, Michelle&lt;/author&gt;&lt;author&gt;Chang, Howard Y.&lt;/author&gt;&lt;author&gt;Mackall, Crystal L.&lt;/author&gt;&lt;/authors&gt;&lt;/contributors&gt;&lt;titles&gt;&lt;title&gt;c-Jun overexpression in CAR T cells induces exhaustion resistance&lt;/title&gt;&lt;secondary-title&gt;Nature&lt;/secondary-title&gt;&lt;/titles&gt;&lt;periodical&gt;&lt;full-title&gt;Nature&lt;/full-title&gt;&lt;/periodical&gt;&lt;pages&gt;293-300&lt;/pages&gt;&lt;volume&gt;576&lt;/volume&gt;&lt;number&gt;7786&lt;/number&gt;&lt;dates&gt;&lt;year&gt;2019&lt;/year&gt;&lt;pub-dates&gt;&lt;date&gt;2019/12/01&lt;/date&gt;&lt;/pub-dates&gt;&lt;/dates&gt;&lt;isbn&gt;1476-4687&lt;/isbn&gt;&lt;urls&gt;&lt;related-urls&gt;&lt;url&gt;https://doi.org/10.1038/s41586-019-1805-z&lt;/url&gt;&lt;/related-urls&gt;&lt;/urls&gt;&lt;electronic-resource-num&gt;10.1038/s41586-019-1805-z&lt;/electronic-resource-num&gt;&lt;/record&gt;&lt;/Cite&gt;&lt;/EndNote&gt;</w:instrText>
      </w:r>
      <w:r>
        <w:rPr>
          <w:szCs w:val="24"/>
          <w:rFonts w:cs="Calibri" w:ascii="Calibri" w:hAnsi="Calibri"/>
        </w:rPr>
        <w:fldChar w:fldCharType="separate"/>
      </w:r>
      <w:bookmarkStart w:id="124" w:name="Bookmark124"/>
      <w:r>
        <w:rPr>
          <w:rFonts w:cs="Calibri" w:ascii="Calibri" w:hAnsi="Calibri"/>
          <w:szCs w:val="24"/>
          <w:lang w:val="en-AU"/>
        </w:rPr>
        <w:t>(81)</w:t>
      </w:r>
      <w:r>
        <w:rPr>
          <w:rFonts w:cs="Calibri" w:ascii="Calibri" w:hAnsi="Calibri"/>
          <w:szCs w:val="24"/>
          <w:lang w:val="en-AU"/>
        </w:rPr>
      </w:r>
      <w:r>
        <w:rPr>
          <w:szCs w:val="24"/>
          <w:rFonts w:cs="Calibri" w:ascii="Calibri" w:hAnsi="Calibri"/>
        </w:rPr>
        <w:fldChar w:fldCharType="end"/>
      </w:r>
      <w:bookmarkEnd w:id="124"/>
      <w:r>
        <w:rPr>
          <w:rFonts w:cs="Calibri" w:ascii="Calibri" w:hAnsi="Calibri"/>
          <w:szCs w:val="24"/>
          <w:lang w:val="en-AU"/>
        </w:rPr>
        <w:t>. These c-Jun over-expressing CAR T cells were also shown to comprise of significantly higher proportions of T</w:t>
      </w:r>
      <w:r>
        <w:rPr>
          <w:rFonts w:cs="Calibri" w:ascii="Calibri" w:hAnsi="Calibri"/>
          <w:szCs w:val="24"/>
          <w:vertAlign w:val="subscript"/>
          <w:lang w:val="en-AU"/>
        </w:rPr>
        <w:t>SCM</w:t>
      </w:r>
      <w:r>
        <w:rPr>
          <w:rFonts w:cs="Calibri" w:ascii="Calibri" w:hAnsi="Calibri"/>
          <w:szCs w:val="24"/>
          <w:lang w:val="en-AU"/>
        </w:rPr>
        <w:t xml:space="preserve"> and T</w:t>
      </w:r>
      <w:r>
        <w:rPr>
          <w:rFonts w:cs="Calibri" w:ascii="Calibri" w:hAnsi="Calibri"/>
          <w:szCs w:val="24"/>
          <w:vertAlign w:val="subscript"/>
          <w:lang w:val="en-AU"/>
        </w:rPr>
        <w:t>CM</w:t>
      </w:r>
      <w:r>
        <w:rPr>
          <w:rFonts w:cs="Calibri" w:ascii="Calibri" w:hAnsi="Calibri"/>
          <w:szCs w:val="24"/>
          <w:lang w:val="en-AU"/>
        </w:rPr>
        <w:t xml:space="preserve"> cells and lower proportions of effector and T</w:t>
      </w:r>
      <w:r>
        <w:rPr>
          <w:rFonts w:cs="Calibri" w:ascii="Calibri" w:hAnsi="Calibri"/>
          <w:szCs w:val="24"/>
          <w:vertAlign w:val="subscript"/>
          <w:lang w:val="en-AU"/>
        </w:rPr>
        <w:t>EM</w:t>
      </w:r>
      <w:r>
        <w:rPr>
          <w:rFonts w:cs="Calibri" w:ascii="Calibri" w:hAnsi="Calibri"/>
          <w:szCs w:val="24"/>
          <w:lang w:val="en-AU"/>
        </w:rPr>
        <w:t xml:space="preserve"> cells </w:t>
      </w:r>
      <w:r>
        <w:fldChar w:fldCharType="begin"/>
      </w:r>
      <w:r>
        <w:rPr>
          <w:szCs w:val="24"/>
          <w:rFonts w:cs="Calibri" w:ascii="Calibri" w:hAnsi="Calibri"/>
        </w:rPr>
        <w:instrText>ADDIN EN.CITE &lt;EndNote&gt;&lt;Cite&gt;&lt;Author&gt;Lynn&lt;/Author&gt;&lt;Year&gt;2019&lt;/Year&gt;&lt;RecNum&gt;202&lt;/RecNum&gt;&lt;DisplayText&gt;(81)&lt;/DisplayText&gt;&lt;record&gt;&lt;rec-number&gt;202&lt;/rec-number&gt;&lt;foreign-keys&gt;&lt;key app="EN" db-id="a92x0raf7dz52reve0m5f29speefwrp0d22r" timestamp="1585541200"&gt;202&lt;/key&gt;&lt;/foreign-keys&gt;&lt;ref-type name="Journal Article"&gt;17&lt;/ref-type&gt;&lt;contributors&gt;&lt;authors&gt;&lt;author&gt;Lynn, Rachel C.&lt;/author&gt;&lt;author&gt;Weber, Evan W.&lt;/author&gt;&lt;author&gt;Sotillo, Elena&lt;/author&gt;&lt;author&gt;Gennert, David&lt;/author&gt;&lt;author&gt;Xu, Peng&lt;/author&gt;&lt;author&gt;Good, Zinaida&lt;/author&gt;&lt;author&gt;Anbunathan, Hima&lt;/author&gt;&lt;author&gt;Lattin, John&lt;/author&gt;&lt;author&gt;Jones, Robert&lt;/author&gt;&lt;author&gt;Tieu, Victor&lt;/author&gt;&lt;author&gt;Nagaraja, Surya&lt;/author&gt;&lt;author&gt;Granja, Jeffrey&lt;/author&gt;&lt;author&gt;de Bourcy, Charles F. A.&lt;/author&gt;&lt;author&gt;Majzner, Robbie&lt;/author&gt;&lt;author&gt;Satpathy, Ansuman T.&lt;/author&gt;&lt;author&gt;Quake, Stephen R.&lt;/author&gt;&lt;author&gt;Monje, Michelle&lt;/author&gt;&lt;author&gt;Chang, Howard Y.&lt;/author&gt;&lt;author&gt;Mackall, Crystal L.&lt;/author&gt;&lt;/authors&gt;&lt;/contributors&gt;&lt;titles&gt;&lt;title&gt;c-Jun overexpression in CAR T cells induces exhaustion resistance&lt;/title&gt;&lt;secondary-title&gt;Nature&lt;/secondary-title&gt;&lt;/titles&gt;&lt;periodical&gt;&lt;full-title&gt;Nature&lt;/full-title&gt;&lt;/periodical&gt;&lt;pages&gt;293-300&lt;/pages&gt;&lt;volume&gt;576&lt;/volume&gt;&lt;number&gt;7786&lt;/number&gt;&lt;dates&gt;&lt;year&gt;2019&lt;/year&gt;&lt;pub-dates&gt;&lt;date&gt;2019/12/01&lt;/date&gt;&lt;/pub-dates&gt;&lt;/dates&gt;&lt;isbn&gt;1476-4687&lt;/isbn&gt;&lt;urls&gt;&lt;related-urls&gt;&lt;url&gt;https://doi.org/10.1038/s41586-019-1805-z&lt;/url&gt;&lt;/related-urls&gt;&lt;/urls&gt;&lt;electronic-resource-num&gt;10.1038/s41586-019-1805-z&lt;/electronic-resource-num&gt;&lt;/record&gt;&lt;/Cite&gt;&lt;/EndNote&gt;</w:instrText>
      </w:r>
      <w:r>
        <w:rPr>
          <w:szCs w:val="24"/>
          <w:rFonts w:cs="Calibri" w:ascii="Calibri" w:hAnsi="Calibri"/>
        </w:rPr>
        <w:fldChar w:fldCharType="separate"/>
      </w:r>
      <w:bookmarkStart w:id="125" w:name="Bookmark125"/>
      <w:r>
        <w:rPr>
          <w:rFonts w:cs="Calibri" w:ascii="Calibri" w:hAnsi="Calibri"/>
          <w:szCs w:val="24"/>
          <w:lang w:val="en-AU"/>
        </w:rPr>
        <w:t>(81)</w:t>
      </w:r>
      <w:r>
        <w:rPr>
          <w:rFonts w:cs="Calibri" w:ascii="Calibri" w:hAnsi="Calibri"/>
          <w:szCs w:val="24"/>
          <w:lang w:val="en-AU"/>
        </w:rPr>
      </w:r>
      <w:r>
        <w:rPr>
          <w:szCs w:val="24"/>
          <w:rFonts w:cs="Calibri" w:ascii="Calibri" w:hAnsi="Calibri"/>
        </w:rPr>
        <w:fldChar w:fldCharType="end"/>
      </w:r>
      <w:bookmarkEnd w:id="125"/>
      <w:r>
        <w:rPr>
          <w:rFonts w:cs="Calibri" w:ascii="Calibri" w:hAnsi="Calibri"/>
          <w:szCs w:val="24"/>
          <w:lang w:val="en-AU"/>
        </w:rPr>
        <w:t>.</w:t>
      </w:r>
    </w:p>
    <w:p>
      <w:pPr>
        <w:pStyle w:val="Normal"/>
        <w:jc w:val="both"/>
        <w:rPr>
          <w:rFonts w:ascii="Calibri" w:hAnsi="Calibri" w:cs="Calibri"/>
          <w:szCs w:val="24"/>
          <w:lang w:val="en-AU"/>
        </w:rPr>
      </w:pPr>
      <w:r>
        <w:rPr>
          <w:rFonts w:cs="Calibri" w:ascii="Calibri" w:hAnsi="Calibri"/>
          <w:szCs w:val="24"/>
          <w:lang w:val="en-AU"/>
        </w:rPr>
      </w:r>
    </w:p>
    <w:p>
      <w:pPr>
        <w:pStyle w:val="Normal"/>
        <w:jc w:val="both"/>
        <w:rPr/>
      </w:pPr>
      <w:r>
        <w:rPr>
          <w:rFonts w:cs="Calibri" w:ascii="Calibri" w:hAnsi="Calibri"/>
          <w:szCs w:val="24"/>
          <w:lang w:val="en-AU"/>
        </w:rPr>
        <w:t>Although not in a CAR T cell setting, adoptive transfer of T cells from Tcf1 transgenic mice mediated improved tumour control in melanoma mouse models through the maintenance of T</w:t>
      </w:r>
      <w:r>
        <w:rPr>
          <w:rFonts w:cs="Calibri" w:ascii="Calibri" w:hAnsi="Calibri"/>
          <w:szCs w:val="24"/>
          <w:vertAlign w:val="subscript"/>
          <w:lang w:val="en-AU"/>
        </w:rPr>
        <w:t>PEX</w:t>
      </w:r>
      <w:r>
        <w:rPr>
          <w:rFonts w:cs="Calibri" w:ascii="Calibri" w:hAnsi="Calibri"/>
          <w:szCs w:val="24"/>
          <w:lang w:val="en-AU"/>
        </w:rPr>
        <w:t xml:space="preserve"> cell populations </w:t>
      </w:r>
      <w:r>
        <w:fldChar w:fldCharType="begin"/>
      </w:r>
      <w:r>
        <w:rPr>
          <w:szCs w:val="24"/>
          <w:rFonts w:cs="Calibri" w:ascii="Calibri" w:hAnsi="Calibri"/>
        </w:rPr>
        <w:instrText>ADDIN EN.CITE &lt;EndNote&gt;&lt;Cite&gt;&lt;Author&gt;Shan&lt;/Author&gt;&lt;Year&gt;2020&lt;/Year&gt;&lt;RecNum&gt;73&lt;/RecNum&gt;&lt;DisplayText&gt;(82)&lt;/DisplayText&gt;&lt;record&gt;&lt;rec-number&gt;73&lt;/rec-number&gt;&lt;foreign-keys&gt;&lt;key app="EN" db-id="0svr029aax0d22erzzkprfpvefwawtzaazpa" timestamp="1596515704"&gt;73&lt;/key&gt;&lt;/foreign-keys&gt;&lt;ref-type name="Journal Article"&gt;17&lt;/ref-type&gt;&lt;contributors&gt;&lt;authors&gt;&lt;author&gt;Shan, Qiang&lt;/author&gt;&lt;author&gt;Hu, Sheng’en&lt;/author&gt;&lt;author&gt;Chen, Xia&lt;/author&gt;&lt;author&gt;Danahy, Derek B.&lt;/author&gt;&lt;author&gt;Badovinac, Vladimir P.&lt;/author&gt;&lt;author&gt;Zang, Chongzhi&lt;/author&gt;&lt;author&gt;Xue, Hai-Hui&lt;/author&gt;&lt;/authors&gt;&lt;/contributors&gt;&lt;titles&gt;&lt;title&gt;Ectopic Tcf1 expression instills a stem-like program in exhausted CD8+ T cells to enhance viral and tumor immunity&lt;/title&gt;&lt;secondary-title&gt;Cellular &amp;amp; Molecular Immunology&lt;/secondary-title&gt;&lt;/titles&gt;&lt;periodical&gt;&lt;full-title&gt;Cellular &amp;amp; Molecular Immunology&lt;/full-title&gt;&lt;/periodical&gt;&lt;dates&gt;&lt;year&gt;2020&lt;/year&gt;&lt;pub-dates&gt;&lt;date&gt;2020/04/27&lt;/date&gt;&lt;/pub-dates&gt;&lt;/dates&gt;&lt;isbn&gt;2042-0226&lt;/isbn&gt;&lt;urls&gt;&lt;related-urls&gt;&lt;url&gt;https://doi.org/10.1038/s41423-020-0436-5&lt;/url&gt;&lt;/related-urls&gt;&lt;/urls&gt;&lt;electronic-resource-num&gt;10.1038/s41423-020-0436-5&lt;/electronic-resource-num&gt;&lt;/record&gt;&lt;/Cite&gt;&lt;/EndNote&gt;</w:instrText>
      </w:r>
      <w:r>
        <w:rPr>
          <w:szCs w:val="24"/>
          <w:rFonts w:cs="Calibri" w:ascii="Calibri" w:hAnsi="Calibri"/>
        </w:rPr>
        <w:fldChar w:fldCharType="separate"/>
      </w:r>
      <w:bookmarkStart w:id="126" w:name="Bookmark126"/>
      <w:r>
        <w:rPr>
          <w:rFonts w:cs="Calibri" w:ascii="Calibri" w:hAnsi="Calibri"/>
          <w:szCs w:val="24"/>
          <w:lang w:val="en-AU"/>
        </w:rPr>
        <w:t>(82)</w:t>
      </w:r>
      <w:r>
        <w:rPr>
          <w:rFonts w:cs="Calibri" w:ascii="Calibri" w:hAnsi="Calibri"/>
          <w:szCs w:val="24"/>
          <w:lang w:val="en-AU"/>
        </w:rPr>
      </w:r>
      <w:r>
        <w:rPr>
          <w:szCs w:val="24"/>
          <w:rFonts w:cs="Calibri" w:ascii="Calibri" w:hAnsi="Calibri"/>
        </w:rPr>
        <w:fldChar w:fldCharType="end"/>
      </w:r>
      <w:bookmarkEnd w:id="126"/>
      <w:r>
        <w:rPr>
          <w:rFonts w:cs="Calibri" w:ascii="Calibri" w:hAnsi="Calibri"/>
          <w:szCs w:val="24"/>
          <w:lang w:val="en-AU"/>
        </w:rPr>
        <w:t>. Through ectopic Tcf1 expression, T</w:t>
      </w:r>
      <w:r>
        <w:rPr>
          <w:rFonts w:cs="Calibri" w:ascii="Calibri" w:hAnsi="Calibri"/>
          <w:szCs w:val="24"/>
          <w:vertAlign w:val="subscript"/>
          <w:lang w:val="en-AU"/>
        </w:rPr>
        <w:t>PEX</w:t>
      </w:r>
      <w:r>
        <w:rPr>
          <w:rFonts w:cs="Calibri" w:ascii="Calibri" w:hAnsi="Calibri"/>
          <w:szCs w:val="24"/>
          <w:lang w:val="en-AU"/>
        </w:rPr>
        <w:t xml:space="preserve"> cells were shown to repress genes of exhaustion and terminal differentiation such as those encoding Blimp1 and PD-1 </w:t>
      </w:r>
      <w:r>
        <w:fldChar w:fldCharType="begin"/>
      </w:r>
      <w:r>
        <w:rPr>
          <w:szCs w:val="24"/>
          <w:rFonts w:cs="Calibri" w:ascii="Calibri" w:hAnsi="Calibri"/>
        </w:rPr>
        <w:instrText>ADDIN EN.CITE &lt;EndNote&gt;&lt;Cite&gt;&lt;Author&gt;Shan&lt;/Author&gt;&lt;Year&gt;2020&lt;/Year&gt;&lt;RecNum&gt;73&lt;/RecNum&gt;&lt;DisplayText&gt;(82)&lt;/DisplayText&gt;&lt;record&gt;&lt;rec-number&gt;73&lt;/rec-number&gt;&lt;foreign-keys&gt;&lt;key app="EN" db-id="0svr029aax0d22erzzkprfpvefwawtzaazpa" timestamp="1596515704"&gt;73&lt;/key&gt;&lt;/foreign-keys&gt;&lt;ref-type name="Journal Article"&gt;17&lt;/ref-type&gt;&lt;contributors&gt;&lt;authors&gt;&lt;author&gt;Shan, Qiang&lt;/author&gt;&lt;author&gt;Hu, Sheng’en&lt;/author&gt;&lt;author&gt;Chen, Xia&lt;/author&gt;&lt;author&gt;Danahy, Derek B.&lt;/author&gt;&lt;author&gt;Badovinac, Vladimir P.&lt;/author&gt;&lt;author&gt;Zang, Chongzhi&lt;/author&gt;&lt;author&gt;Xue, Hai-Hui&lt;/author&gt;&lt;/authors&gt;&lt;/contributors&gt;&lt;titles&gt;&lt;title&gt;Ectopic Tcf1 expression instills a stem-like program in exhausted CD8+ T cells to enhance viral and tumor immunity&lt;/title&gt;&lt;secondary-title&gt;Cellular &amp;amp; Molecular Immunology&lt;/secondary-title&gt;&lt;/titles&gt;&lt;periodical&gt;&lt;full-title&gt;Cellular &amp;amp; Molecular Immunology&lt;/full-title&gt;&lt;/periodical&gt;&lt;dates&gt;&lt;year&gt;2020&lt;/year&gt;&lt;pub-dates&gt;&lt;date&gt;2020/04/27&lt;/date&gt;&lt;/pub-dates&gt;&lt;/dates&gt;&lt;isbn&gt;2042-0226&lt;/isbn&gt;&lt;urls&gt;&lt;related-urls&gt;&lt;url&gt;https://doi.org/10.1038/s41423-020-0436-5&lt;/url&gt;&lt;/related-urls&gt;&lt;/urls&gt;&lt;electronic-resource-num&gt;10.1038/s41423-020-0436-5&lt;/electronic-resource-num&gt;&lt;/record&gt;&lt;/Cite&gt;&lt;/EndNote&gt;</w:instrText>
      </w:r>
      <w:r>
        <w:rPr>
          <w:szCs w:val="24"/>
          <w:rFonts w:cs="Calibri" w:ascii="Calibri" w:hAnsi="Calibri"/>
        </w:rPr>
        <w:fldChar w:fldCharType="separate"/>
      </w:r>
      <w:bookmarkStart w:id="127" w:name="Bookmark127"/>
      <w:r>
        <w:rPr>
          <w:rFonts w:cs="Calibri" w:ascii="Calibri" w:hAnsi="Calibri"/>
          <w:szCs w:val="24"/>
          <w:lang w:val="en-AU"/>
        </w:rPr>
        <w:t>(82)</w:t>
      </w:r>
      <w:r>
        <w:rPr>
          <w:rFonts w:cs="Calibri" w:ascii="Calibri" w:hAnsi="Calibri"/>
          <w:szCs w:val="24"/>
          <w:lang w:val="en-AU"/>
        </w:rPr>
      </w:r>
      <w:r>
        <w:rPr>
          <w:szCs w:val="24"/>
          <w:rFonts w:cs="Calibri" w:ascii="Calibri" w:hAnsi="Calibri"/>
        </w:rPr>
        <w:fldChar w:fldCharType="end"/>
      </w:r>
      <w:bookmarkEnd w:id="127"/>
      <w:r>
        <w:rPr>
          <w:rFonts w:cs="Calibri" w:ascii="Calibri" w:hAnsi="Calibri"/>
          <w:szCs w:val="24"/>
          <w:lang w:val="en-AU"/>
        </w:rPr>
        <w:t>. However, as this study relied on naïve, transgenic T cells and a tumour antigen vaccine to mediate therapeutic and phenotypic effects, there is a need to investigate this approach in a more clinically translatable, adoptive transfer setting.</w:t>
      </w:r>
    </w:p>
    <w:p>
      <w:pPr>
        <w:pStyle w:val="Normal"/>
        <w:jc w:val="both"/>
        <w:rPr>
          <w:rFonts w:ascii="Calibri" w:hAnsi="Calibri" w:cs="Calibri"/>
          <w:szCs w:val="24"/>
          <w:lang w:val="en-AU"/>
        </w:rPr>
      </w:pPr>
      <w:r>
        <w:rPr>
          <w:rFonts w:cs="Calibri" w:ascii="Calibri" w:hAnsi="Calibri"/>
          <w:szCs w:val="24"/>
          <w:lang w:val="en-AU"/>
        </w:rPr>
      </w:r>
    </w:p>
    <w:p>
      <w:pPr>
        <w:pStyle w:val="Normal"/>
        <w:jc w:val="both"/>
        <w:rPr>
          <w:rFonts w:ascii="Calibri" w:hAnsi="Calibri" w:cs="Calibri"/>
          <w:b/>
          <w:b/>
          <w:bCs/>
          <w:szCs w:val="24"/>
          <w:lang w:val="en-AU"/>
        </w:rPr>
      </w:pPr>
      <w:r>
        <w:rPr>
          <w:rFonts w:cs="Calibri" w:ascii="Calibri" w:hAnsi="Calibri"/>
          <w:b/>
          <w:bCs/>
          <w:szCs w:val="24"/>
          <w:lang w:val="en-AU"/>
        </w:rPr>
        <w:t>5. Aims and hypothesis</w:t>
      </w:r>
    </w:p>
    <w:p>
      <w:pPr>
        <w:pStyle w:val="Normal"/>
        <w:jc w:val="both"/>
        <w:rPr>
          <w:rFonts w:ascii="Calibri" w:hAnsi="Calibri" w:cs="Calibri"/>
          <w:szCs w:val="24"/>
          <w:lang w:val="en-AU"/>
        </w:rPr>
      </w:pPr>
      <w:r>
        <w:rPr>
          <w:rFonts w:cs="Calibri" w:ascii="Calibri" w:hAnsi="Calibri"/>
          <w:szCs w:val="24"/>
          <w:lang w:val="en-AU"/>
        </w:rPr>
        <w:t>The overexpression of transcription factors associated with persistence or memory in CAR T cells or other adoptive transfer settings presents as an effective means to maintain less differentiated memory cell subsets for improved anti-tumour efficacy. Presently however, there are a number of transcription factor candidates that have yet to be studied including the aforementioned BCL-6, ID3 and FOXO1 that are associated with conventional memory and T</w:t>
        <w:softHyphen/>
      </w:r>
      <w:r>
        <w:rPr>
          <w:rFonts w:cs="Calibri" w:ascii="Calibri" w:hAnsi="Calibri"/>
          <w:szCs w:val="24"/>
          <w:vertAlign w:val="subscript"/>
          <w:lang w:val="en-AU"/>
        </w:rPr>
        <w:t xml:space="preserve">PEX </w:t>
      </w:r>
      <w:r>
        <w:rPr>
          <w:rFonts w:cs="Calibri" w:ascii="Calibri" w:hAnsi="Calibri"/>
          <w:szCs w:val="24"/>
          <w:lang w:val="en-AU"/>
        </w:rPr>
        <w:t>cells. Moreover, transcription factor candidates have yet to be compared to head to head in a CAR T cell setting to determine which confers the best therapeutic response. Therefore, my project intends to address this subject through the following aims and hypotheses:</w:t>
      </w:r>
    </w:p>
    <w:p>
      <w:pPr>
        <w:pStyle w:val="Normal"/>
        <w:jc w:val="both"/>
        <w:rPr>
          <w:rFonts w:ascii="Calibri" w:hAnsi="Calibri" w:cs="Calibri"/>
          <w:szCs w:val="24"/>
          <w:lang w:val="en-AU"/>
        </w:rPr>
      </w:pPr>
      <w:r>
        <w:rPr>
          <w:rFonts w:cs="Calibri" w:ascii="Calibri" w:hAnsi="Calibri"/>
          <w:szCs w:val="24"/>
          <w:lang w:val="en-AU"/>
        </w:rPr>
      </w:r>
    </w:p>
    <w:p>
      <w:pPr>
        <w:pStyle w:val="Annotationtext"/>
        <w:numPr>
          <w:ilvl w:val="0"/>
          <w:numId w:val="8"/>
        </w:numPr>
        <w:rPr>
          <w:sz w:val="24"/>
          <w:szCs w:val="24"/>
        </w:rPr>
      </w:pPr>
      <w:r>
        <w:rPr>
          <w:sz w:val="24"/>
          <w:szCs w:val="24"/>
        </w:rPr>
        <w:t>Establish the technology to overexpress transcription factors in murine CAR T cells</w:t>
      </w:r>
    </w:p>
    <w:p>
      <w:pPr>
        <w:pStyle w:val="Annotationtext"/>
        <w:numPr>
          <w:ilvl w:val="0"/>
          <w:numId w:val="8"/>
        </w:numPr>
        <w:rPr>
          <w:i/>
          <w:i/>
          <w:iCs/>
          <w:sz w:val="24"/>
          <w:szCs w:val="24"/>
        </w:rPr>
      </w:pPr>
      <w:r>
        <w:rPr>
          <w:sz w:val="24"/>
          <w:szCs w:val="24"/>
        </w:rPr>
        <w:t xml:space="preserve">Determine the optimal transcription factor-based strategy for enhancing CAR T cell persistence and effector function </w:t>
      </w:r>
      <w:r>
        <w:rPr>
          <w:i/>
          <w:iCs/>
          <w:sz w:val="24"/>
          <w:szCs w:val="24"/>
        </w:rPr>
        <w:t>in vitro</w:t>
      </w:r>
      <w:r>
        <w:rPr>
          <w:sz w:val="24"/>
          <w:szCs w:val="24"/>
        </w:rPr>
        <w:t xml:space="preserve"> and </w:t>
      </w:r>
      <w:r>
        <w:rPr>
          <w:i/>
          <w:iCs/>
          <w:sz w:val="24"/>
          <w:szCs w:val="24"/>
        </w:rPr>
        <w:t>in vivo</w:t>
      </w:r>
      <w:r>
        <w:rPr>
          <w:sz w:val="24"/>
          <w:szCs w:val="24"/>
        </w:rPr>
        <w:t xml:space="preserve"> solid tumour settings</w:t>
      </w:r>
    </w:p>
    <w:p>
      <w:pPr>
        <w:pStyle w:val="Annotationtext"/>
        <w:numPr>
          <w:ilvl w:val="0"/>
          <w:numId w:val="8"/>
        </w:numPr>
        <w:rPr>
          <w:sz w:val="24"/>
          <w:szCs w:val="24"/>
        </w:rPr>
      </w:pPr>
      <w:r>
        <w:rPr>
          <w:sz w:val="24"/>
          <w:szCs w:val="24"/>
        </w:rPr>
        <w:t>Explore the efficacy of transcription factor candidates in a human CAR T cell setting</w:t>
      </w:r>
    </w:p>
    <w:p>
      <w:pPr>
        <w:pStyle w:val="Annotationtext"/>
        <w:ind w:left="720" w:hanging="0"/>
        <w:rPr/>
      </w:pPr>
      <w:r>
        <w:rPr/>
      </w:r>
    </w:p>
    <w:p>
      <w:pPr>
        <w:pStyle w:val="Normal"/>
        <w:jc w:val="both"/>
        <w:rPr>
          <w:rFonts w:ascii="Calibri" w:hAnsi="Calibri" w:cs="Calibri"/>
          <w:szCs w:val="24"/>
          <w:lang w:val="en-AU"/>
        </w:rPr>
      </w:pPr>
      <w:r>
        <w:rPr>
          <w:rFonts w:cs="Calibri" w:ascii="Calibri" w:hAnsi="Calibri"/>
          <w:szCs w:val="24"/>
          <w:lang w:val="en-AU"/>
        </w:rPr>
        <w:t>We hypothesise that overexpression of transcription factor candidates associated with CD8</w:t>
      </w:r>
      <w:r>
        <w:rPr>
          <w:rFonts w:cs="Calibri" w:ascii="Calibri" w:hAnsi="Calibri"/>
          <w:szCs w:val="24"/>
          <w:vertAlign w:val="superscript"/>
          <w:lang w:val="en-AU"/>
        </w:rPr>
        <w:t>+</w:t>
      </w:r>
      <w:r>
        <w:rPr>
          <w:rFonts w:cs="Calibri" w:ascii="Calibri" w:hAnsi="Calibri"/>
          <w:szCs w:val="24"/>
          <w:lang w:val="en-AU"/>
        </w:rPr>
        <w:t xml:space="preserve"> T memory and T</w:t>
        <w:softHyphen/>
      </w:r>
      <w:r>
        <w:rPr>
          <w:rFonts w:cs="Calibri" w:ascii="Calibri" w:hAnsi="Calibri"/>
          <w:szCs w:val="24"/>
          <w:vertAlign w:val="subscript"/>
          <w:lang w:val="en-AU"/>
        </w:rPr>
        <w:t>PEX</w:t>
        <w:softHyphen/>
        <w:t xml:space="preserve"> </w:t>
      </w:r>
      <w:r>
        <w:rPr>
          <w:rFonts w:cs="Calibri" w:ascii="Calibri" w:hAnsi="Calibri"/>
          <w:szCs w:val="24"/>
          <w:lang w:val="en-AU"/>
        </w:rPr>
        <w:t xml:space="preserve">cells will </w:t>
      </w:r>
    </w:p>
    <w:p>
      <w:pPr>
        <w:pStyle w:val="ListParagraph"/>
        <w:numPr>
          <w:ilvl w:val="0"/>
          <w:numId w:val="7"/>
        </w:numPr>
        <w:rPr>
          <w:rFonts w:cs="Calibri"/>
          <w:lang w:val="en-AU"/>
        </w:rPr>
      </w:pPr>
      <w:r>
        <w:rPr>
          <w:rFonts w:cs="Calibri"/>
          <w:lang w:val="en-AU"/>
        </w:rPr>
        <w:t>Improve CAR T cell persistence in the solid tumour setting</w:t>
      </w:r>
    </w:p>
    <w:p>
      <w:pPr>
        <w:pStyle w:val="ListParagraph"/>
        <w:numPr>
          <w:ilvl w:val="0"/>
          <w:numId w:val="7"/>
        </w:numPr>
        <w:rPr>
          <w:rFonts w:cs="Calibri"/>
          <w:lang w:val="en-AU"/>
        </w:rPr>
      </w:pPr>
      <w:r>
        <w:rPr>
          <w:rFonts w:cs="Calibri"/>
          <w:lang w:val="en-AU"/>
        </w:rPr>
        <w:t>Increase CAR T cell resistance to dysfunction by antagonising exhaustion terminal differentiation pathways</w:t>
      </w:r>
    </w:p>
    <w:p>
      <w:pPr>
        <w:pStyle w:val="ListParagraph"/>
        <w:numPr>
          <w:ilvl w:val="0"/>
          <w:numId w:val="7"/>
        </w:numPr>
        <w:rPr>
          <w:rFonts w:cs="Calibri"/>
          <w:lang w:val="en-AU"/>
        </w:rPr>
      </w:pPr>
      <w:r>
        <w:rPr>
          <w:rFonts w:cs="Calibri"/>
          <w:lang w:val="en-AU"/>
        </w:rPr>
        <w:t>Improve CAR T cell anti-tumour efficacy</w:t>
      </w:r>
      <w:r>
        <w:br w:type="page"/>
      </w:r>
    </w:p>
    <w:p>
      <w:pPr>
        <w:pStyle w:val="ListParagraph"/>
        <w:ind w:left="0" w:hanging="0"/>
        <w:rPr>
          <w:rFonts w:cs="Calibri"/>
          <w:lang w:val="en-AU"/>
        </w:rPr>
      </w:pPr>
      <w:r>
        <w:rPr>
          <w:rFonts w:cs="Calibri"/>
          <w:b/>
          <w:bCs/>
          <w:lang w:val="en-AU"/>
        </w:rPr>
        <w:t>References</w:t>
      </w:r>
    </w:p>
    <w:p>
      <w:pPr>
        <w:pStyle w:val="EndNoteBibliography"/>
        <w:rPr/>
      </w:pPr>
      <w:r>
        <w:fldChar w:fldCharType="begin"/>
      </w:r>
      <w:r>
        <w:rPr/>
        <w:instrText>ADDIN EN.REFLIST</w:instrText>
      </w:r>
      <w:r>
        <w:rPr/>
        <w:fldChar w:fldCharType="separate"/>
      </w:r>
      <w:bookmarkStart w:id="128" w:name="Bookmark128"/>
      <w:r>
        <w:rPr/>
        <w:t>1.</w:t>
        <w:tab/>
        <w:t>Vesely MD, Kershaw MH, Schreiber RD, Smyth MJ. Natural innate and adaptive immunity to cancer. Annu Rev Immunol. 2011;29:235-71.</w:t>
      </w:r>
      <w:r>
        <w:rPr/>
      </w:r>
      <w:r>
        <w:rPr/>
        <w:fldChar w:fldCharType="end"/>
      </w:r>
      <w:bookmarkEnd w:id="128"/>
    </w:p>
    <w:p>
      <w:pPr>
        <w:pStyle w:val="EndNoteBibliography"/>
        <w:rPr/>
      </w:pPr>
      <w:r>
        <w:rPr/>
        <w:t>2.</w:t>
        <w:tab/>
        <w:t>McCarthy EF. The toxins of William B. Coley and the treatment of bone and soft-tissue sarcomas. Iowa Orthop J. 2006;26:154-8.</w:t>
      </w:r>
    </w:p>
    <w:p>
      <w:pPr>
        <w:pStyle w:val="EndNoteBibliography"/>
        <w:rPr/>
      </w:pPr>
      <w:r>
        <w:rPr/>
        <w:t>3.</w:t>
        <w:tab/>
        <w:t>Kaplan DH, Shankaran V, Dighe AS, Stockert E, Aguet M, Old LJ, et al. Demonstration of an interferon γ-dependent tumor surveillance system in immunocompetent mice. Proceedings of the National Academy of Sciences of the United States of America. 1998;95(13):7556-61.</w:t>
      </w:r>
    </w:p>
    <w:p>
      <w:pPr>
        <w:pStyle w:val="EndNoteBibliography"/>
        <w:rPr/>
      </w:pPr>
      <w:r>
        <w:rPr/>
        <w:t>4.</w:t>
        <w:tab/>
        <w:t>Shankaran V, Ikeda H, Bruce AT, White JM, Swanson PE, Old LJ, et al. IFNgamma and lymphocytes prevent primary tumour development and shape tumour immunogenicity. Nature. 2001;410(6832):1107-11.</w:t>
      </w:r>
    </w:p>
    <w:p>
      <w:pPr>
        <w:pStyle w:val="EndNoteBibliography"/>
        <w:rPr/>
      </w:pPr>
      <w:r>
        <w:rPr/>
        <w:t>5.</w:t>
        <w:tab/>
        <w:t>Kim R, Emi M, Tanabe K. Cancer immunoediting from immune surveillance to immune escape. Immunology. 2007;121(1):1-14.</w:t>
      </w:r>
    </w:p>
    <w:p>
      <w:pPr>
        <w:pStyle w:val="EndNoteBibliography"/>
        <w:rPr/>
      </w:pPr>
      <w:r>
        <w:rPr/>
        <w:t>6.</w:t>
        <w:tab/>
        <w:t>Long KB, Young RM, Boesteanu AC, Davis MM, Melenhorst JJ, Lacey SF, et al. CAR T Cell Therapy of Non-hematopoietic Malignancies: Detours on the Road to Clinical Success. Front Immunol. 2018;9:2740-.</w:t>
      </w:r>
    </w:p>
    <w:p>
      <w:pPr>
        <w:pStyle w:val="EndNoteBibliography"/>
        <w:rPr/>
      </w:pPr>
      <w:r>
        <w:rPr/>
        <w:t>7.</w:t>
        <w:tab/>
        <w:t>Maude SL, Frey N, Shaw PA, Aplenc R, Barrett DM, Bunin NJ, et al. Chimeric Antigen Receptor T Cells for Sustained Remissions in Leukemia. New England Journal of Medicine. 2014;371(16):1507-17.</w:t>
      </w:r>
    </w:p>
    <w:p>
      <w:pPr>
        <w:pStyle w:val="EndNoteBibliography"/>
        <w:rPr/>
      </w:pPr>
      <w:r>
        <w:rPr/>
        <w:t>8.</w:t>
        <w:tab/>
        <w:t>Yong CSM, Dardalhon V, Devaud C, Taylor N, Darcy PK, Kershaw MH. CAR T-cell therapy of solid tumors. Immunology &amp; Cell Biology. 2017;95(4):356-63.</w:t>
      </w:r>
    </w:p>
    <w:p>
      <w:pPr>
        <w:pStyle w:val="EndNoteBibliography"/>
        <w:rPr/>
      </w:pPr>
      <w:r>
        <w:rPr/>
        <w:t>9.</w:t>
        <w:tab/>
        <w:t>Corrales L, Matson V, Flood B, Spranger S, Gajewski TF. Innate immune signaling and regulation in cancer immunotherapy. Cell Research. 2017;27(1):96-108.</w:t>
      </w:r>
    </w:p>
    <w:p>
      <w:pPr>
        <w:pStyle w:val="EndNoteBibliography"/>
        <w:rPr/>
      </w:pPr>
      <w:r>
        <w:rPr/>
        <w:t>10.</w:t>
        <w:tab/>
        <w:t>Akira S, Uematsu S, Takeuchi O. Pathogen Recognition and Innate Immunity. Cell. 2006;124(4):783-801.</w:t>
      </w:r>
    </w:p>
    <w:p>
      <w:pPr>
        <w:pStyle w:val="EndNoteBibliography"/>
        <w:rPr/>
      </w:pPr>
      <w:r>
        <w:rPr/>
        <w:t>11.</w:t>
        <w:tab/>
        <w:t>Pandolfi F, Altamura S, Frosali S, Conti P. Key Role of DAMP in Inflammation, Cancer, and Tissue Repair. Clinical Therapeutics. 2016;38(5):1017-28.</w:t>
      </w:r>
    </w:p>
    <w:p>
      <w:pPr>
        <w:pStyle w:val="EndNoteBibliography"/>
        <w:rPr/>
      </w:pPr>
      <w:r>
        <w:rPr/>
        <w:t>12.</w:t>
        <w:tab/>
        <w:t>Beutler B. Innate immunity: an overview. Molecular Immunology. 2004;40(12):845-59.</w:t>
      </w:r>
    </w:p>
    <w:p>
      <w:pPr>
        <w:pStyle w:val="EndNoteBibliography"/>
        <w:rPr/>
      </w:pPr>
      <w:r>
        <w:rPr/>
        <w:t>13.</w:t>
        <w:tab/>
        <w:t>Boehm T, Swann JB. Origin and Evolution of Adaptive Immunity. Annual Review of Animal Biosciences. 2014;2(1):259-83.</w:t>
      </w:r>
    </w:p>
    <w:p>
      <w:pPr>
        <w:pStyle w:val="EndNoteBibliography"/>
        <w:rPr/>
      </w:pPr>
      <w:r>
        <w:rPr/>
        <w:t>14.</w:t>
        <w:tab/>
        <w:t>Pancer Z, Cooper MD. THE EVOLUTION OF ADAPTIVE IMMUNITY. Annual Review of Immunology. 2006;24(1):497-518.</w:t>
      </w:r>
    </w:p>
    <w:p>
      <w:pPr>
        <w:pStyle w:val="EndNoteBibliography"/>
        <w:rPr/>
      </w:pPr>
      <w:r>
        <w:rPr/>
        <w:t>15.</w:t>
        <w:tab/>
        <w:t>Bonilla FA, Oettgen HC. Adaptive immunity. Journal of Allergy and Clinical Immunology. 2010;125(2):S33-S40.</w:t>
      </w:r>
    </w:p>
    <w:p>
      <w:pPr>
        <w:pStyle w:val="EndNoteBibliography"/>
        <w:rPr/>
      </w:pPr>
      <w:r>
        <w:rPr/>
        <w:t>16.</w:t>
        <w:tab/>
        <w:t>Dustin ML. The Cellular Context of T Cell Signaling. Immunity. 2009;30(4):482-92.</w:t>
      </w:r>
    </w:p>
    <w:p>
      <w:pPr>
        <w:pStyle w:val="EndNoteBibliography"/>
        <w:rPr/>
      </w:pPr>
      <w:r>
        <w:rPr/>
        <w:t>17.</w:t>
        <w:tab/>
        <w:t>Zhu J, Paul WE. CD4 T cells: fates, functions, and faults. Blood. 2008;112(5):1557-69.</w:t>
      </w:r>
    </w:p>
    <w:p>
      <w:pPr>
        <w:pStyle w:val="EndNoteBibliography"/>
        <w:rPr/>
      </w:pPr>
      <w:r>
        <w:rPr/>
        <w:t>18.</w:t>
        <w:tab/>
        <w:t>Tanaka A, Sakaguchi S. Regulatory T cells in cancer immunotherapy. Cell Research. 2017;27(1):109-18.</w:t>
      </w:r>
    </w:p>
    <w:p>
      <w:pPr>
        <w:pStyle w:val="EndNoteBibliography"/>
        <w:rPr/>
      </w:pPr>
      <w:r>
        <w:rPr/>
        <w:t>19.</w:t>
        <w:tab/>
        <w:t>Andersen MH, Schrama D, thor Straten P, Becker JC. Cytotoxic T Cells. Journal of Investigative Dermatology. 2006;126(1):32-41.</w:t>
      </w:r>
    </w:p>
    <w:p>
      <w:pPr>
        <w:pStyle w:val="EndNoteBibliography"/>
        <w:rPr/>
      </w:pPr>
      <w:r>
        <w:rPr/>
        <w:t>20.</w:t>
        <w:tab/>
        <w:t>Brincks EL, Katewa A, Kucaba TA, Griffith TS, Legge KL. CD8 T cells utilize TRAIL to control influenza virus infection. J Immunol. 2008;181(7):4918-25.</w:t>
      </w:r>
    </w:p>
    <w:p>
      <w:pPr>
        <w:pStyle w:val="EndNoteBibliography"/>
        <w:rPr/>
      </w:pPr>
      <w:r>
        <w:rPr/>
        <w:t>21.</w:t>
        <w:tab/>
        <w:t>Wei SC, Duffy CR, Allison JP. Fundamental Mechanisms of Immune Checkpoint Blockade Therapy. Cancer Discovery. 2018;8(9):1069-86.</w:t>
      </w:r>
    </w:p>
    <w:p>
      <w:pPr>
        <w:pStyle w:val="EndNoteBibliography"/>
        <w:rPr/>
      </w:pPr>
      <w:r>
        <w:rPr/>
        <w:t>22.</w:t>
        <w:tab/>
        <w:t>Gattinoni L, Lugli E, Ji Y, Pos Z, Paulos CM, Quigley MF, et al. A human memory T cell subset with stem cell-like properties. Nat Med. 2011;17(10):1290-7.</w:t>
      </w:r>
    </w:p>
    <w:p>
      <w:pPr>
        <w:pStyle w:val="EndNoteBibliography"/>
        <w:rPr/>
      </w:pPr>
      <w:r>
        <w:rPr/>
        <w:t>23.</w:t>
        <w:tab/>
        <w:t>Sallusto F, Lenig D, Förster R, Lipp M, Lanzavecchia A. Two subsets of memory T lymphocytes with distinct homing potentials and effector functions. Nature. 1999;401(6754):708-12.</w:t>
      </w:r>
    </w:p>
    <w:p>
      <w:pPr>
        <w:pStyle w:val="EndNoteBibliography"/>
        <w:rPr/>
      </w:pPr>
      <w:r>
        <w:rPr/>
        <w:t>24.</w:t>
        <w:tab/>
        <w:t>Gattinoni L, Speiser DE, Lichterfeld M, Bonini C. T memory stem cells in health and disease. Nature medicine. 2017;23(1):18-27.</w:t>
      </w:r>
    </w:p>
    <w:p>
      <w:pPr>
        <w:pStyle w:val="EndNoteBibliography"/>
        <w:rPr/>
      </w:pPr>
      <w:r>
        <w:rPr/>
        <w:t>25.</w:t>
        <w:tab/>
        <w:t>Graef P, Buchholz Veit R, Stemberger C, Flossdorf M, Henkel L, Schiemann M, et al. Serial Transfer of Single-Cell-Derived Immunocompetence Reveals Stemness of CD8+ Central Memory T Cells. Immunity. 2014;41(1):116-26.</w:t>
      </w:r>
    </w:p>
    <w:p>
      <w:pPr>
        <w:pStyle w:val="EndNoteBibliography"/>
        <w:rPr/>
      </w:pPr>
      <w:r>
        <w:rPr/>
        <w:t>26.</w:t>
        <w:tab/>
        <w:t>Cieri N, Camisa B, Cocchiarella F, Forcato M, Oliveira G, Provasi E, et al. IL-7 and IL-15 instruct the generation of human memory stem T cells from naive precursors. Blood. 2013;121(4):573-84.</w:t>
      </w:r>
    </w:p>
    <w:p>
      <w:pPr>
        <w:pStyle w:val="EndNoteBibliography"/>
        <w:rPr/>
      </w:pPr>
      <w:r>
        <w:rPr/>
        <w:t>27.</w:t>
        <w:tab/>
        <w:t>Kaech SM, Cui W. Transcriptional control of effector and memory CD8+ T cell differentiation. Nature Reviews Immunology. 2012;12(11):749-61.</w:t>
      </w:r>
    </w:p>
    <w:p>
      <w:pPr>
        <w:pStyle w:val="EndNoteBibliography"/>
        <w:rPr/>
      </w:pPr>
      <w:r>
        <w:rPr/>
        <w:t>28.</w:t>
        <w:tab/>
        <w:t>Cieri N, Oliveira G, Greco R, Forcato M, Taccioli C, Cianciotti B, et al. Generation of human memory stem T cells after haploidentical T-replete hematopoietic stem cell transplantation. Blood. 2015;125(18):2865-74.</w:t>
      </w:r>
    </w:p>
    <w:p>
      <w:pPr>
        <w:pStyle w:val="EndNoteBibliography"/>
        <w:rPr/>
      </w:pPr>
      <w:r>
        <w:rPr/>
        <w:t>29.</w:t>
        <w:tab/>
        <w:t>Oliveira G, Ruggiero E, Stanghellini MT, Cieri N, D'Agostino M, Fronza R, et al. Tracking genetically engineered lymphocytes long-term reveals the dynamics of T cell immunological memory. Sci Transl Med. 2015;7(317):317ra198.</w:t>
      </w:r>
    </w:p>
    <w:p>
      <w:pPr>
        <w:pStyle w:val="EndNoteBibliography"/>
        <w:rPr/>
      </w:pPr>
      <w:r>
        <w:rPr/>
        <w:t>30.</w:t>
        <w:tab/>
        <w:t>Biasco L, Scala S, Basso Ricci L, Dionisio F, Baricordi C, Calabria A, et al. In vivo tracking of T cells in humans unveils decade-long survival and activity of genetically modified T memory stem cells. Sci Transl Med. 2015;7(273):273ra13.</w:t>
      </w:r>
    </w:p>
    <w:p>
      <w:pPr>
        <w:pStyle w:val="EndNoteBibliography"/>
        <w:rPr/>
      </w:pPr>
      <w:r>
        <w:rPr/>
        <w:t>31.</w:t>
        <w:tab/>
        <w:t>Kuchroo VK, Anderson AC, Petrovas C. Coinhibitory receptors and CD8 T cell exhaustion in chronic infections. Curr Opin HIV AIDS. 2014;9(5):439-45.</w:t>
      </w:r>
    </w:p>
    <w:p>
      <w:pPr>
        <w:pStyle w:val="EndNoteBibliography"/>
        <w:rPr/>
      </w:pPr>
      <w:r>
        <w:rPr/>
        <w:t>32.</w:t>
        <w:tab/>
        <w:t>Baitsch L, Baumgaertner P, Devêvre E, Raghav SK, Legat A, Barba L, et al. Exhaustion of tumor-specific CD8⁺ T cells in metastases from melanoma patients. J Clin Invest. 2011;121(6):2350-60.</w:t>
      </w:r>
    </w:p>
    <w:p>
      <w:pPr>
        <w:pStyle w:val="EndNoteBibliography"/>
        <w:rPr/>
      </w:pPr>
      <w:r>
        <w:rPr/>
        <w:t>33.</w:t>
        <w:tab/>
        <w:t>Rabinovich GA, Gabrilovich D, Sotomayor EM. IMMUNOSUPPRESSIVE STRATEGIES THAT ARE MEDIATED BY TUMOR CELLS. Annual review of immunology. 2007;25:267-96.</w:t>
      </w:r>
    </w:p>
    <w:p>
      <w:pPr>
        <w:pStyle w:val="EndNoteBibliography"/>
        <w:rPr/>
      </w:pPr>
      <w:r>
        <w:rPr/>
        <w:t>34.</w:t>
        <w:tab/>
        <w:t>Iwai Y, Ishida M, Tanaka Y, Okazaki T, Honjo T, Minato N. Involvement of PD-L1 on tumor cells in the escape from host immune system and tumor immunotherapy by PD-L1 blockade. Proceedings of the National Academy of Sciences of the United States of America. 2002;99(19):12293-7.</w:t>
      </w:r>
    </w:p>
    <w:p>
      <w:pPr>
        <w:pStyle w:val="EndNoteBibliography"/>
        <w:rPr/>
      </w:pPr>
      <w:r>
        <w:rPr/>
        <w:t>35.</w:t>
        <w:tab/>
        <w:t>Davoodzadeh Gholami M, kardar GA, Saeedi Y, Heydari S, Garssen J, Falak R. Exhaustion of T lymphocytes in the tumor microenvironment: Significance and effective mechanisms. Cellular Immunology. 2017;322:1-14.</w:t>
      </w:r>
    </w:p>
    <w:p>
      <w:pPr>
        <w:pStyle w:val="EndNoteBibliography"/>
        <w:rPr/>
      </w:pPr>
      <w:r>
        <w:rPr/>
        <w:t>36.</w:t>
        <w:tab/>
        <w:t>Chang C-H, Qiu J, O’Sullivan D, Buck Michael D, Noguchi T, Curtis Jonathan D, et al. Metabolic Competition in the Tumor Microenvironment Is a Driver of Cancer Progression. Cell. 2015;162(6):1229-41.</w:t>
      </w:r>
    </w:p>
    <w:p>
      <w:pPr>
        <w:pStyle w:val="EndNoteBibliography"/>
        <w:rPr/>
      </w:pPr>
      <w:r>
        <w:rPr/>
        <w:t>37.</w:t>
        <w:tab/>
        <w:t>Wang C, Singer M, Anderson AC. Molecular Dissection of CD8(+) T-Cell Dysfunction. Trends Immunol. 2017;38(8):567-76.</w:t>
      </w:r>
    </w:p>
    <w:p>
      <w:pPr>
        <w:pStyle w:val="EndNoteBibliography"/>
        <w:rPr/>
      </w:pPr>
      <w:r>
        <w:rPr/>
        <w:t>38.</w:t>
        <w:tab/>
        <w:t>Liu X, Wang Y, Lu H, Li J, Yan X, Xiao M, et al. Genome-wide analysis identifies NR4A1 as a key mediator of T cell dysfunction. Nature. 2019;567(7749):525-9.</w:t>
      </w:r>
    </w:p>
    <w:p>
      <w:pPr>
        <w:pStyle w:val="EndNoteBibliography"/>
        <w:rPr/>
      </w:pPr>
      <w:r>
        <w:rPr/>
        <w:t>39.</w:t>
        <w:tab/>
        <w:t>McLane LM, Abdel-Hakeem MS, Wherry EJ. CD8 T Cell Exhaustion During Chronic Viral Infection and Cancer. Annual Review of Immunology. 2015;37(1):457-95.</w:t>
      </w:r>
    </w:p>
    <w:p>
      <w:pPr>
        <w:pStyle w:val="EndNoteBibliography"/>
        <w:rPr/>
      </w:pPr>
      <w:r>
        <w:rPr/>
        <w:t>40.</w:t>
        <w:tab/>
        <w:t>Martinez GJ, Pereira RM, Äijö T, Kim EY, Marangoni F, Pipkin ME, et al. The transcription factor NFAT promotes exhaustion of activated CD8⁺ T cells. Immunity. 2015;42(2):265-78.</w:t>
      </w:r>
    </w:p>
    <w:p>
      <w:pPr>
        <w:pStyle w:val="EndNoteBibliography"/>
        <w:rPr/>
      </w:pPr>
      <w:r>
        <w:rPr/>
        <w:t>41.</w:t>
        <w:tab/>
        <w:t>Yang R, Cheng S, Luo N, Gao R, Yu K, Kang B, et al. Distinct epigenetic features of tumor-reactive CD8+ T cells in colorectal cancer patients revealed by genome-wide DNA methylation analysis. Genome Biology. 2019;21(1):2.</w:t>
      </w:r>
    </w:p>
    <w:p>
      <w:pPr>
        <w:pStyle w:val="EndNoteBibliography"/>
        <w:rPr/>
      </w:pPr>
      <w:r>
        <w:rPr/>
        <w:t>42.</w:t>
        <w:tab/>
        <w:t>Scharping NE, Menk AV, Moreci RS, Whetstone RD, Dadey RE, Watkins SC, et al. The Tumor Microenvironment Represses T Cell Mitochondrial Biogenesis to Drive Intratumoral T Cell Metabolic Insufficiency and Dysfunction. Immunity. 2016;45(2):374-88.</w:t>
      </w:r>
    </w:p>
    <w:p>
      <w:pPr>
        <w:pStyle w:val="EndNoteBibliography"/>
        <w:rPr/>
      </w:pPr>
      <w:r>
        <w:rPr/>
        <w:t>43.</w:t>
        <w:tab/>
        <w:t>Parry RV, Chemnitz JM, Frauwirth KA, Lanfranco AR, Braunstein I, Kobayashi SV, et al. CTLA-4 and PD-1 receptors inhibit T-cell activation by distinct mechanisms. Molecular and cellular biology. 2005;25(21):9543-53.</w:t>
      </w:r>
    </w:p>
    <w:p>
      <w:pPr>
        <w:pStyle w:val="EndNoteBibliography"/>
        <w:rPr/>
      </w:pPr>
      <w:r>
        <w:rPr/>
        <w:t>44.</w:t>
        <w:tab/>
        <w:t>Patsoukis N, Bardhan K, Chatterjee P, Sari D, Liu B, Bell LN, et al. PD-1 alters T-cell metabolic reprogramming by inhibiting glycolysis and promoting lipolysis and fatty acid oxidation. Nature communications. 2015;6(1):1-13.</w:t>
      </w:r>
    </w:p>
    <w:p>
      <w:pPr>
        <w:pStyle w:val="EndNoteBibliography"/>
        <w:rPr/>
      </w:pPr>
      <w:r>
        <w:rPr/>
        <w:t>45.</w:t>
        <w:tab/>
        <w:t>Wherry EJ. T cell exhaustion. Nature Immunology. 2011;12(6):492-9.</w:t>
      </w:r>
    </w:p>
    <w:p>
      <w:pPr>
        <w:pStyle w:val="EndNoteBibliography"/>
        <w:rPr/>
      </w:pPr>
      <w:r>
        <w:rPr/>
        <w:t>46.</w:t>
        <w:tab/>
        <w:t>Kallies A, Zehn D, Utzschneider DT. Precursor exhausted T cells: key to successful immunotherapy? Nature Reviews Immunology. 2020;20(2):128-36.</w:t>
      </w:r>
    </w:p>
    <w:p>
      <w:pPr>
        <w:pStyle w:val="EndNoteBibliography"/>
        <w:rPr/>
      </w:pPr>
      <w:r>
        <w:rPr/>
        <w:t>47.</w:t>
        <w:tab/>
        <w:t>Utzschneider DT, Charmoy M, Chennupati V, Pousse L, Ferreira DP, Calderon-Copete S, et al. T Cell Factor 1-Expressing Memory-like CD8+T Cells Sustain the Immune Response to Chronic Viral Infections. Immunity. 2016;45(2):415-27.</w:t>
      </w:r>
    </w:p>
    <w:p>
      <w:pPr>
        <w:pStyle w:val="EndNoteBibliography"/>
        <w:rPr/>
      </w:pPr>
      <w:r>
        <w:rPr/>
        <w:t>48.</w:t>
        <w:tab/>
        <w:t>Im SJ, Hashimoto M, Gerner MY, Lee J, Kissick HT, Burger MC, et al. Defining CD8+ T cells that provide the proliferative burst after PD-1 therapy. Nature. 2016;537(7620):417-21.</w:t>
      </w:r>
    </w:p>
    <w:p>
      <w:pPr>
        <w:pStyle w:val="EndNoteBibliography"/>
        <w:rPr/>
      </w:pPr>
      <w:r>
        <w:rPr/>
        <w:t>49.</w:t>
        <w:tab/>
        <w:t>Miller BC, Sen DR, Al Abosy R, Bi K, Virkud YV, LaFleur MW, et al. Subsets of exhausted CD8+ T cells differentially mediate tumor control and respond to checkpoint blockade. Nature Immunology. 2019;20(3):326-36.</w:t>
      </w:r>
    </w:p>
    <w:p>
      <w:pPr>
        <w:pStyle w:val="EndNoteBibliography"/>
        <w:rPr/>
      </w:pPr>
      <w:r>
        <w:rPr/>
        <w:t>50.</w:t>
        <w:tab/>
        <w:t>Siddiqui I, Schaeuble K, Chennupati V, Fuertes Marraco SA, Calderon-Copete S, Pais Ferreira D, et al. Intratumoral Tcf1+PD-1+CD8+ Cells with Stem-like Properties Promote Tumor Control in Response to Vaccination and Checkpoint Blockade Immunotherapy. Immunity. 2019;50(1):195-211.e10.</w:t>
      </w:r>
    </w:p>
    <w:p>
      <w:pPr>
        <w:pStyle w:val="EndNoteBibliography"/>
        <w:rPr/>
      </w:pPr>
      <w:r>
        <w:rPr/>
        <w:t>51.</w:t>
        <w:tab/>
        <w:t>Sade-Feldman M, Yizhak K, Bjorgaard SL, Ray JP, de Boer CG, Jenkins RW, et al. Defining T Cell States Associated with Response to Checkpoint Immunotherapy in Melanoma. Cell. 2018;175(4):998-1013.e20.</w:t>
      </w:r>
    </w:p>
    <w:p>
      <w:pPr>
        <w:pStyle w:val="EndNoteBibliography"/>
        <w:rPr/>
      </w:pPr>
      <w:r>
        <w:rPr/>
        <w:t>52.</w:t>
        <w:tab/>
        <w:t>Rosenberg SA, Yang JC, Sherry RM, Kammula US, Hughes MS, Phan GQ, et al. Durable complete responses in heavily pretreated patients with metastatic melanoma using T-cell transfer immunotherapy. Clinical cancer research : an official journal of the American Association for Cancer Research. 2011;17(13):4550-7.</w:t>
      </w:r>
    </w:p>
    <w:p>
      <w:pPr>
        <w:pStyle w:val="EndNoteBibliography"/>
        <w:rPr/>
      </w:pPr>
      <w:r>
        <w:rPr/>
        <w:t>53.</w:t>
        <w:tab/>
        <w:t>Stevanovic S, Draper LM, Langhan MM, Campbell TE, Kwong ML, Wunderlich JR, et al. Complete regression of metastatic cervical cancer after treatment with human papillomavirus-targeted tumor-infiltrating T cells. J Clin Oncol. 2015;33(14):1543-50.</w:t>
      </w:r>
    </w:p>
    <w:p>
      <w:pPr>
        <w:pStyle w:val="EndNoteBibliography"/>
        <w:rPr/>
      </w:pPr>
      <w:r>
        <w:rPr/>
        <w:t>54.</w:t>
        <w:tab/>
        <w:t>Baxevanis CN, Dedoussis GV, Papadopoulos NG, Missitzis I, Stathopoulos GP, Papamichail M. Tumor specific cytolysis by tumor infiltrating lymphocytes in breast cancer. Cancer. 1994;74(4):1275-82.</w:t>
      </w:r>
    </w:p>
    <w:p>
      <w:pPr>
        <w:pStyle w:val="EndNoteBibliography"/>
        <w:rPr/>
      </w:pPr>
      <w:r>
        <w:rPr/>
        <w:t>55.</w:t>
        <w:tab/>
        <w:t>Figlin RA, Pierce WC, Kaboo R, Tso CL, Moldawer N, Gitlitz B, et al. Treatment of metastatic renal cell carcinoma with nephrectomy, interleukin-2 and cytokine-primed or CD8(+) selected tumor infiltrating lymphocytes from primary tumor. J Urol. 1997;158(3 Pt 1):740-5.</w:t>
      </w:r>
    </w:p>
    <w:p>
      <w:pPr>
        <w:pStyle w:val="EndNoteBibliography"/>
        <w:rPr/>
      </w:pPr>
      <w:r>
        <w:rPr/>
        <w:t>56.</w:t>
        <w:tab/>
        <w:t>Ben-Avi R, Farhi R, Ben-Nun A, Gorodner M, Greenberg E, Markel G, et al. Establishment of adoptive cell therapy with tumor infiltrating lymphocytes for non-small cell lung cancer patients. Cancer Immunol Immunother. 2018;67(8):1221-30.</w:t>
      </w:r>
    </w:p>
    <w:p>
      <w:pPr>
        <w:pStyle w:val="EndNoteBibliography"/>
        <w:rPr/>
      </w:pPr>
      <w:r>
        <w:rPr/>
        <w:t>57.</w:t>
        <w:tab/>
        <w:t>Kershaw MH, Westwood JA, Darcy PK. Gene-engineered T cells for cancer therapy. Nature Reviews Cancer. 2013;13(8):525-41.</w:t>
      </w:r>
    </w:p>
    <w:p>
      <w:pPr>
        <w:pStyle w:val="EndNoteBibliography"/>
        <w:rPr/>
      </w:pPr>
      <w:r>
        <w:rPr/>
        <w:t>58.</w:t>
        <w:tab/>
        <w:t>Ando M, Ito M, Srirat T, Kondo T, Yoshimura A. Memory T cell, exhaustion, and tumor immunity. Immunological Medicine. 2020;43(1):1-9.</w:t>
      </w:r>
    </w:p>
    <w:p>
      <w:pPr>
        <w:pStyle w:val="EndNoteBibliography"/>
        <w:rPr/>
      </w:pPr>
      <w:r>
        <w:rPr/>
        <w:t>59.</w:t>
        <w:tab/>
        <w:t>Xu Y, Zhang M, Ramos CA, Durett A, Liu E, Dakhova O, et al. Closely related T-memory stem cells correlate with in vivo expansion of CAR.CD19-T cells and are preserved by IL-7 and IL-15. Blood. 2014;123(24):3750-9.</w:t>
      </w:r>
    </w:p>
    <w:p>
      <w:pPr>
        <w:pStyle w:val="EndNoteBibliography"/>
        <w:rPr/>
      </w:pPr>
      <w:r>
        <w:rPr/>
        <w:t>60.</w:t>
        <w:tab/>
        <w:t>Gattinoni L, Lugli E, Ji Y, Pos Z, Paulos CM, Quigley MF, et al. A human memory T cell subset with stem cell-like properties. Nature medicine. 2011;17(10):1290-7.</w:t>
      </w:r>
    </w:p>
    <w:p>
      <w:pPr>
        <w:pStyle w:val="EndNoteBibliography"/>
        <w:rPr/>
      </w:pPr>
      <w:r>
        <w:rPr/>
        <w:t>61.</w:t>
        <w:tab/>
        <w:t>Klebanoff CA, Gattinoni L, Torabi-Parizi P, Kerstann K, Cardones AR, Finkelstein SE, et al. Central memory self/tumor-reactive CD8+ T cells confer superior antitumor immunity compared with effector memory T cells. Proc Natl Acad Sci U S A. 2005;102(27):9571-6.</w:t>
      </w:r>
    </w:p>
    <w:p>
      <w:pPr>
        <w:pStyle w:val="EndNoteBibliography"/>
        <w:rPr/>
      </w:pPr>
      <w:r>
        <w:rPr/>
        <w:t>62.</w:t>
        <w:tab/>
        <w:t>Hinrichs CS, Borman ZA, Cassard L, Gattinoni L, Spolski R, Yu Z, et al. Adoptively transferred effector cells derived from naive rather than central memory CD8+ T cells mediate superior antitumor immunity. Proc Natl Acad Sci U S A. 2009;106(41):17469-74.</w:t>
      </w:r>
    </w:p>
    <w:p>
      <w:pPr>
        <w:pStyle w:val="EndNoteBibliography"/>
        <w:rPr/>
      </w:pPr>
      <w:r>
        <w:rPr/>
        <w:t>63.</w:t>
        <w:tab/>
        <w:t>Fraietta JA, Lacey SF, Orlando EJ, Pruteanu-Malinici I, Gohil M, Lundh S, et al. Determinants of response and resistance to CD19 chimeric antigen receptor (CAR) T cell therapy of chronic lymphocytic leukemia. Nat Med. 2018;24(5):563-71.</w:t>
      </w:r>
    </w:p>
    <w:p>
      <w:pPr>
        <w:pStyle w:val="EndNoteBibliography"/>
        <w:rPr/>
      </w:pPr>
      <w:r>
        <w:rPr/>
        <w:t>64.</w:t>
        <w:tab/>
        <w:t>Fraietta JA, Nobles CL, Sammons MA, Lundh S, Carty SA, Reich TJ, et al. Disruption of TET2 promotes the therapeutic efficacy of CD19-targeted T cells. Nature. 2018;558(7709):307-12.</w:t>
      </w:r>
    </w:p>
    <w:p>
      <w:pPr>
        <w:pStyle w:val="EndNoteBibliography"/>
        <w:rPr/>
      </w:pPr>
      <w:r>
        <w:rPr/>
        <w:t>65.</w:t>
        <w:tab/>
        <w:t>Gong W, Hoffmann J-M, Stock S, Wang L, Liu Y, Schubert M-L, et al. Comparison of IL-2 vs IL-7/IL-15 for the generation of NY-ESO-1-specific T cells. Cancer Immunology, Immunotherapy. 2019;68(7):1195-209.</w:t>
      </w:r>
    </w:p>
    <w:p>
      <w:pPr>
        <w:pStyle w:val="EndNoteBibliography"/>
        <w:rPr/>
      </w:pPr>
      <w:r>
        <w:rPr/>
        <w:t>66.</w:t>
        <w:tab/>
        <w:t>Gargett T, Brown MP. Different cytokine and stimulation conditions influence the expansion and immune phenotype of third-generation chimeric antigen receptor T cells specific for tumor antigen GD2. Cytotherapy. 2015;17(4):487-95.</w:t>
      </w:r>
    </w:p>
    <w:p>
      <w:pPr>
        <w:pStyle w:val="EndNoteBibliography"/>
        <w:rPr/>
      </w:pPr>
      <w:r>
        <w:rPr/>
        <w:t>67.</w:t>
        <w:tab/>
        <w:t>Ghassemi S, Bedoya F, Nunez-Cruz S, June C, Melenhorst J, Milone M. 203. Shortened T Cell Culture with IL-7 and IL-15 Provides the Most Potent Chimeric Antigen Receptor (CAR)-Modified T Cells for Adoptive Immunotherapy. Molecular Therapy. 2016;24:S79.</w:t>
      </w:r>
    </w:p>
    <w:p>
      <w:pPr>
        <w:pStyle w:val="EndNoteBibliography"/>
        <w:rPr/>
      </w:pPr>
      <w:r>
        <w:rPr/>
        <w:t>68.</w:t>
        <w:tab/>
        <w:t>Cha E, Graham L, Manjili MH, Bear HD. IL-7 + IL-15 are superior to IL-2 for the ex vivo expansion of 4T1 mammary carcinoma-specific T cells with greater efficacy against tumors in vivo. Breast Cancer Research and Treatment. 2010;122(2):359-69.</w:t>
      </w:r>
    </w:p>
    <w:p>
      <w:pPr>
        <w:pStyle w:val="EndNoteBibliography"/>
        <w:rPr/>
      </w:pPr>
      <w:r>
        <w:rPr/>
        <w:t>69.</w:t>
        <w:tab/>
        <w:t>Bowers JS, Majchrzak K, Nelson MH, Aksoy BA, Wyatt MM, Smith AS, et al. PI3Kδ Inhibition Enhances the Antitumor Fitness of Adoptively Transferred CD8(+) T Cells. Frontiers in immunology. 2017;8:1221-.</w:t>
      </w:r>
    </w:p>
    <w:p>
      <w:pPr>
        <w:pStyle w:val="EndNoteBibliography"/>
        <w:rPr/>
      </w:pPr>
      <w:r>
        <w:rPr/>
        <w:t>70.</w:t>
        <w:tab/>
        <w:t>Abu Eid R, Ahmad S, Lin Y, Webb M, Berrong Z, Shrimali R, et al. Enhanced Therapeutic Efficacy and Memory of Tumor-Specific CD8 T Cells by &lt;em&gt;Ex Vivo&lt;/em&gt; PI3K-δ Inhibition. Cancer Research. 2017;77(15):4135-45.</w:t>
      </w:r>
    </w:p>
    <w:p>
      <w:pPr>
        <w:pStyle w:val="EndNoteBibliography"/>
        <w:rPr/>
      </w:pPr>
      <w:r>
        <w:rPr/>
        <w:t>71.</w:t>
        <w:tab/>
        <w:t>Klebanoff CA, Crompton JG, Leonardi AJ, Yamamoto TN, Chandran SS, Eil RL, et al. Inhibition of AKT signaling uncouples T cell differentiation from expansion for receptor-engineered adoptive immunotherapy. JCI Insight. 2017;2(23).</w:t>
      </w:r>
    </w:p>
    <w:p>
      <w:pPr>
        <w:pStyle w:val="EndNoteBibliography"/>
        <w:rPr/>
      </w:pPr>
      <w:r>
        <w:rPr/>
        <w:t>72.</w:t>
        <w:tab/>
        <w:t>Mousset CM, Hobo W, Ji Y, Fredrix H, De Giorgi V, Allison RD, et al. Ex vivo AKT-inhibition facilitates generation of polyfunctional stem cell memory-like CD8+ T cells for adoptive immunotherapy. OncoImmunology. 2018;7(10):e1488565.</w:t>
      </w:r>
    </w:p>
    <w:p>
      <w:pPr>
        <w:pStyle w:val="EndNoteBibliography"/>
        <w:rPr/>
      </w:pPr>
      <w:r>
        <w:rPr/>
        <w:t>73.</w:t>
        <w:tab/>
        <w:t>Urak R, Walter M, Lim L, Wong CW, Budde LE, Thomas S, et al. Ex vivo Akt inhibition promotes the generation of potent CD19CAR T cells for adoptive immunotherapy. J Immunother Cancer. 2017;5(1):26.</w:t>
      </w:r>
    </w:p>
    <w:p>
      <w:pPr>
        <w:pStyle w:val="EndNoteBibliography"/>
        <w:rPr/>
      </w:pPr>
      <w:r>
        <w:rPr/>
        <w:t>74.</w:t>
        <w:tab/>
        <w:t>Muralidharan S, Hanley PJ, Liu E, Chakraborty R, Bollard C, Shpall E, et al. Activation of Wnt signaling arrests effector differentiation in human peripheral and cord blood-derived T lymphocytes. J Immunol. 2011;187(10):5221-32.</w:t>
      </w:r>
    </w:p>
    <w:p>
      <w:pPr>
        <w:pStyle w:val="EndNoteBibliography"/>
        <w:rPr/>
      </w:pPr>
      <w:r>
        <w:rPr/>
        <w:t>75.</w:t>
        <w:tab/>
        <w:t>Yan C, Chang J, Song X, Yan F, Yu W, An Y, et al. Memory stem T cells generated by Wnt signaling from blood of human renal clear cell carcinoma patients. Cancer Biol Med. 2019;16(1):109-24.</w:t>
      </w:r>
    </w:p>
    <w:p>
      <w:pPr>
        <w:pStyle w:val="EndNoteBibliography"/>
        <w:rPr/>
      </w:pPr>
      <w:r>
        <w:rPr/>
        <w:t>76.</w:t>
        <w:tab/>
        <w:t>Zhao D-M, Yu S, Zhou X, Haring JS, Held W, Badovinac VP, et al. Constitutive activation of Wnt signaling favors generation of memory CD8 T cells. J Immunol. 2010;184(3):1191-9.</w:t>
      </w:r>
    </w:p>
    <w:p>
      <w:pPr>
        <w:pStyle w:val="EndNoteBibliography"/>
        <w:rPr/>
      </w:pPr>
      <w:r>
        <w:rPr/>
        <w:t>77.</w:t>
        <w:tab/>
        <w:t>Yang CY, Best JA, Knell J, Yang E, Sheridan AD, Jesionek AK, et al. The transcriptional regulators Id2 and Id3 control the formation of distinct memory CD8+ T cell subsets. Nat Immunol. 2011;12(12):1221-9.</w:t>
      </w:r>
    </w:p>
    <w:p>
      <w:pPr>
        <w:pStyle w:val="EndNoteBibliography"/>
        <w:rPr/>
      </w:pPr>
      <w:r>
        <w:rPr/>
        <w:t>78.</w:t>
        <w:tab/>
        <w:t>Takemoto N, Intlekofer AM, Northrup JT, Wherry EJ, Reiner SL. Cutting Edge: IL-12 inversely regulates T-bet and eomesodermin expression during pathogen-induced CD8+ T cell differentiation. J Immunol. 2006;177(11):7515-9.</w:t>
      </w:r>
    </w:p>
    <w:p>
      <w:pPr>
        <w:pStyle w:val="EndNoteBibliography"/>
        <w:rPr/>
      </w:pPr>
      <w:r>
        <w:rPr/>
        <w:t>79.</w:t>
        <w:tab/>
        <w:t>Rutishauser RL, Martins GA, Kalachikov S, Chandele A, Parish IA, Meffre E, et al. Transcriptional Repressor Blimp-1 Promotes CD8&lt;sup&gt;+&lt;/sup&gt; T Cell Terminal Differentiation and Represses the Acquisition of Central Memory T Cell Properties. Immunity. 2009;31(2):296-308.</w:t>
      </w:r>
    </w:p>
    <w:p>
      <w:pPr>
        <w:pStyle w:val="EndNoteBibliography"/>
        <w:rPr/>
      </w:pPr>
      <w:r>
        <w:rPr/>
        <w:t>80.</w:t>
        <w:tab/>
        <w:t>Cui W, Liu Y, Weinstein JS, Craft J, Kaech SM. An interleukin-21-interleukin-10-STAT3 pathway is critical for functional maturation of memory CD8+ T cells. Immunity. 2011;35(5):792-805.</w:t>
      </w:r>
    </w:p>
    <w:p>
      <w:pPr>
        <w:pStyle w:val="EndNoteBibliography"/>
        <w:rPr/>
      </w:pPr>
      <w:r>
        <w:rPr/>
        <w:t>81.</w:t>
        <w:tab/>
        <w:t>Lynn RC, Weber EW, Sotillo E, Gennert D, Xu P, Good Z, et al. c-Jun overexpression in CAR T cells induces exhaustion resistance. Nature. 2019;576(7786):293-300.</w:t>
      </w:r>
    </w:p>
    <w:p>
      <w:pPr>
        <w:pStyle w:val="EndNoteBibliography"/>
        <w:rPr/>
      </w:pPr>
      <w:r>
        <w:rPr/>
        <w:t>82.</w:t>
        <w:tab/>
        <w:t>Shan Q, Hu Se, Chen X, Danahy DB, Badovinac VP, Zang C, et al. Ectopic Tcf1 expression instills a stem-like program in exhausted CD8+ T cells to enhance viral and tumor immunity. Cellular &amp; Molecular Immunology. 2020.</w:t>
      </w:r>
    </w:p>
    <w:p>
      <w:pPr>
        <w:pStyle w:val="Normal"/>
        <w:rPr>
          <w:rFonts w:ascii="Times New Roman" w:hAnsi="Times New Roman"/>
          <w:i/>
          <w:i/>
          <w:iCs/>
          <w:szCs w:val="24"/>
        </w:rPr>
      </w:pPr>
      <w:r>
        <w:rPr>
          <w:rFonts w:ascii="Times New Roman" w:hAnsi="Times New Roman"/>
          <w:i/>
          <w:iCs/>
          <w:szCs w:val="24"/>
        </w:rPr>
      </w:r>
    </w:p>
    <w:p>
      <w:pPr>
        <w:pStyle w:val="Normal"/>
        <w:rPr>
          <w:rFonts w:ascii="Calibri" w:hAnsi="Calibri" w:cs="Arial"/>
          <w:b/>
          <w:b/>
          <w:szCs w:val="24"/>
          <w:lang w:val="en-AU"/>
        </w:rPr>
      </w:pPr>
      <w:r>
        <w:rPr>
          <w:rFonts w:cs="Arial" w:ascii="Calibri" w:hAnsi="Calibri"/>
          <w:b/>
          <w:szCs w:val="24"/>
          <w:lang w:val="en-AU"/>
        </w:rPr>
      </w:r>
    </w:p>
    <w:p>
      <w:pPr>
        <w:pStyle w:val="PlainText"/>
        <w:spacing w:before="120" w:after="0"/>
        <w:rPr>
          <w:rFonts w:ascii="Calibri" w:hAnsi="Calibri" w:cs="Arial"/>
          <w:b/>
          <w:b/>
          <w:sz w:val="24"/>
          <w:szCs w:val="24"/>
          <w:lang w:val="en-AU"/>
        </w:rPr>
      </w:pPr>
      <w:r>
        <w:rPr>
          <w:rFonts w:cs="Arial" w:ascii="Calibri" w:hAnsi="Calibri"/>
          <w:b/>
          <w:sz w:val="24"/>
          <w:szCs w:val="24"/>
          <w:lang w:val="en-AU"/>
        </w:rPr>
      </w:r>
    </w:p>
    <w:p>
      <w:pPr>
        <w:pStyle w:val="Normal"/>
        <w:rPr>
          <w:rFonts w:ascii="Calibri" w:hAnsi="Calibri" w:cs="Arial"/>
          <w:b/>
          <w:b/>
          <w:color w:val="660066"/>
          <w:szCs w:val="24"/>
          <w:lang w:val="en-AU"/>
        </w:rPr>
      </w:pPr>
      <w:r>
        <w:rPr>
          <w:rFonts w:cs="Arial" w:ascii="Calibri" w:hAnsi="Calibri"/>
          <w:b/>
          <w:color w:val="660066"/>
          <w:szCs w:val="24"/>
          <w:lang w:val="en-AU"/>
        </w:rPr>
      </w:r>
      <w:r>
        <w:br w:type="page"/>
      </w:r>
    </w:p>
    <w:p>
      <w:pPr>
        <w:pStyle w:val="Normal"/>
        <w:rPr>
          <w:rFonts w:ascii="Calibri" w:hAnsi="Calibri" w:cs="Arial"/>
          <w:b/>
          <w:b/>
          <w:color w:val="660066"/>
          <w:szCs w:val="24"/>
          <w:lang w:val="en-AU"/>
        </w:rPr>
      </w:pPr>
      <w:r>
        <w:rPr>
          <w:rFonts w:cs="Arial" w:ascii="Calibri" w:hAnsi="Calibri"/>
          <w:b/>
          <w:color w:val="660066"/>
          <w:szCs w:val="24"/>
          <w:lang w:val="en-AU"/>
        </w:rPr>
        <w:t xml:space="preserve">Summary of progress to date: </w:t>
      </w:r>
    </w:p>
    <w:p>
      <w:pPr>
        <w:pStyle w:val="Normal"/>
        <w:rPr>
          <w:rFonts w:ascii="Calibri" w:hAnsi="Calibri" w:cs="Arial"/>
          <w:b/>
          <w:b/>
          <w:szCs w:val="24"/>
          <w:lang w:val="en-AU"/>
        </w:rPr>
      </w:pPr>
      <w:r>
        <w:rPr>
          <w:rFonts w:cs="Arial" w:ascii="Calibri" w:hAnsi="Calibri"/>
          <w:b/>
          <w:szCs w:val="24"/>
          <w:lang w:val="en-AU"/>
        </w:rPr>
      </w:r>
    </w:p>
    <w:p>
      <w:pPr>
        <w:pStyle w:val="Annotationtext"/>
        <w:rPr>
          <w:sz w:val="24"/>
          <w:szCs w:val="24"/>
        </w:rPr>
      </w:pPr>
      <w:r>
        <w:rPr>
          <w:rFonts w:cs="Calibri"/>
          <w:b/>
          <w:bCs/>
          <w:sz w:val="24"/>
          <w:szCs w:val="24"/>
        </w:rPr>
        <w:t xml:space="preserve">Aim 1. </w:t>
      </w:r>
      <w:r>
        <w:rPr>
          <w:sz w:val="24"/>
          <w:szCs w:val="24"/>
        </w:rPr>
        <w:t>Establish the technology to overexpress transcription factors in murine CAR T cells</w:t>
      </w:r>
    </w:p>
    <w:p>
      <w:pPr>
        <w:pStyle w:val="Normal"/>
        <w:jc w:val="both"/>
        <w:rPr>
          <w:rFonts w:ascii="Calibri" w:hAnsi="Calibri" w:cs="Calibri"/>
          <w:szCs w:val="24"/>
          <w:lang w:val="en-AU"/>
        </w:rPr>
      </w:pPr>
      <w:r>
        <w:rPr>
          <w:rFonts w:cs="Calibri" w:ascii="Calibri" w:hAnsi="Calibri"/>
          <w:szCs w:val="24"/>
          <w:lang w:val="en-AU"/>
        </w:rPr>
      </w:r>
    </w:p>
    <w:p>
      <w:pPr>
        <w:pStyle w:val="Normal"/>
        <w:jc w:val="both"/>
        <w:rPr>
          <w:rFonts w:ascii="Calibri" w:hAnsi="Calibri" w:cs="Calibri"/>
          <w:b/>
          <w:b/>
          <w:bCs/>
          <w:szCs w:val="24"/>
          <w:lang w:val="en-AU"/>
        </w:rPr>
      </w:pPr>
      <w:r>
        <w:rPr>
          <w:rFonts w:cs="Calibri" w:ascii="Calibri" w:hAnsi="Calibri"/>
          <w:b/>
          <w:bCs/>
          <w:szCs w:val="24"/>
          <w:lang w:val="en-AU"/>
        </w:rPr>
      </w:r>
    </w:p>
    <w:p>
      <w:pPr>
        <w:pStyle w:val="Normal"/>
        <w:jc w:val="both"/>
        <w:rPr>
          <w:rFonts w:ascii="Calibri" w:hAnsi="Calibri" w:cs="Calibri"/>
          <w:szCs w:val="24"/>
          <w:lang w:val="en-AU"/>
        </w:rPr>
      </w:pPr>
      <w:r>
        <w:rPr>
          <w:rFonts w:cs="Calibri" w:ascii="Calibri" w:hAnsi="Calibri"/>
          <w:szCs w:val="24"/>
          <w:lang w:val="en-AU"/>
        </w:rPr>
        <w:t>T cell memory and persistence associated transcription factors that have been chosen for this study include Tcf1, ADA-Foxo1, Id3, Bcl-6 and an Ikaros dominant negative mutant (Ikaros +/-). ADA-Foxo1 was chosen as a constitutively active variant of Foxo1. Tox, Batf and Id2 were also selected to be overexpressed as control transcription factors associated with exhaustion and terminal differentiation. At this stage, packaging cell lines for Tcf1, ADA-Foxo1, Id2, Id3, Batf and an empty control have been generated.</w:t>
      </w:r>
    </w:p>
    <w:p>
      <w:pPr>
        <w:pStyle w:val="Normal"/>
        <w:jc w:val="both"/>
        <w:rPr>
          <w:rFonts w:ascii="Calibri" w:hAnsi="Calibri" w:cs="Calibri"/>
          <w:b/>
          <w:b/>
          <w:bCs/>
          <w:szCs w:val="24"/>
          <w:lang w:val="en-AU"/>
        </w:rPr>
      </w:pPr>
      <w:r>
        <w:rPr>
          <w:rFonts w:cs="Calibri" w:ascii="Calibri" w:hAnsi="Calibri"/>
          <w:b/>
          <w:bCs/>
          <w:szCs w:val="24"/>
          <w:lang w:val="en-AU"/>
        </w:rPr>
      </w:r>
    </w:p>
    <w:p>
      <w:pPr>
        <w:pStyle w:val="Normal"/>
        <w:jc w:val="both"/>
        <w:rPr>
          <w:rFonts w:ascii="Calibri" w:hAnsi="Calibri" w:cs="Arial"/>
          <w:bCs/>
          <w:szCs w:val="24"/>
          <w:lang w:val="en-AU"/>
        </w:rPr>
      </w:pPr>
      <w:r>
        <w:rPr>
          <w:rFonts w:cs="Calibri" w:ascii="Calibri" w:hAnsi="Calibri"/>
          <w:szCs w:val="24"/>
          <w:lang w:val="en-AU"/>
        </w:rPr>
        <w:t xml:space="preserve">In order to generate CAR T cells overexpressing the chosen transcription factors, retroviral packaging cell lines were </w:t>
      </w:r>
      <w:r>
        <w:rPr>
          <w:rFonts w:cs="Arial" w:ascii="Calibri" w:hAnsi="Calibri"/>
          <w:bCs/>
          <w:szCs w:val="24"/>
          <w:lang w:val="en-AU"/>
        </w:rPr>
        <w:t xml:space="preserve">generated utilising the nerve growth factor receptor (NGFR) retroviral vector DNA plasmid. The truncated human NGFR is an appropriate selection and tracking marker as it is not expressed endogenously by immune cells and does not signal. Transcription factor gene sequences were retrieved from the NCBI Nucleotide database, cloned into the NGFR plasmid vector and were sequence verified. Genes were cloned upstream of an internal ribosome entry site (IRES) and the human NGFR gene. Therefore, cells that are successfully transfected will express cell surface NGFR as an indicator of transcription factor expression (Fig 1a). </w:t>
      </w:r>
    </w:p>
    <w:p>
      <w:pPr>
        <w:pStyle w:val="Normal"/>
        <w:jc w:val="both"/>
        <w:rPr>
          <w:rFonts w:ascii="Calibri" w:hAnsi="Calibri" w:cs="Arial"/>
          <w:bCs/>
          <w:szCs w:val="24"/>
          <w:lang w:val="en-AU"/>
        </w:rPr>
      </w:pPr>
      <w:r>
        <w:rPr>
          <w:rFonts w:cs="Arial" w:ascii="Calibri" w:hAnsi="Calibri"/>
          <w:bCs/>
          <w:szCs w:val="24"/>
          <w:lang w:val="en-AU"/>
        </w:rPr>
      </w:r>
    </w:p>
    <w:p>
      <w:pPr>
        <w:pStyle w:val="Normal"/>
        <w:jc w:val="both"/>
        <w:rPr>
          <w:rFonts w:ascii="Calibri" w:hAnsi="Calibri" w:cs="Arial"/>
          <w:bCs/>
          <w:szCs w:val="24"/>
          <w:lang w:val="en-AU"/>
        </w:rPr>
      </w:pPr>
      <w:r>
        <w:rPr>
          <w:rFonts w:cs="Arial" w:ascii="Calibri" w:hAnsi="Calibri"/>
          <w:bCs/>
          <w:szCs w:val="24"/>
          <w:lang w:val="en-AU"/>
        </w:rPr>
        <w:t>Ping-pong amplification was first used on PA317 and GP+E86 murine retrovirus packaging cell lines. In brief, co-cultures of both cell lines were transfected with the NGFR plasmid vector carrying the transcription factor gene of interest or as an empty control. Outgrowing PA317 cells were selected for stable NGFR expression via fluorescence activated cell sorting (FACS).</w:t>
      </w:r>
    </w:p>
    <w:p>
      <w:pPr>
        <w:pStyle w:val="Normal"/>
        <w:jc w:val="both"/>
        <w:rPr>
          <w:rFonts w:ascii="Calibri" w:hAnsi="Calibri" w:cs="Arial"/>
          <w:bCs/>
          <w:szCs w:val="24"/>
          <w:lang w:val="en-AU"/>
        </w:rPr>
      </w:pPr>
      <w:r>
        <w:rPr>
          <w:rFonts w:cs="Arial" w:ascii="Calibri" w:hAnsi="Calibri"/>
          <w:bCs/>
          <w:szCs w:val="24"/>
          <w:lang w:val="en-AU"/>
        </w:rPr>
      </w:r>
    </w:p>
    <w:p>
      <w:pPr>
        <w:pStyle w:val="Normal"/>
        <w:jc w:val="both"/>
        <w:rPr>
          <w:rFonts w:ascii="Calibri" w:hAnsi="Calibri" w:cs="Arial"/>
          <w:bCs/>
          <w:szCs w:val="24"/>
          <w:lang w:val="en-AU"/>
        </w:rPr>
      </w:pPr>
      <w:r>
        <w:rPr>
          <w:rFonts w:cs="Arial" w:ascii="Calibri" w:hAnsi="Calibri"/>
          <w:bCs/>
          <w:szCs w:val="24"/>
          <w:lang w:val="en-AU"/>
        </w:rPr>
        <w:t>Viral supernatant from the PA317 packaging cell lines, was then used to transduce a pre-established GP+E86 retrovirus packaging cell line that encodes a second generation human HER2 directed CAR containing CD28 and CD3</w:t>
      </w:r>
      <w:r>
        <w:rPr>
          <w:rFonts w:cs="Arial" w:ascii="Calibri" w:hAnsi="Calibri"/>
          <w:bCs/>
          <w:szCs w:val="24"/>
          <w:lang w:val="el-GR"/>
        </w:rPr>
        <w:t>ζ</w:t>
      </w:r>
      <w:r>
        <w:rPr>
          <w:rFonts w:cs="Arial" w:ascii="Calibri" w:hAnsi="Calibri"/>
          <w:bCs/>
          <w:szCs w:val="24"/>
          <w:lang w:val="en-AU"/>
        </w:rPr>
        <w:t xml:space="preserve"> signalling domains. These packaging cells were also selected for stable NGFR expression via FACS (Fig 1b). In addition to the NGFR marker, the overexpression of Tcf1 and Id3 were confirmed directly using available FACS antibodies (Fig 1c and 1d). Where primer pairs have been optimised, gene overexpression was also confirmed through real-time PCR (RT-PCR) (Fig 1e-1h).</w:t>
      </w:r>
    </w:p>
    <w:p>
      <w:pPr>
        <w:pStyle w:val="Normal"/>
        <w:jc w:val="center"/>
        <w:rPr>
          <w:rFonts w:ascii="Calibri" w:hAnsi="Calibri" w:cs="Arial"/>
          <w:bCs/>
          <w:szCs w:val="24"/>
          <w:vertAlign w:val="subscript"/>
          <w:lang w:val="en-AU"/>
        </w:rPr>
      </w:pPr>
      <w:r>
        <w:rPr/>
        <w:drawing>
          <wp:inline distT="0" distB="0" distL="0" distR="0">
            <wp:extent cx="5400675" cy="870712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5"/>
                    <a:stretch>
                      <a:fillRect/>
                    </a:stretch>
                  </pic:blipFill>
                  <pic:spPr bwMode="auto">
                    <a:xfrm>
                      <a:off x="0" y="0"/>
                      <a:ext cx="5400675" cy="8707120"/>
                    </a:xfrm>
                    <a:prstGeom prst="rect">
                      <a:avLst/>
                    </a:prstGeom>
                  </pic:spPr>
                </pic:pic>
              </a:graphicData>
            </a:graphic>
          </wp:inline>
        </w:drawing>
      </w:r>
      <w:r>
        <w:br w:type="page"/>
      </w:r>
    </w:p>
    <w:p>
      <w:pPr>
        <w:pStyle w:val="Normal"/>
        <w:rPr>
          <w:rFonts w:ascii="Calibri" w:hAnsi="Calibri" w:cs="Arial"/>
          <w:b/>
          <w:b/>
          <w:szCs w:val="24"/>
          <w:vertAlign w:val="subscript"/>
          <w:lang w:val="en-AU"/>
        </w:rPr>
      </w:pPr>
      <w:r>
        <w:rPr>
          <w:rFonts w:cs="Arial" w:ascii="Calibri" w:hAnsi="Calibri"/>
          <w:b/>
          <w:szCs w:val="24"/>
          <w:lang w:val="en-AU"/>
        </w:rPr>
        <w:t>Figure 1. Generation of transcription factor expressing, HER2-CAR packaging cell lines.</w:t>
      </w:r>
    </w:p>
    <w:p>
      <w:pPr>
        <w:pStyle w:val="Normal"/>
        <w:jc w:val="both"/>
        <w:rPr>
          <w:rFonts w:ascii="Calibri" w:hAnsi="Calibri" w:cs="Arial"/>
          <w:bCs/>
          <w:szCs w:val="24"/>
          <w:lang w:val="en-AU"/>
        </w:rPr>
      </w:pPr>
      <w:r>
        <w:rPr>
          <w:rFonts w:cs="Arial" w:ascii="Calibri" w:hAnsi="Calibri"/>
          <w:bCs/>
          <w:szCs w:val="24"/>
          <w:lang w:val="en-AU"/>
        </w:rPr>
        <w:t xml:space="preserve">(a) Cloning region of the NGFR retroviral vector DNA plasmid. The transcription factor (TF) is cloned upstream of an IRES and a truncated NGFR gene. (b) Representative FACS plots of NGFR and HER2-CAR expression of transduced transcription factor and HER2-CAR packaging cell lines. Histograms of (c) Tcf1 and (d) Id3 packaging cell line overexpression of transcription factors of interest. (e) Tcf1, (f) Id2, (g) Id3 and (h) Batf packaging cell line overexpression of respective transcription factor genes through RT-PCR. RT-PCR experiments are represented as </w:t>
      </w:r>
      <w:r>
        <w:rPr/>
      </w:r>
      <m:oMath xmlns:m="http://schemas.openxmlformats.org/officeDocument/2006/math">
        <m:r>
          <w:rPr>
            <w:rFonts w:ascii="Cambria Math" w:hAnsi="Cambria Math"/>
          </w:rPr>
          <m:t xml:space="preserve">±</m:t>
        </m:r>
      </m:oMath>
      <w:r>
        <w:rPr>
          <w:rFonts w:cs="Arial" w:ascii="Calibri" w:hAnsi="Calibri"/>
          <w:bCs/>
          <w:szCs w:val="24"/>
          <w:lang w:val="en-AU"/>
        </w:rPr>
        <w:t xml:space="preserve"> SEM of one experiment.</w:t>
      </w:r>
      <w:r>
        <w:br w:type="page"/>
      </w:r>
    </w:p>
    <w:p>
      <w:pPr>
        <w:pStyle w:val="Normal"/>
        <w:jc w:val="both"/>
        <w:rPr>
          <w:rFonts w:ascii="Calibri" w:hAnsi="Calibri" w:cs="Calibri"/>
          <w:szCs w:val="24"/>
          <w:lang w:val="en-AU"/>
        </w:rPr>
      </w:pPr>
      <w:r>
        <w:rPr>
          <w:rFonts w:cs="Arial" w:ascii="Calibri" w:hAnsi="Calibri"/>
          <w:b/>
          <w:szCs w:val="24"/>
          <w:lang w:val="en-AU"/>
        </w:rPr>
        <w:t xml:space="preserve">Aim 2a. </w:t>
      </w:r>
      <w:r>
        <w:rPr>
          <w:rFonts w:cs="Calibri" w:ascii="Calibri" w:hAnsi="Calibri"/>
          <w:szCs w:val="24"/>
          <w:lang w:val="en-AU"/>
        </w:rPr>
        <w:t xml:space="preserve">Establish transcription factor modified CAR T cell phenotype and assess persistence </w:t>
      </w:r>
      <w:r>
        <w:rPr>
          <w:rFonts w:cs="Calibri" w:ascii="Calibri" w:hAnsi="Calibri"/>
          <w:i/>
          <w:iCs/>
          <w:szCs w:val="24"/>
          <w:lang w:val="en-AU"/>
        </w:rPr>
        <w:t>in vitro</w:t>
      </w:r>
    </w:p>
    <w:p>
      <w:pPr>
        <w:pStyle w:val="Normal"/>
        <w:jc w:val="both"/>
        <w:rPr>
          <w:rFonts w:ascii="Calibri" w:hAnsi="Calibri" w:cs="Arial"/>
          <w:b/>
          <w:b/>
          <w:szCs w:val="24"/>
          <w:lang w:val="en-AU"/>
        </w:rPr>
      </w:pPr>
      <w:r>
        <w:rPr>
          <w:rFonts w:cs="Arial" w:ascii="Calibri" w:hAnsi="Calibri"/>
          <w:b/>
          <w:szCs w:val="24"/>
          <w:lang w:val="en-AU"/>
        </w:rPr>
      </w:r>
    </w:p>
    <w:p>
      <w:pPr>
        <w:pStyle w:val="Normal"/>
        <w:jc w:val="both"/>
        <w:rPr>
          <w:rFonts w:ascii="Calibri" w:hAnsi="Calibri" w:cs="Arial"/>
          <w:bCs/>
          <w:szCs w:val="24"/>
          <w:lang w:val="en-AU"/>
        </w:rPr>
      </w:pPr>
      <w:r>
        <w:rPr>
          <w:rFonts w:cs="Arial" w:ascii="Calibri" w:hAnsi="Calibri"/>
          <w:bCs/>
          <w:szCs w:val="24"/>
          <w:lang w:val="en-AU"/>
        </w:rPr>
        <w:t xml:space="preserve">CAR T cells were generated using the packaging cell lines generated in </w:t>
      </w:r>
      <w:r>
        <w:rPr>
          <w:rFonts w:cs="Arial" w:ascii="Calibri" w:hAnsi="Calibri"/>
          <w:b/>
          <w:szCs w:val="24"/>
          <w:lang w:val="en-AU"/>
        </w:rPr>
        <w:t>Aim 1</w:t>
      </w:r>
      <w:r>
        <w:rPr>
          <w:rFonts w:cs="Arial" w:ascii="Calibri" w:hAnsi="Calibri"/>
          <w:bCs/>
          <w:szCs w:val="24"/>
          <w:lang w:val="en-AU"/>
        </w:rPr>
        <w:t xml:space="preserve">. In brief, splenocytes were isolated from wild type mice where T cells were expanded with </w:t>
      </w:r>
      <w:r>
        <w:rPr>
          <w:rFonts w:cs="Arial" w:ascii="Calibri" w:hAnsi="Calibri"/>
          <w:bCs/>
          <w:szCs w:val="24"/>
          <w:lang w:val="el-GR"/>
        </w:rPr>
        <w:t>α</w:t>
      </w:r>
      <w:r>
        <w:rPr>
          <w:rFonts w:cs="Arial" w:ascii="Calibri" w:hAnsi="Calibri"/>
          <w:bCs/>
          <w:szCs w:val="24"/>
          <w:lang w:val="en-AU"/>
        </w:rPr>
        <w:t xml:space="preserve">CD3 </w:t>
      </w:r>
      <w:r>
        <w:rPr>
          <w:rFonts w:cs="Arial" w:ascii="Calibri" w:hAnsi="Calibri"/>
          <w:bCs/>
          <w:szCs w:val="24"/>
          <w:lang w:val="el-GR"/>
        </w:rPr>
        <w:t>α</w:t>
      </w:r>
      <w:r>
        <w:rPr>
          <w:rFonts w:cs="Arial" w:ascii="Calibri" w:hAnsi="Calibri"/>
          <w:bCs/>
          <w:szCs w:val="24"/>
          <w:lang w:val="en-AU"/>
        </w:rPr>
        <w:t>CD28, IL-2 and IL-7. During activation, T cells were transduced with retroviral supernatant harvested from packaging cell lines. At the end of the third day of activation, T cells were resuspended in IL-7 and IL-15 to boost the proportions of T</w:t>
      </w:r>
      <w:r>
        <w:rPr>
          <w:rFonts w:cs="Arial" w:ascii="Calibri" w:hAnsi="Calibri"/>
          <w:bCs/>
          <w:szCs w:val="24"/>
          <w:vertAlign w:val="subscript"/>
          <w:lang w:val="en-AU"/>
        </w:rPr>
        <w:t>CM</w:t>
      </w:r>
      <w:r>
        <w:rPr>
          <w:rFonts w:cs="Arial" w:ascii="Calibri" w:hAnsi="Calibri"/>
          <w:bCs/>
          <w:szCs w:val="24"/>
          <w:lang w:val="en-AU"/>
        </w:rPr>
        <w:t xml:space="preserve"> and T</w:t>
      </w:r>
      <w:r>
        <w:rPr>
          <w:rFonts w:cs="Arial" w:ascii="Calibri" w:hAnsi="Calibri"/>
          <w:bCs/>
          <w:szCs w:val="24"/>
          <w:vertAlign w:val="subscript"/>
          <w:lang w:val="en-AU"/>
        </w:rPr>
        <w:t>SCM</w:t>
      </w:r>
      <w:r>
        <w:rPr>
          <w:rFonts w:cs="Arial" w:ascii="Calibri" w:hAnsi="Calibri"/>
          <w:bCs/>
          <w:szCs w:val="24"/>
          <w:lang w:val="en-AU"/>
        </w:rPr>
        <w:t xml:space="preserve"> cells. </w:t>
      </w:r>
    </w:p>
    <w:p>
      <w:pPr>
        <w:pStyle w:val="Normal"/>
        <w:jc w:val="both"/>
        <w:rPr>
          <w:rFonts w:ascii="Calibri" w:hAnsi="Calibri" w:cs="Arial"/>
          <w:bCs/>
          <w:szCs w:val="24"/>
          <w:lang w:val="en-AU"/>
        </w:rPr>
      </w:pPr>
      <w:r>
        <w:rPr>
          <w:rFonts w:cs="Arial" w:ascii="Calibri" w:hAnsi="Calibri"/>
          <w:bCs/>
          <w:szCs w:val="24"/>
          <w:lang w:val="en-AU"/>
        </w:rPr>
      </w:r>
    </w:p>
    <w:p>
      <w:pPr>
        <w:pStyle w:val="Normal"/>
        <w:jc w:val="both"/>
        <w:rPr>
          <w:rFonts w:ascii="Calibri" w:hAnsi="Calibri" w:cs="Arial"/>
          <w:bCs/>
          <w:szCs w:val="24"/>
          <w:lang w:val="en-AU"/>
        </w:rPr>
      </w:pPr>
      <w:r>
        <w:rPr>
          <w:rFonts w:cs="Arial" w:ascii="Calibri" w:hAnsi="Calibri"/>
          <w:bCs/>
          <w:szCs w:val="24"/>
          <w:lang w:val="en-AU"/>
        </w:rPr>
        <w:t xml:space="preserve">On Day 6 of transduction, 50 </w:t>
      </w:r>
      <w:r>
        <w:rPr>
          <w:rFonts w:cs="Arial" w:ascii="Calibri" w:hAnsi="Calibri"/>
          <w:bCs/>
          <w:szCs w:val="24"/>
          <w:lang w:val="el-GR"/>
        </w:rPr>
        <w:t>μ</w:t>
      </w:r>
      <w:r>
        <w:rPr>
          <w:rFonts w:cs="Arial" w:ascii="Calibri" w:hAnsi="Calibri"/>
          <w:bCs/>
          <w:szCs w:val="24"/>
          <w:lang w:val="en-AU"/>
        </w:rPr>
        <w:t>L samples of CAR T cells were taken from each culture where transduction efficiency, viability counts and memory phenotype were analysed via flow cytometry. For each CAR T cell type, transduction was confirmed through cell expression of NGFR (Fig 2a). Viability counts revealed that transcription factor overexpressing CAR T cells had more live cells per sample compared to control CAR T cells (Fig 2b.) Characterisation of the Tcf1 and ADA-Foxo1 overexpressing CAR T cell memory phenotype via CD44 and CD62L expression indicated that NGFR expressing cells maintained higher proportions of T</w:t>
      </w:r>
      <w:r>
        <w:rPr>
          <w:rFonts w:cs="Arial" w:ascii="Calibri" w:hAnsi="Calibri"/>
          <w:bCs/>
          <w:szCs w:val="24"/>
          <w:vertAlign w:val="subscript"/>
          <w:lang w:val="en-AU"/>
        </w:rPr>
        <w:t>CM</w:t>
      </w:r>
      <w:r>
        <w:rPr>
          <w:rFonts w:cs="Arial" w:ascii="Calibri" w:hAnsi="Calibri"/>
          <w:bCs/>
          <w:szCs w:val="24"/>
          <w:lang w:val="en-AU"/>
        </w:rPr>
        <w:t xml:space="preserve"> cells compared to cells transduced with an empty NGFR control (Fig 2c). There were no differences in the expression of CAR or immune checkpoint receptor between Tcf1 and ADA-Foxo1 overexpressing CAR T cells or control CAR T cells (not shown). This data suggests that the overexpression of selected transcription factors may improve CAR T cell expansion or survival during the transduction process. In line with our hypothesis, overexpression of Tcf1 and ADA-Foxo1, factors associated with memory and self-renewal, improved the maintenance of the less differentiated T</w:t>
      </w:r>
      <w:r>
        <w:rPr>
          <w:rFonts w:cs="Arial" w:ascii="Calibri" w:hAnsi="Calibri"/>
          <w:bCs/>
          <w:szCs w:val="24"/>
          <w:vertAlign w:val="subscript"/>
          <w:lang w:val="en-AU"/>
        </w:rPr>
        <w:t>CM</w:t>
      </w:r>
      <w:r>
        <w:rPr>
          <w:rFonts w:cs="Arial" w:ascii="Calibri" w:hAnsi="Calibri"/>
          <w:bCs/>
          <w:szCs w:val="24"/>
          <w:lang w:val="en-AU"/>
        </w:rPr>
        <w:t xml:space="preserve"> cell phenotype. This indicates that both of these transcription factors are promising candidates for further</w:t>
      </w:r>
      <w:r>
        <w:rPr>
          <w:rFonts w:cs="Arial" w:ascii="Calibri" w:hAnsi="Calibri"/>
          <w:bCs/>
          <w:i/>
          <w:iCs/>
          <w:szCs w:val="24"/>
          <w:lang w:val="en-AU"/>
        </w:rPr>
        <w:t xml:space="preserve"> </w:t>
      </w:r>
      <w:r>
        <w:rPr>
          <w:rFonts w:cs="Arial" w:ascii="Calibri" w:hAnsi="Calibri"/>
          <w:bCs/>
          <w:szCs w:val="24"/>
          <w:lang w:val="en-AU"/>
        </w:rPr>
        <w:t xml:space="preserve">characterisation </w:t>
      </w:r>
      <w:r>
        <w:rPr>
          <w:rFonts w:cs="Arial" w:ascii="Calibri" w:hAnsi="Calibri"/>
          <w:bCs/>
          <w:i/>
          <w:iCs/>
          <w:szCs w:val="24"/>
          <w:lang w:val="en-AU"/>
        </w:rPr>
        <w:t>in vitro</w:t>
      </w:r>
      <w:r>
        <w:rPr>
          <w:rFonts w:cs="Arial" w:ascii="Calibri" w:hAnsi="Calibri"/>
          <w:bCs/>
          <w:szCs w:val="24"/>
          <w:lang w:val="en-AU"/>
        </w:rPr>
        <w:t>.</w:t>
      </w:r>
    </w:p>
    <w:p>
      <w:pPr>
        <w:pStyle w:val="Normal"/>
        <w:rPr>
          <w:rFonts w:ascii="Calibri" w:hAnsi="Calibri" w:cs="Calibri"/>
          <w:szCs w:val="24"/>
          <w:lang w:val="en-AU"/>
        </w:rPr>
      </w:pPr>
      <w:r>
        <w:rPr>
          <w:rFonts w:cs="Calibri" w:ascii="Calibri" w:hAnsi="Calibri"/>
          <w:szCs w:val="24"/>
          <w:lang w:val="en-AU"/>
        </w:rPr>
      </w:r>
    </w:p>
    <w:p>
      <w:pPr>
        <w:pStyle w:val="Normal"/>
        <w:jc w:val="center"/>
        <w:rPr>
          <w:rFonts w:ascii="Calibri" w:hAnsi="Calibri" w:cs="Calibri"/>
          <w:szCs w:val="24"/>
          <w:lang w:val="en-AU"/>
        </w:rPr>
      </w:pPr>
      <w:r>
        <w:rPr/>
        <w:drawing>
          <wp:inline distT="0" distB="0" distL="0" distR="0">
            <wp:extent cx="6517640" cy="870775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6517640" cy="8707755"/>
                    </a:xfrm>
                    <a:prstGeom prst="rect">
                      <a:avLst/>
                    </a:prstGeom>
                  </pic:spPr>
                </pic:pic>
              </a:graphicData>
            </a:graphic>
          </wp:inline>
        </w:drawing>
      </w:r>
    </w:p>
    <w:p>
      <w:pPr>
        <w:pStyle w:val="Normal"/>
        <w:rPr>
          <w:rFonts w:ascii="Calibri" w:hAnsi="Calibri" w:cs="Calibri"/>
          <w:b/>
          <w:b/>
          <w:bCs/>
          <w:szCs w:val="24"/>
          <w:lang w:val="en-AU"/>
        </w:rPr>
      </w:pPr>
      <w:r>
        <w:rPr>
          <w:rFonts w:cs="Calibri" w:ascii="Calibri" w:hAnsi="Calibri"/>
          <w:b/>
          <w:bCs/>
          <w:szCs w:val="24"/>
          <w:lang w:val="en-AU"/>
        </w:rPr>
        <w:t>Figure 2. Transduction of transcription factor overexpressing CAR T cells</w:t>
      </w:r>
    </w:p>
    <w:p>
      <w:pPr>
        <w:pStyle w:val="Normal"/>
        <w:rPr>
          <w:rFonts w:ascii="Calibri" w:hAnsi="Calibri" w:cs="Calibri"/>
          <w:szCs w:val="24"/>
          <w:lang w:val="en-AU"/>
        </w:rPr>
      </w:pPr>
      <w:r>
        <w:rPr>
          <w:rFonts w:cs="Calibri" w:ascii="Calibri" w:hAnsi="Calibri"/>
          <w:szCs w:val="24"/>
          <w:lang w:val="en-AU"/>
        </w:rPr>
        <w:t xml:space="preserve">50 </w:t>
      </w:r>
      <w:r>
        <w:rPr>
          <w:rFonts w:cs="Calibri" w:ascii="Calibri" w:hAnsi="Calibri"/>
          <w:szCs w:val="24"/>
          <w:lang w:val="el-GR"/>
        </w:rPr>
        <w:t>μ</w:t>
      </w:r>
      <w:r>
        <w:rPr>
          <w:rFonts w:cs="Calibri" w:ascii="Calibri" w:hAnsi="Calibri"/>
          <w:szCs w:val="24"/>
          <w:lang w:val="en-AU"/>
        </w:rPr>
        <w:t xml:space="preserve">L samples of CAR T cells were taken directly from culture on day 6 of transduction where transduction efficiency, cell viability counts and memory phenotype were analysed by flow cytometry. (a) NGFR expression of control (NGFR), ADA-Foxo1, Tcf1, Id2, Id3 and Batf overexpressing CAR T cells. (b) Cell viability counts of transduced CAR T cells based on the number of live, CD8+ CAR T cells. (c) Memory phenotype of control, ADA-Foxo1 and Tcf1 overexpressing CAR T cells based on the expression of CD44 and CD62L. Data is presented as </w:t>
      </w:r>
      <w:r>
        <w:rPr/>
      </w:r>
      <m:oMath xmlns:m="http://schemas.openxmlformats.org/officeDocument/2006/math">
        <m:r>
          <w:rPr>
            <w:rFonts w:ascii="Cambria Math" w:hAnsi="Cambria Math"/>
          </w:rPr>
          <m:t xml:space="preserve">±</m:t>
        </m:r>
      </m:oMath>
      <w:r>
        <w:rPr>
          <w:rFonts w:cs="Calibri" w:ascii="Calibri" w:hAnsi="Calibri"/>
          <w:szCs w:val="24"/>
          <w:lang w:val="en-AU"/>
        </w:rPr>
        <w:t xml:space="preserve"> SEM, and is representative of more than 3 transductions of ADA-Foxo1 and Tcf1 overexpressing CAR T cells and 1 transduction for remaining CAR T cells.</w:t>
      </w:r>
    </w:p>
    <w:p>
      <w:pPr>
        <w:pStyle w:val="Normal"/>
        <w:rPr>
          <w:rFonts w:ascii="Calibri" w:hAnsi="Calibri" w:cs="Calibri"/>
          <w:szCs w:val="24"/>
          <w:lang w:val="en-AU"/>
        </w:rPr>
      </w:pPr>
      <w:r>
        <w:rPr>
          <w:rFonts w:cs="Calibri" w:ascii="Calibri" w:hAnsi="Calibri"/>
          <w:szCs w:val="24"/>
          <w:lang w:val="en-AU"/>
        </w:rPr>
      </w:r>
    </w:p>
    <w:p>
      <w:pPr>
        <w:pStyle w:val="Normal"/>
        <w:rPr>
          <w:rFonts w:ascii="Calibri" w:hAnsi="Calibri" w:cs="Arial"/>
          <w:bCs/>
          <w:szCs w:val="24"/>
          <w:lang w:val="en-AU"/>
        </w:rPr>
      </w:pPr>
      <w:r>
        <w:rPr>
          <w:rFonts w:cs="Arial" w:ascii="Calibri" w:hAnsi="Calibri"/>
          <w:bCs/>
          <w:szCs w:val="24"/>
          <w:lang w:val="en-AU"/>
        </w:rPr>
      </w:r>
      <w:r>
        <w:br w:type="page"/>
      </w:r>
    </w:p>
    <w:p>
      <w:pPr>
        <w:pStyle w:val="Normal"/>
        <w:rPr>
          <w:rFonts w:ascii="Calibri" w:hAnsi="Calibri" w:cs="Arial"/>
          <w:bCs/>
          <w:szCs w:val="24"/>
          <w:lang w:val="en-AU"/>
        </w:rPr>
      </w:pPr>
      <w:r>
        <w:rPr>
          <w:rFonts w:cs="Arial" w:ascii="Calibri" w:hAnsi="Calibri"/>
          <w:bCs/>
          <w:szCs w:val="24"/>
          <w:lang w:val="en-AU"/>
        </w:rPr>
        <w:t xml:space="preserve">Transcription factor overexpressing CAR T cells were further characterised through </w:t>
      </w:r>
      <w:r>
        <w:rPr>
          <w:rFonts w:cs="Arial" w:ascii="Calibri" w:hAnsi="Calibri"/>
          <w:bCs/>
          <w:i/>
          <w:iCs/>
          <w:szCs w:val="24"/>
          <w:lang w:val="en-AU"/>
        </w:rPr>
        <w:t xml:space="preserve">in vitro </w:t>
      </w:r>
      <w:r>
        <w:rPr>
          <w:rFonts w:cs="Arial" w:ascii="Calibri" w:hAnsi="Calibri"/>
          <w:bCs/>
          <w:szCs w:val="24"/>
          <w:lang w:val="en-AU"/>
        </w:rPr>
        <w:t xml:space="preserve">co-culture. In this assay, CAR T cells were incubated with E0771-HER2 tumour cell targets or were stimulated using CD3 and CD28 agonistic antibodies. Co-culture supernatants were harvested to assess cytokine production via cytometric bead array (CBA), and both CAR T cell phenotype and counts were assessed via flow cytometry. </w:t>
      </w:r>
    </w:p>
    <w:p>
      <w:pPr>
        <w:pStyle w:val="Normal"/>
        <w:rPr>
          <w:rFonts w:ascii="Calibri" w:hAnsi="Calibri" w:cs="Arial"/>
          <w:bCs/>
          <w:szCs w:val="24"/>
          <w:lang w:val="en-AU"/>
        </w:rPr>
      </w:pPr>
      <w:r>
        <w:rPr>
          <w:rFonts w:cs="Arial" w:ascii="Calibri" w:hAnsi="Calibri"/>
          <w:bCs/>
          <w:szCs w:val="24"/>
          <w:lang w:val="en-AU"/>
        </w:rPr>
      </w:r>
    </w:p>
    <w:p>
      <w:pPr>
        <w:pStyle w:val="Normal"/>
        <w:rPr>
          <w:rFonts w:ascii="Calibri" w:hAnsi="Calibri" w:cs="Arial"/>
          <w:bCs/>
          <w:szCs w:val="24"/>
          <w:lang w:val="en-AU"/>
        </w:rPr>
      </w:pPr>
      <w:r>
        <w:rPr>
          <w:rFonts w:cs="Arial" w:ascii="Calibri" w:hAnsi="Calibri"/>
          <w:bCs/>
          <w:szCs w:val="24"/>
          <w:lang w:val="en-AU"/>
        </w:rPr>
        <w:t>Compared to control CAR T cells, ADA-Foxo1 and Tcf1 overexpressing cells had improved absolute cell counts when challenged with E0771-HER2, cells suggesting that these CAR T cells had enhanced survival compared to control CAR T cells (Fig 3a and 3b). Analysis of ADA-Foxo1 and Tcf1 overexpressing CAR T cells indicated that these cells maintained a phenotype associated with improved persistence when compared to control CAR T cells. Following HER2 challenge, both ADA-Foxo1 and Tcf1 overexpressing CAR T cells maintain higher proportions of T</w:t>
      </w:r>
      <w:r>
        <w:rPr>
          <w:rFonts w:cs="Arial" w:ascii="Calibri" w:hAnsi="Calibri"/>
          <w:bCs/>
          <w:szCs w:val="24"/>
          <w:vertAlign w:val="subscript"/>
          <w:lang w:val="en-AU"/>
        </w:rPr>
        <w:t>CM</w:t>
      </w:r>
      <w:r>
        <w:rPr>
          <w:rFonts w:cs="Arial" w:ascii="Calibri" w:hAnsi="Calibri"/>
          <w:bCs/>
          <w:szCs w:val="24"/>
          <w:lang w:val="en-AU"/>
        </w:rPr>
        <w:t xml:space="preserve"> cells compared to control CAR T cells without an overt reduction in the T</w:t>
      </w:r>
      <w:r>
        <w:rPr>
          <w:rFonts w:cs="Arial" w:ascii="Calibri" w:hAnsi="Calibri"/>
          <w:bCs/>
          <w:szCs w:val="24"/>
          <w:vertAlign w:val="subscript"/>
          <w:lang w:val="en-AU"/>
        </w:rPr>
        <w:t>EM</w:t>
      </w:r>
      <w:r>
        <w:rPr>
          <w:rFonts w:cs="Arial" w:ascii="Calibri" w:hAnsi="Calibri"/>
          <w:bCs/>
          <w:szCs w:val="24"/>
          <w:lang w:val="en-AU"/>
        </w:rPr>
        <w:t xml:space="preserve"> population (Fig 3c and 3d). Notably, ADA-Foxo1 overexpressing CAR T cells also retain around a 10% higher expression of CD62L+Tcf1+ cells compared to control CAR T cells (Fig 3e and 3f). Following direct, potent TCR stimulation through </w:t>
      </w:r>
      <w:r>
        <w:rPr>
          <w:rFonts w:cs="Arial" w:ascii="Calibri" w:hAnsi="Calibri"/>
          <w:bCs/>
          <w:szCs w:val="24"/>
          <w:lang w:val="el-GR"/>
        </w:rPr>
        <w:t>α</w:t>
      </w:r>
      <w:r>
        <w:rPr>
          <w:rFonts w:cs="Arial" w:ascii="Calibri" w:hAnsi="Calibri"/>
          <w:bCs/>
          <w:szCs w:val="24"/>
          <w:lang w:val="en-AU"/>
        </w:rPr>
        <w:t xml:space="preserve">CD3 and </w:t>
      </w:r>
      <w:r>
        <w:rPr>
          <w:rFonts w:cs="Arial" w:ascii="Calibri" w:hAnsi="Calibri"/>
          <w:bCs/>
          <w:szCs w:val="24"/>
          <w:lang w:val="el-GR"/>
        </w:rPr>
        <w:t>α</w:t>
      </w:r>
      <w:r>
        <w:rPr>
          <w:rFonts w:cs="Arial" w:ascii="Calibri" w:hAnsi="Calibri"/>
          <w:bCs/>
          <w:szCs w:val="24"/>
          <w:lang w:val="en-AU"/>
        </w:rPr>
        <w:t xml:space="preserve">CD28, Tcf1 overexpressing CAR T cells retained a higher expression of Tcf1 compared to ADA-Foxo1 and control CAR T cells, indicating that Tcf1 expression in overexpressing CAR T cells is durable (Fig 3g). </w:t>
      </w:r>
    </w:p>
    <w:p>
      <w:pPr>
        <w:pStyle w:val="Normal"/>
        <w:rPr>
          <w:rFonts w:ascii="Calibri" w:hAnsi="Calibri" w:cs="Arial"/>
          <w:bCs/>
          <w:szCs w:val="24"/>
          <w:lang w:val="en-AU"/>
        </w:rPr>
      </w:pPr>
      <w:r>
        <w:rPr>
          <w:rFonts w:cs="Arial" w:ascii="Calibri" w:hAnsi="Calibri"/>
          <w:bCs/>
          <w:szCs w:val="24"/>
          <w:lang w:val="en-AU"/>
        </w:rPr>
      </w:r>
    </w:p>
    <w:p>
      <w:pPr>
        <w:pStyle w:val="Normal"/>
        <w:rPr>
          <w:rFonts w:ascii="Calibri" w:hAnsi="Calibri" w:cs="Arial"/>
          <w:bCs/>
          <w:szCs w:val="24"/>
          <w:lang w:val="en-AU"/>
        </w:rPr>
      </w:pPr>
      <w:r>
        <w:rPr>
          <w:rFonts w:cs="Arial" w:ascii="Calibri" w:hAnsi="Calibri"/>
          <w:bCs/>
          <w:szCs w:val="24"/>
          <w:lang w:val="en-AU"/>
        </w:rPr>
        <w:t xml:space="preserve">Interestingly, ADA-Foxo1 and Tcf1 overexpressing CAR T cells also displayed higher proportions of activated, effector cells as indicated by higher frequencies of PD-1+Lag3+ cells (Fig 3h). The effector output of these CAR T cells was confirmed through CBA, where ADA-Foxo1 and Tcf1 overexpressing CAR T cells generated more interferon </w:t>
      </w:r>
      <w:r>
        <w:rPr>
          <w:rFonts w:cs="Arial" w:ascii="Calibri" w:hAnsi="Calibri"/>
          <w:bCs/>
          <w:szCs w:val="24"/>
          <w:lang w:val="el-GR"/>
        </w:rPr>
        <w:t>γ</w:t>
      </w:r>
      <w:r>
        <w:rPr>
          <w:rFonts w:cs="Arial" w:ascii="Calibri" w:hAnsi="Calibri"/>
          <w:bCs/>
          <w:szCs w:val="24"/>
          <w:lang w:val="en-AU"/>
        </w:rPr>
        <w:t xml:space="preserve"> (IFN</w:t>
      </w:r>
      <w:r>
        <w:rPr>
          <w:rFonts w:cs="Arial" w:ascii="Calibri" w:hAnsi="Calibri"/>
          <w:bCs/>
          <w:szCs w:val="24"/>
          <w:lang w:val="el-GR"/>
        </w:rPr>
        <w:t>γ</w:t>
      </w:r>
      <w:r>
        <w:rPr>
          <w:rFonts w:cs="Arial" w:ascii="Calibri" w:hAnsi="Calibri"/>
          <w:bCs/>
          <w:szCs w:val="24"/>
          <w:lang w:val="en-AU"/>
        </w:rPr>
        <w:t>) and TNF</w:t>
      </w:r>
      <w:r>
        <w:rPr>
          <w:rFonts w:cs="Arial" w:ascii="Calibri" w:hAnsi="Calibri"/>
          <w:bCs/>
          <w:szCs w:val="24"/>
          <w:lang w:val="el-GR"/>
        </w:rPr>
        <w:t>α</w:t>
      </w:r>
      <w:r>
        <w:rPr>
          <w:rFonts w:cs="Arial" w:ascii="Calibri" w:hAnsi="Calibri"/>
          <w:bCs/>
          <w:szCs w:val="24"/>
          <w:lang w:val="en-AU"/>
        </w:rPr>
        <w:t xml:space="preserve"> compared to control cells (Fig 4a and 4b). Notably, in the </w:t>
      </w:r>
      <w:r>
        <w:rPr>
          <w:rFonts w:cs="Arial" w:ascii="Calibri" w:hAnsi="Calibri"/>
          <w:bCs/>
          <w:szCs w:val="24"/>
          <w:lang w:val="el-GR"/>
        </w:rPr>
        <w:t>α</w:t>
      </w:r>
      <w:r>
        <w:rPr>
          <w:rFonts w:cs="Arial" w:ascii="Calibri" w:hAnsi="Calibri"/>
          <w:bCs/>
          <w:szCs w:val="24"/>
          <w:lang w:val="en-AU"/>
        </w:rPr>
        <w:t xml:space="preserve">CD3 and </w:t>
      </w:r>
      <w:r>
        <w:rPr>
          <w:rFonts w:cs="Arial" w:ascii="Calibri" w:hAnsi="Calibri"/>
          <w:bCs/>
          <w:szCs w:val="24"/>
          <w:lang w:val="el-GR"/>
        </w:rPr>
        <w:t>α</w:t>
      </w:r>
      <w:r>
        <w:rPr>
          <w:rFonts w:cs="Arial" w:ascii="Calibri" w:hAnsi="Calibri"/>
          <w:bCs/>
          <w:szCs w:val="24"/>
          <w:lang w:val="en-AU"/>
        </w:rPr>
        <w:t>CD28 stimulated, positive control conditions, control CAR T cells secreted similar amounts of cytokines to ADA-Foxo1 or Tcf1 overexpressing CAR T cells indicating that control cells have not acquired defects in effector function.</w:t>
      </w:r>
    </w:p>
    <w:p>
      <w:pPr>
        <w:pStyle w:val="Normal"/>
        <w:rPr>
          <w:rFonts w:ascii="Calibri" w:hAnsi="Calibri" w:cs="Calibri"/>
          <w:szCs w:val="24"/>
          <w:lang w:val="en-AU"/>
        </w:rPr>
      </w:pPr>
      <w:r>
        <w:rPr>
          <w:rFonts w:cs="Calibri" w:ascii="Calibri" w:hAnsi="Calibri"/>
          <w:szCs w:val="24"/>
          <w:lang w:val="en-AU"/>
        </w:rPr>
      </w:r>
    </w:p>
    <w:p>
      <w:pPr>
        <w:pStyle w:val="PlainText"/>
        <w:rPr>
          <w:rFonts w:ascii="Calibri" w:hAnsi="Calibri" w:cs="Arial"/>
          <w:bCs/>
          <w:sz w:val="24"/>
          <w:szCs w:val="24"/>
          <w:lang w:val="en-AU"/>
        </w:rPr>
      </w:pPr>
      <w:r>
        <w:rPr>
          <w:rFonts w:cs="Arial" w:ascii="Calibri" w:hAnsi="Calibri"/>
          <w:bCs/>
          <w:sz w:val="24"/>
          <w:szCs w:val="24"/>
          <w:lang w:val="en-AU"/>
        </w:rPr>
        <w:t>Together, this data suggests that Tcf1 and ADA-Foxo1 overexpressing CAR T cells have an improved survival and progenitor like functions compared to control CAR T cells. By retaining larger pools of T</w:t>
      </w:r>
      <w:r>
        <w:rPr>
          <w:rFonts w:cs="Arial" w:ascii="Calibri" w:hAnsi="Calibri"/>
          <w:bCs/>
          <w:sz w:val="24"/>
          <w:szCs w:val="24"/>
          <w:vertAlign w:val="subscript"/>
          <w:lang w:val="en-AU"/>
        </w:rPr>
        <w:t>CM</w:t>
      </w:r>
      <w:r>
        <w:rPr>
          <w:rFonts w:cs="Arial" w:ascii="Calibri" w:hAnsi="Calibri"/>
          <w:bCs/>
          <w:sz w:val="24"/>
          <w:szCs w:val="24"/>
          <w:lang w:val="en-AU"/>
        </w:rPr>
        <w:t xml:space="preserve"> cells, transcription factor overexpressing CAR T cells more efficiently transition into functional, effector CAR T cells when compared to control CAR T cells. In addition to characterising the remaining transcription factors of interest, future </w:t>
      </w:r>
      <w:r>
        <w:rPr>
          <w:rFonts w:cs="Arial" w:ascii="Calibri" w:hAnsi="Calibri"/>
          <w:bCs/>
          <w:i/>
          <w:iCs/>
          <w:sz w:val="24"/>
          <w:szCs w:val="24"/>
          <w:lang w:val="en-AU"/>
        </w:rPr>
        <w:t>in vitro</w:t>
      </w:r>
      <w:r>
        <w:rPr>
          <w:rFonts w:cs="Arial" w:ascii="Calibri" w:hAnsi="Calibri"/>
          <w:bCs/>
          <w:sz w:val="24"/>
          <w:szCs w:val="24"/>
          <w:lang w:val="en-AU"/>
        </w:rPr>
        <w:t xml:space="preserve"> experiments will further characterise CAR T cells using proliferation dyes to account for parent and progeny populations and explore CAR T cell resistance to exhaustion through re-stimulation assays.</w:t>
      </w:r>
    </w:p>
    <w:p>
      <w:pPr>
        <w:pStyle w:val="PlainText"/>
        <w:jc w:val="center"/>
        <w:rPr>
          <w:rFonts w:ascii="Calibri" w:hAnsi="Calibri" w:cs="Arial"/>
          <w:bCs/>
          <w:sz w:val="24"/>
          <w:szCs w:val="24"/>
          <w:lang w:val="en-AU"/>
        </w:rPr>
      </w:pPr>
      <w:r>
        <w:rPr/>
        <w:drawing>
          <wp:inline distT="0" distB="0" distL="0" distR="0">
            <wp:extent cx="6055995" cy="8707120"/>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7"/>
                    <a:stretch>
                      <a:fillRect/>
                    </a:stretch>
                  </pic:blipFill>
                  <pic:spPr bwMode="auto">
                    <a:xfrm>
                      <a:off x="0" y="0"/>
                      <a:ext cx="6055995" cy="8707120"/>
                    </a:xfrm>
                    <a:prstGeom prst="rect">
                      <a:avLst/>
                    </a:prstGeom>
                  </pic:spPr>
                </pic:pic>
              </a:graphicData>
            </a:graphic>
          </wp:inline>
        </w:drawing>
      </w:r>
      <w:r>
        <w:br w:type="page"/>
      </w:r>
    </w:p>
    <w:p>
      <w:pPr>
        <w:pStyle w:val="PlainText"/>
        <w:rPr>
          <w:rFonts w:ascii="Calibri" w:hAnsi="Calibri" w:cs="Arial"/>
          <w:bCs/>
          <w:sz w:val="24"/>
          <w:szCs w:val="24"/>
          <w:lang w:val="en-AU"/>
        </w:rPr>
      </w:pPr>
      <w:r>
        <w:rPr>
          <w:rFonts w:cs="Arial" w:ascii="Calibri" w:hAnsi="Calibri"/>
          <w:b/>
          <w:sz w:val="24"/>
          <w:szCs w:val="24"/>
          <w:lang w:val="en-AU"/>
        </w:rPr>
        <w:t>Figure 3. ADA-Foxo1 and Tcf1 overexpressing CAR T cells have improved survival and increased expression of markers associated with self-renewal.</w:t>
      </w:r>
    </w:p>
    <w:p>
      <w:pPr>
        <w:pStyle w:val="PlainText"/>
        <w:rPr>
          <w:rFonts w:ascii="Calibri" w:hAnsi="Calibri" w:cs="Calibri"/>
          <w:i/>
          <w:i/>
          <w:iCs/>
          <w:sz w:val="24"/>
          <w:szCs w:val="24"/>
          <w:lang w:val="en-AU"/>
        </w:rPr>
      </w:pPr>
      <w:r>
        <w:rPr>
          <w:rFonts w:cs="Arial" w:ascii="Calibri" w:hAnsi="Calibri"/>
          <w:bCs/>
          <w:sz w:val="24"/>
          <w:szCs w:val="24"/>
          <w:lang w:val="en-AU"/>
        </w:rPr>
        <w:t xml:space="preserve">2e5 CAR T cells were co-cultured with 1e5 E0771-HER2 tumour cells, stimulated with </w:t>
      </w:r>
      <w:r>
        <w:rPr>
          <w:rFonts w:cs="Arial" w:ascii="Calibri" w:hAnsi="Calibri"/>
          <w:bCs/>
          <w:sz w:val="24"/>
          <w:szCs w:val="24"/>
          <w:lang w:val="el-GR"/>
        </w:rPr>
        <w:t>α</w:t>
      </w:r>
      <w:r>
        <w:rPr>
          <w:rFonts w:cs="Arial" w:ascii="Calibri" w:hAnsi="Calibri"/>
          <w:bCs/>
          <w:sz w:val="24"/>
          <w:szCs w:val="24"/>
          <w:lang w:val="en-AU"/>
        </w:rPr>
        <w:t xml:space="preserve">CD3 and </w:t>
      </w:r>
      <w:r>
        <w:rPr>
          <w:rFonts w:cs="Arial" w:ascii="Calibri" w:hAnsi="Calibri"/>
          <w:bCs/>
          <w:sz w:val="24"/>
          <w:szCs w:val="24"/>
          <w:lang w:val="el-GR"/>
        </w:rPr>
        <w:t>α</w:t>
      </w:r>
      <w:r>
        <w:rPr>
          <w:rFonts w:cs="Arial" w:ascii="Calibri" w:hAnsi="Calibri"/>
          <w:bCs/>
          <w:sz w:val="24"/>
          <w:szCs w:val="24"/>
          <w:lang w:val="en-AU"/>
        </w:rPr>
        <w:t>CD28 or left unstimulated in media. Cells were harvested for analysis via flow cytometry after 96 hours of culture. (a) Co-culture counts of CD8</w:t>
      </w:r>
      <w:r>
        <w:rPr>
          <w:rFonts w:cs="Arial" w:ascii="Calibri" w:hAnsi="Calibri"/>
          <w:bCs/>
          <w:sz w:val="24"/>
          <w:szCs w:val="24"/>
          <w:vertAlign w:val="superscript"/>
          <w:lang w:val="en-AU"/>
        </w:rPr>
        <w:t>+</w:t>
      </w:r>
      <w:r>
        <w:rPr>
          <w:rFonts w:cs="Arial" w:ascii="Calibri" w:hAnsi="Calibri"/>
          <w:bCs/>
          <w:sz w:val="24"/>
          <w:szCs w:val="24"/>
          <w:lang w:val="en-AU"/>
        </w:rPr>
        <w:t xml:space="preserve"> T cells in ADA-Foxo1 overexpressing CAR T cell compared to control (NGFR) CAR T cells. (b) Co-culture counts of CD8</w:t>
      </w:r>
      <w:r>
        <w:rPr>
          <w:rFonts w:cs="Arial" w:ascii="Calibri" w:hAnsi="Calibri"/>
          <w:bCs/>
          <w:sz w:val="24"/>
          <w:szCs w:val="24"/>
          <w:vertAlign w:val="superscript"/>
          <w:lang w:val="en-AU"/>
        </w:rPr>
        <w:t>+</w:t>
      </w:r>
      <w:r>
        <w:rPr>
          <w:rFonts w:cs="Arial" w:ascii="Calibri" w:hAnsi="Calibri"/>
          <w:bCs/>
          <w:sz w:val="24"/>
          <w:szCs w:val="24"/>
          <w:lang w:val="en-AU"/>
        </w:rPr>
        <w:t xml:space="preserve"> T cells in Tcf1 overexpressing CAR T cell compared to control CAR T cells. (c) Representative FACS plots of CAR T cell </w:t>
      </w:r>
      <w:r>
        <w:rPr>
          <w:rFonts w:cs="Calibri" w:ascii="Calibri" w:hAnsi="Calibri"/>
          <w:sz w:val="24"/>
          <w:szCs w:val="24"/>
          <w:lang w:val="en-AU"/>
        </w:rPr>
        <w:t>CD44 and CD62L expression following E0771-HER2 challenge. (d) Quantification of T</w:t>
      </w:r>
      <w:r>
        <w:rPr>
          <w:rFonts w:cs="Calibri" w:ascii="Calibri" w:hAnsi="Calibri"/>
          <w:sz w:val="24"/>
          <w:szCs w:val="24"/>
          <w:vertAlign w:val="subscript"/>
          <w:lang w:val="en-AU"/>
        </w:rPr>
        <w:t>CM</w:t>
      </w:r>
      <w:r>
        <w:rPr>
          <w:rFonts w:cs="Calibri" w:ascii="Calibri" w:hAnsi="Calibri"/>
          <w:sz w:val="24"/>
          <w:szCs w:val="24"/>
          <w:lang w:val="en-AU"/>
        </w:rPr>
        <w:t xml:space="preserve"> (CM) and T</w:t>
      </w:r>
      <w:r>
        <w:rPr>
          <w:rFonts w:cs="Calibri" w:ascii="Calibri" w:hAnsi="Calibri"/>
          <w:sz w:val="24"/>
          <w:szCs w:val="24"/>
          <w:vertAlign w:val="subscript"/>
          <w:lang w:val="en-AU"/>
        </w:rPr>
        <w:t>EM</w:t>
      </w:r>
      <w:r>
        <w:rPr>
          <w:rFonts w:cs="Calibri" w:ascii="Calibri" w:hAnsi="Calibri"/>
          <w:sz w:val="24"/>
          <w:szCs w:val="24"/>
          <w:lang w:val="en-AU"/>
        </w:rPr>
        <w:t xml:space="preserve"> (EM) cell subsets of CAR T cells following E0771-HER2 challenge. (e) Representative FACS plots of CAR T cells co-expressing Tcf1 and CD62L. (f) Quantification of Tcf1 and CD62L co-expressing CAR T cells following E0771-HER2 challenge. (g) Quantification of Tcf1 and CD62L co-expressing CAR T cells following</w:t>
      </w:r>
      <w:r>
        <w:rPr>
          <w:rFonts w:cs="Arial" w:ascii="Calibri" w:hAnsi="Calibri"/>
          <w:bCs/>
          <w:sz w:val="24"/>
          <w:szCs w:val="24"/>
          <w:lang w:val="en-AU"/>
        </w:rPr>
        <w:t xml:space="preserve"> </w:t>
      </w:r>
      <w:r>
        <w:rPr>
          <w:rFonts w:cs="Arial" w:ascii="Calibri" w:hAnsi="Calibri"/>
          <w:bCs/>
          <w:sz w:val="24"/>
          <w:szCs w:val="24"/>
          <w:lang w:val="el-GR"/>
        </w:rPr>
        <w:t>α</w:t>
      </w:r>
      <w:r>
        <w:rPr>
          <w:rFonts w:cs="Arial" w:ascii="Calibri" w:hAnsi="Calibri"/>
          <w:bCs/>
          <w:sz w:val="24"/>
          <w:szCs w:val="24"/>
          <w:lang w:val="en-AU"/>
        </w:rPr>
        <w:t xml:space="preserve">CD3 and </w:t>
      </w:r>
      <w:r>
        <w:rPr>
          <w:rFonts w:cs="Arial" w:ascii="Calibri" w:hAnsi="Calibri"/>
          <w:bCs/>
          <w:sz w:val="24"/>
          <w:szCs w:val="24"/>
          <w:lang w:val="el-GR"/>
        </w:rPr>
        <w:t>α</w:t>
      </w:r>
      <w:r>
        <w:rPr>
          <w:rFonts w:cs="Arial" w:ascii="Calibri" w:hAnsi="Calibri"/>
          <w:bCs/>
          <w:sz w:val="24"/>
          <w:szCs w:val="24"/>
          <w:lang w:val="en-AU"/>
        </w:rPr>
        <w:t xml:space="preserve">CD28 stimulation. (h) Representative FACS plots of CAR T cells co-expressing Pd-1 and Lag3 following E0771-HER2 challenge. (i) </w:t>
      </w:r>
      <w:r>
        <w:rPr>
          <w:rFonts w:cs="Calibri" w:ascii="Calibri" w:hAnsi="Calibri"/>
          <w:sz w:val="24"/>
          <w:szCs w:val="24"/>
          <w:lang w:val="en-AU"/>
        </w:rPr>
        <w:t xml:space="preserve">Quantification of Pd-1 and Lag3 co-expressing CAR T cells following E0771-HER2 challenge. Data is presented as </w:t>
      </w:r>
      <w:r>
        <w:rPr/>
      </w:r>
      <m:oMath xmlns:m="http://schemas.openxmlformats.org/officeDocument/2006/math">
        <m:r>
          <w:rPr>
            <w:rFonts w:ascii="Cambria Math" w:hAnsi="Cambria Math"/>
          </w:rPr>
          <m:t xml:space="preserve">±</m:t>
        </m:r>
      </m:oMath>
      <w:r>
        <w:rPr>
          <w:rFonts w:cs="Calibri" w:ascii="Calibri" w:hAnsi="Calibri"/>
          <w:sz w:val="24"/>
          <w:szCs w:val="24"/>
          <w:lang w:val="en-AU"/>
        </w:rPr>
        <w:t xml:space="preserve"> SEM and representative of more than 3 independent experiments. </w:t>
      </w:r>
      <w:r>
        <w:rPr>
          <w:rFonts w:cs="Calibri" w:ascii="Calibri" w:hAnsi="Calibri"/>
          <w:i/>
          <w:iCs/>
          <w:sz w:val="24"/>
          <w:szCs w:val="24"/>
          <w:lang w:val="en-AU"/>
        </w:rPr>
        <w:t>(****p&lt;0.0001, ***p&lt;0.001, *p&lt;0.05, student’s t-test or one-way ANOVA)</w:t>
      </w:r>
    </w:p>
    <w:p>
      <w:pPr>
        <w:pStyle w:val="PlainText"/>
        <w:rPr>
          <w:rFonts w:ascii="Calibri" w:hAnsi="Calibri" w:cs="Calibri"/>
          <w:i/>
          <w:i/>
          <w:iCs/>
          <w:sz w:val="24"/>
          <w:szCs w:val="24"/>
          <w:lang w:val="en-AU"/>
        </w:rPr>
      </w:pPr>
      <w:r>
        <w:rPr>
          <w:rFonts w:cs="Calibri" w:ascii="Calibri" w:hAnsi="Calibri"/>
          <w:i/>
          <w:iCs/>
          <w:sz w:val="24"/>
          <w:szCs w:val="24"/>
          <w:lang w:val="en-AU"/>
        </w:rPr>
      </w:r>
    </w:p>
    <w:p>
      <w:pPr>
        <w:pStyle w:val="PlainText"/>
        <w:jc w:val="center"/>
        <w:rPr>
          <w:rFonts w:ascii="Calibri" w:hAnsi="Calibri" w:cs="Arial"/>
          <w:bCs/>
          <w:i/>
          <w:i/>
          <w:iCs/>
          <w:sz w:val="24"/>
          <w:szCs w:val="24"/>
          <w:lang w:val="en-AU"/>
        </w:rPr>
      </w:pPr>
      <w:r>
        <w:rPr/>
        <w:drawing>
          <wp:inline distT="0" distB="0" distL="0" distR="0">
            <wp:extent cx="5103495" cy="4220845"/>
            <wp:effectExtent l="0" t="0" r="0" b="0"/>
            <wp:docPr id="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4" descr=""/>
                    <pic:cNvPicPr>
                      <a:picLocks noChangeAspect="1" noChangeArrowheads="1"/>
                    </pic:cNvPicPr>
                  </pic:nvPicPr>
                  <pic:blipFill>
                    <a:blip r:embed="rId8"/>
                    <a:stretch>
                      <a:fillRect/>
                    </a:stretch>
                  </pic:blipFill>
                  <pic:spPr bwMode="auto">
                    <a:xfrm>
                      <a:off x="0" y="0"/>
                      <a:ext cx="5103495" cy="4220845"/>
                    </a:xfrm>
                    <a:prstGeom prst="rect">
                      <a:avLst/>
                    </a:prstGeom>
                  </pic:spPr>
                </pic:pic>
              </a:graphicData>
            </a:graphic>
          </wp:inline>
        </w:drawing>
      </w:r>
      <w:r>
        <w:br w:type="page"/>
      </w:r>
    </w:p>
    <w:p>
      <w:pPr>
        <w:pStyle w:val="PlainText"/>
        <w:rPr>
          <w:rFonts w:ascii="Calibri" w:hAnsi="Calibri" w:cs="Arial"/>
          <w:bCs/>
          <w:sz w:val="24"/>
          <w:szCs w:val="24"/>
          <w:lang w:val="en-AU"/>
        </w:rPr>
      </w:pPr>
      <w:r>
        <w:rPr>
          <w:rFonts w:cs="Arial" w:ascii="Calibri" w:hAnsi="Calibri"/>
          <w:b/>
          <w:sz w:val="24"/>
          <w:szCs w:val="24"/>
          <w:lang w:val="en-AU"/>
        </w:rPr>
        <w:t>Figure 4. ADA-Foxo1 and Tcf1 overexpressing CAR T cells have improved cytokine secretion.</w:t>
      </w:r>
    </w:p>
    <w:p>
      <w:pPr>
        <w:pStyle w:val="PlainText"/>
        <w:rPr>
          <w:rFonts w:ascii="Calibri" w:hAnsi="Calibri" w:cs="Calibri"/>
          <w:i/>
          <w:i/>
          <w:iCs/>
          <w:sz w:val="24"/>
          <w:szCs w:val="24"/>
          <w:lang w:val="en-AU"/>
        </w:rPr>
      </w:pPr>
      <w:r>
        <w:rPr>
          <w:rFonts w:cs="Arial" w:ascii="Calibri" w:hAnsi="Calibri"/>
          <w:bCs/>
          <w:sz w:val="24"/>
          <w:szCs w:val="24"/>
          <w:lang w:val="en-AU"/>
        </w:rPr>
        <w:t xml:space="preserve">2e5 CAR T cells were co-cultured with 1e5 E0771-HER2 tumour cells, stimulated with </w:t>
      </w:r>
      <w:r>
        <w:rPr>
          <w:rFonts w:cs="Arial" w:ascii="Calibri" w:hAnsi="Calibri"/>
          <w:bCs/>
          <w:sz w:val="24"/>
          <w:szCs w:val="24"/>
          <w:lang w:val="el-GR"/>
        </w:rPr>
        <w:t>α</w:t>
      </w:r>
      <w:r>
        <w:rPr>
          <w:rFonts w:cs="Arial" w:ascii="Calibri" w:hAnsi="Calibri"/>
          <w:bCs/>
          <w:sz w:val="24"/>
          <w:szCs w:val="24"/>
          <w:lang w:val="en-AU"/>
        </w:rPr>
        <w:t xml:space="preserve">CD3 and </w:t>
      </w:r>
      <w:r>
        <w:rPr>
          <w:rFonts w:cs="Arial" w:ascii="Calibri" w:hAnsi="Calibri"/>
          <w:bCs/>
          <w:sz w:val="24"/>
          <w:szCs w:val="24"/>
          <w:lang w:val="el-GR"/>
        </w:rPr>
        <w:t>α</w:t>
      </w:r>
      <w:r>
        <w:rPr>
          <w:rFonts w:cs="Arial" w:ascii="Calibri" w:hAnsi="Calibri"/>
          <w:bCs/>
          <w:sz w:val="24"/>
          <w:szCs w:val="24"/>
          <w:lang w:val="en-AU"/>
        </w:rPr>
        <w:t>CD28 or left unstimulated in media. Co-culture supernatants were harvested for analysis via CBA after 24 hours. TNF</w:t>
      </w:r>
      <w:r>
        <w:rPr>
          <w:rFonts w:cs="Arial" w:ascii="Calibri" w:hAnsi="Calibri"/>
          <w:bCs/>
          <w:sz w:val="24"/>
          <w:szCs w:val="24"/>
          <w:lang w:val="el-GR"/>
        </w:rPr>
        <w:t>α</w:t>
      </w:r>
      <w:r>
        <w:rPr>
          <w:rFonts w:cs="Arial" w:ascii="Calibri" w:hAnsi="Calibri"/>
          <w:bCs/>
          <w:sz w:val="24"/>
          <w:szCs w:val="24"/>
          <w:lang w:val="en-AU"/>
        </w:rPr>
        <w:t xml:space="preserve"> and IFN</w:t>
      </w:r>
      <w:r>
        <w:rPr>
          <w:rFonts w:cs="Arial" w:ascii="Calibri" w:hAnsi="Calibri"/>
          <w:bCs/>
          <w:sz w:val="24"/>
          <w:szCs w:val="24"/>
          <w:lang w:val="el-GR"/>
        </w:rPr>
        <w:t>γ</w:t>
      </w:r>
      <w:r>
        <w:rPr>
          <w:rFonts w:cs="Arial" w:ascii="Calibri" w:hAnsi="Calibri"/>
          <w:bCs/>
          <w:sz w:val="24"/>
          <w:szCs w:val="24"/>
          <w:lang w:val="en-AU"/>
        </w:rPr>
        <w:t xml:space="preserve"> secretion of (a) ADA-Foxo1 and (b) Tcf1 overexpressing CAR T cells compared to control CAR T cells following E0771-Her2 challenge or </w:t>
      </w:r>
      <w:r>
        <w:rPr>
          <w:rFonts w:cs="Arial" w:ascii="Calibri" w:hAnsi="Calibri"/>
          <w:bCs/>
          <w:sz w:val="24"/>
          <w:szCs w:val="24"/>
          <w:lang w:val="el-GR"/>
        </w:rPr>
        <w:t>α</w:t>
      </w:r>
      <w:r>
        <w:rPr>
          <w:rFonts w:cs="Arial" w:ascii="Calibri" w:hAnsi="Calibri"/>
          <w:bCs/>
          <w:sz w:val="24"/>
          <w:szCs w:val="24"/>
          <w:lang w:val="en-AU"/>
        </w:rPr>
        <w:t xml:space="preserve">CD3 and </w:t>
      </w:r>
      <w:r>
        <w:rPr>
          <w:rFonts w:cs="Arial" w:ascii="Calibri" w:hAnsi="Calibri"/>
          <w:bCs/>
          <w:sz w:val="24"/>
          <w:szCs w:val="24"/>
          <w:lang w:val="el-GR"/>
        </w:rPr>
        <w:t>α</w:t>
      </w:r>
      <w:r>
        <w:rPr>
          <w:rFonts w:cs="Arial" w:ascii="Calibri" w:hAnsi="Calibri"/>
          <w:bCs/>
          <w:sz w:val="24"/>
          <w:szCs w:val="24"/>
          <w:lang w:val="en-AU"/>
        </w:rPr>
        <w:t xml:space="preserve">CD28 stimulation. </w:t>
      </w:r>
      <w:r>
        <w:rPr>
          <w:rFonts w:cs="Calibri" w:ascii="Calibri" w:hAnsi="Calibri"/>
          <w:sz w:val="24"/>
          <w:szCs w:val="24"/>
          <w:lang w:val="en-AU"/>
        </w:rPr>
        <w:t xml:space="preserve">Data is presented as </w:t>
      </w:r>
      <w:r>
        <w:rPr/>
      </w:r>
      <m:oMath xmlns:m="http://schemas.openxmlformats.org/officeDocument/2006/math">
        <m:r>
          <w:rPr>
            <w:rFonts w:ascii="Cambria Math" w:hAnsi="Cambria Math"/>
          </w:rPr>
          <m:t xml:space="preserve">±</m:t>
        </m:r>
      </m:oMath>
      <w:r>
        <w:rPr>
          <w:rFonts w:cs="Calibri" w:ascii="Calibri" w:hAnsi="Calibri"/>
          <w:sz w:val="24"/>
          <w:szCs w:val="24"/>
          <w:lang w:val="en-AU"/>
        </w:rPr>
        <w:t xml:space="preserve"> SEM and representative of more than 3 independent experiments. </w:t>
      </w:r>
      <w:r>
        <w:rPr>
          <w:rFonts w:cs="Calibri" w:ascii="Calibri" w:hAnsi="Calibri"/>
          <w:i/>
          <w:iCs/>
          <w:sz w:val="24"/>
          <w:szCs w:val="24"/>
          <w:lang w:val="en-AU"/>
        </w:rPr>
        <w:t>(****p&lt;0.0001, student’s t-test)</w:t>
      </w:r>
    </w:p>
    <w:p>
      <w:pPr>
        <w:pStyle w:val="PlainText"/>
        <w:rPr>
          <w:rFonts w:ascii="Calibri" w:hAnsi="Calibri" w:cs="Arial"/>
          <w:bCs/>
          <w:sz w:val="24"/>
          <w:szCs w:val="24"/>
          <w:lang w:val="en-AU"/>
        </w:rPr>
      </w:pPr>
      <w:r>
        <w:rPr>
          <w:rFonts w:cs="Arial" w:ascii="Calibri" w:hAnsi="Calibri"/>
          <w:bCs/>
          <w:sz w:val="24"/>
          <w:szCs w:val="24"/>
          <w:lang w:val="en-AU"/>
        </w:rPr>
      </w:r>
      <w:r>
        <w:br w:type="page"/>
      </w:r>
    </w:p>
    <w:p>
      <w:pPr>
        <w:pStyle w:val="PlainText"/>
        <w:rPr>
          <w:rFonts w:ascii="Calibri" w:hAnsi="Calibri" w:cs="Arial"/>
          <w:bCs/>
          <w:sz w:val="24"/>
          <w:szCs w:val="24"/>
          <w:lang w:val="en-AU"/>
        </w:rPr>
      </w:pPr>
      <w:r>
        <w:rPr>
          <w:rFonts w:cs="Arial" w:ascii="Calibri" w:hAnsi="Calibri"/>
          <w:b/>
          <w:sz w:val="24"/>
          <w:szCs w:val="24"/>
          <w:lang w:val="en-AU"/>
        </w:rPr>
        <w:t xml:space="preserve">Aim 2b. </w:t>
      </w:r>
      <w:r>
        <w:rPr>
          <w:rFonts w:cs="Calibri" w:ascii="Calibri" w:hAnsi="Calibri"/>
          <w:sz w:val="24"/>
          <w:szCs w:val="24"/>
          <w:lang w:val="en-AU"/>
        </w:rPr>
        <w:t xml:space="preserve">Establish transcription factor modified CAR T cell phenotype and assess persistence </w:t>
      </w:r>
      <w:r>
        <w:rPr>
          <w:rFonts w:cs="Calibri" w:ascii="Calibri" w:hAnsi="Calibri"/>
          <w:i/>
          <w:iCs/>
          <w:sz w:val="24"/>
          <w:szCs w:val="24"/>
          <w:lang w:val="en-AU"/>
        </w:rPr>
        <w:t>in vivo</w:t>
      </w:r>
    </w:p>
    <w:p>
      <w:pPr>
        <w:pStyle w:val="Normal"/>
        <w:jc w:val="both"/>
        <w:rPr>
          <w:rFonts w:ascii="Calibri" w:hAnsi="Calibri" w:cs="Calibri"/>
          <w:szCs w:val="24"/>
          <w:lang w:val="en-AU"/>
        </w:rPr>
      </w:pPr>
      <w:r>
        <w:rPr>
          <w:rFonts w:cs="Calibri" w:ascii="Calibri" w:hAnsi="Calibri"/>
          <w:szCs w:val="24"/>
          <w:lang w:val="en-AU"/>
        </w:rPr>
      </w:r>
    </w:p>
    <w:p>
      <w:pPr>
        <w:pStyle w:val="PlainText"/>
        <w:rPr>
          <w:rFonts w:ascii="Calibri" w:hAnsi="Calibri" w:cs="Arial"/>
          <w:bCs/>
          <w:sz w:val="24"/>
          <w:szCs w:val="24"/>
          <w:lang w:val="en-AU"/>
        </w:rPr>
      </w:pPr>
      <w:r>
        <w:rPr>
          <w:rFonts w:cs="Arial" w:ascii="Calibri" w:hAnsi="Calibri"/>
          <w:bCs/>
          <w:sz w:val="24"/>
          <w:szCs w:val="24"/>
          <w:lang w:val="en-AU"/>
        </w:rPr>
        <w:t xml:space="preserve">We next tested Tcf1 as our first </w:t>
      </w:r>
      <w:r>
        <w:rPr>
          <w:rFonts w:cs="Arial" w:ascii="Calibri" w:hAnsi="Calibri"/>
          <w:bCs/>
          <w:i/>
          <w:iCs/>
          <w:sz w:val="24"/>
          <w:szCs w:val="24"/>
          <w:lang w:val="en-AU"/>
        </w:rPr>
        <w:t xml:space="preserve">in vivo </w:t>
      </w:r>
      <w:r>
        <w:rPr>
          <w:rFonts w:cs="Arial" w:ascii="Calibri" w:hAnsi="Calibri"/>
          <w:bCs/>
          <w:sz w:val="24"/>
          <w:szCs w:val="24"/>
          <w:lang w:val="en-AU"/>
        </w:rPr>
        <w:t xml:space="preserve">candidate in a preliminary study. CAR T cell </w:t>
      </w:r>
      <w:r>
        <w:rPr>
          <w:rFonts w:cs="Arial" w:ascii="Calibri" w:hAnsi="Calibri"/>
          <w:bCs/>
          <w:i/>
          <w:iCs/>
          <w:sz w:val="24"/>
          <w:szCs w:val="24"/>
          <w:lang w:val="en-AU"/>
        </w:rPr>
        <w:t>In vivo</w:t>
      </w:r>
      <w:r>
        <w:rPr>
          <w:rFonts w:cs="Arial" w:ascii="Calibri" w:hAnsi="Calibri"/>
          <w:bCs/>
          <w:sz w:val="24"/>
          <w:szCs w:val="24"/>
          <w:lang w:val="en-AU"/>
        </w:rPr>
        <w:t xml:space="preserve"> persistence and phenotype was investigated by utilising an immunocompetent transgenic C57BL/6 human HER2 (hHER2) expressing mouse model that has been well characterised in our laboratory. In this model, mice were inoculated orthotopically with E0771-HER2 tumour cells in the mammary fat pad. Whilst tumours established, Tcf1 overexpressing and control CAR T cells were transduced as described in </w:t>
      </w:r>
      <w:r>
        <w:rPr>
          <w:rFonts w:cs="Arial" w:ascii="Calibri" w:hAnsi="Calibri"/>
          <w:b/>
          <w:sz w:val="24"/>
          <w:szCs w:val="24"/>
          <w:lang w:val="en-AU"/>
        </w:rPr>
        <w:t>Aim 2a</w:t>
      </w:r>
      <w:r>
        <w:rPr>
          <w:rFonts w:cs="Arial" w:ascii="Calibri" w:hAnsi="Calibri"/>
          <w:bCs/>
          <w:sz w:val="24"/>
          <w:szCs w:val="24"/>
          <w:lang w:val="en-AU"/>
        </w:rPr>
        <w:t>.</w:t>
      </w:r>
      <w:r>
        <w:rPr>
          <w:rFonts w:cs="Arial" w:ascii="Calibri" w:hAnsi="Calibri"/>
          <w:b/>
          <w:sz w:val="24"/>
          <w:szCs w:val="24"/>
          <w:lang w:val="en-AU"/>
        </w:rPr>
        <w:t xml:space="preserve"> </w:t>
      </w:r>
      <w:r>
        <w:rPr>
          <w:rFonts w:cs="Arial" w:ascii="Calibri" w:hAnsi="Calibri"/>
          <w:bCs/>
          <w:sz w:val="24"/>
          <w:szCs w:val="24"/>
          <w:lang w:val="en-AU"/>
        </w:rPr>
        <w:t>Notably, the NGFR expression on Tcf1 overexpressing CAR T cells was more than 2-fold lower than control CAR T cells as observed in previous transductions (Fig 2a).</w:t>
      </w:r>
      <w:r>
        <w:rPr>
          <w:rFonts w:cs="Arial" w:ascii="Calibri" w:hAnsi="Calibri"/>
          <w:b/>
          <w:sz w:val="24"/>
          <w:szCs w:val="24"/>
          <w:lang w:val="en-AU"/>
        </w:rPr>
        <w:t xml:space="preserve"> </w:t>
      </w:r>
      <w:r>
        <w:rPr>
          <w:rFonts w:cs="Arial" w:ascii="Calibri" w:hAnsi="Calibri"/>
          <w:bCs/>
          <w:sz w:val="24"/>
          <w:szCs w:val="24"/>
          <w:lang w:val="en-AU"/>
        </w:rPr>
        <w:t>After tumours were established for 7 days post inoculation, mice were irradiated at a dose of 4 Gy for lymphocyte engraftment and were treated with two doses of 10e6 control or Tcf1 overexpressing CAR T cells. Tumours were harvested for analysis via flow cytometry 8 days following CAR T cell treatment.</w:t>
      </w:r>
    </w:p>
    <w:p>
      <w:pPr>
        <w:pStyle w:val="PlainText"/>
        <w:rPr>
          <w:rFonts w:ascii="Calibri" w:hAnsi="Calibri" w:cs="Arial"/>
          <w:bCs/>
          <w:sz w:val="24"/>
          <w:szCs w:val="24"/>
          <w:lang w:val="en-AU"/>
        </w:rPr>
      </w:pPr>
      <w:r>
        <w:rPr>
          <w:rFonts w:cs="Arial" w:ascii="Calibri" w:hAnsi="Calibri"/>
          <w:bCs/>
          <w:sz w:val="24"/>
          <w:szCs w:val="24"/>
          <w:lang w:val="en-AU"/>
        </w:rPr>
      </w:r>
    </w:p>
    <w:p>
      <w:pPr>
        <w:pStyle w:val="PlainText"/>
        <w:rPr>
          <w:rFonts w:ascii="Calibri" w:hAnsi="Calibri" w:cs="Arial"/>
          <w:bCs/>
          <w:sz w:val="24"/>
          <w:szCs w:val="24"/>
          <w:lang w:val="en-AU"/>
        </w:rPr>
      </w:pPr>
      <w:r>
        <w:rPr>
          <w:rFonts w:cs="Arial" w:ascii="Calibri" w:hAnsi="Calibri"/>
          <w:bCs/>
          <w:sz w:val="24"/>
          <w:szCs w:val="24"/>
          <w:lang w:val="en-AU"/>
        </w:rPr>
        <w:t>Although non-significant, we observed a trend for increased tumour infiltrating CD8</w:t>
      </w:r>
      <w:r>
        <w:rPr>
          <w:rFonts w:cs="Arial" w:ascii="Calibri" w:hAnsi="Calibri"/>
          <w:bCs/>
          <w:sz w:val="24"/>
          <w:szCs w:val="24"/>
          <w:vertAlign w:val="superscript"/>
          <w:lang w:val="en-AU"/>
        </w:rPr>
        <w:t>+</w:t>
      </w:r>
      <w:r>
        <w:rPr>
          <w:rFonts w:cs="Arial" w:ascii="Calibri" w:hAnsi="Calibri"/>
          <w:bCs/>
          <w:sz w:val="24"/>
          <w:szCs w:val="24"/>
          <w:lang w:val="en-AU"/>
        </w:rPr>
        <w:t xml:space="preserve"> T cells in mice treated with Tcf1 overexpressing CAR T cells (Fig 5a). Importantly, despite the lower frequency of NGFR expressing cells (Fig 2a), the number of tumour infiltrating NGFR+CD8+CD62L</w:t>
      </w:r>
      <w:r>
        <w:rPr>
          <w:rFonts w:cs="Arial" w:ascii="Calibri" w:hAnsi="Calibri"/>
          <w:bCs/>
          <w:sz w:val="24"/>
          <w:szCs w:val="24"/>
          <w:vertAlign w:val="superscript"/>
          <w:lang w:val="en-AU"/>
        </w:rPr>
        <w:t>+</w:t>
      </w:r>
      <w:r>
        <w:rPr>
          <w:rFonts w:cs="Arial" w:ascii="Calibri" w:hAnsi="Calibri"/>
          <w:bCs/>
          <w:sz w:val="24"/>
          <w:szCs w:val="24"/>
          <w:lang w:val="en-AU"/>
        </w:rPr>
        <w:t>Tcf1</w:t>
      </w:r>
      <w:r>
        <w:rPr>
          <w:rFonts w:cs="Arial" w:ascii="Calibri" w:hAnsi="Calibri"/>
          <w:bCs/>
          <w:sz w:val="24"/>
          <w:szCs w:val="24"/>
          <w:vertAlign w:val="superscript"/>
          <w:lang w:val="en-AU"/>
        </w:rPr>
        <w:t>+</w:t>
      </w:r>
      <w:r>
        <w:rPr>
          <w:rFonts w:cs="Arial" w:ascii="Calibri" w:hAnsi="Calibri"/>
          <w:bCs/>
          <w:sz w:val="24"/>
          <w:szCs w:val="24"/>
          <w:lang w:val="en-AU"/>
        </w:rPr>
        <w:t xml:space="preserve"> cells was significantly higher in mice treated withTcf1 overexpressing CAR T cells (Fig 5b). This would suggest that in combination with the trends for increased infiltration of CD8</w:t>
      </w:r>
      <w:r>
        <w:rPr>
          <w:rFonts w:cs="Arial" w:ascii="Calibri" w:hAnsi="Calibri"/>
          <w:bCs/>
          <w:sz w:val="24"/>
          <w:szCs w:val="24"/>
          <w:vertAlign w:val="superscript"/>
          <w:lang w:val="en-AU"/>
        </w:rPr>
        <w:t>+</w:t>
      </w:r>
      <w:r>
        <w:rPr>
          <w:rFonts w:cs="Arial" w:ascii="Calibri" w:hAnsi="Calibri"/>
          <w:bCs/>
          <w:sz w:val="24"/>
          <w:szCs w:val="24"/>
          <w:lang w:val="en-AU"/>
        </w:rPr>
        <w:t xml:space="preserve"> T cells, Tcf1 overexpressing cells were either able to expand or maintain improved survival compared to control T cells. </w:t>
      </w:r>
    </w:p>
    <w:p>
      <w:pPr>
        <w:pStyle w:val="PlainText"/>
        <w:rPr>
          <w:rFonts w:ascii="Calibri" w:hAnsi="Calibri" w:cs="Arial"/>
          <w:bCs/>
          <w:sz w:val="24"/>
          <w:szCs w:val="24"/>
          <w:lang w:val="en-AU"/>
        </w:rPr>
      </w:pPr>
      <w:r>
        <w:rPr>
          <w:rFonts w:cs="Arial" w:ascii="Calibri" w:hAnsi="Calibri"/>
          <w:bCs/>
          <w:sz w:val="24"/>
          <w:szCs w:val="24"/>
          <w:lang w:val="en-AU"/>
        </w:rPr>
      </w:r>
    </w:p>
    <w:p>
      <w:pPr>
        <w:pStyle w:val="PlainText"/>
        <w:rPr>
          <w:rFonts w:ascii="Calibri" w:hAnsi="Calibri" w:cs="Arial"/>
          <w:bCs/>
          <w:sz w:val="24"/>
          <w:szCs w:val="24"/>
          <w:lang w:val="en-AU"/>
        </w:rPr>
      </w:pPr>
      <w:r>
        <w:rPr>
          <w:rFonts w:cs="Arial" w:ascii="Calibri" w:hAnsi="Calibri"/>
          <w:bCs/>
          <w:sz w:val="24"/>
          <w:szCs w:val="24"/>
          <w:lang w:val="en-AU"/>
        </w:rPr>
        <w:t>Analysis memory and exhaustion markers revealed that Tcf1 overexpressing CAR T cells were of a less exhausted, more persistent phenotype. When gating on CD44 and CD62L, NGFR</w:t>
      </w:r>
      <w:r>
        <w:rPr>
          <w:rFonts w:cs="Arial" w:ascii="Calibri" w:hAnsi="Calibri"/>
          <w:bCs/>
          <w:sz w:val="24"/>
          <w:szCs w:val="24"/>
          <w:vertAlign w:val="superscript"/>
          <w:lang w:val="en-AU"/>
        </w:rPr>
        <w:t>+</w:t>
      </w:r>
      <w:r>
        <w:rPr>
          <w:rFonts w:cs="Arial" w:ascii="Calibri" w:hAnsi="Calibri"/>
          <w:bCs/>
          <w:sz w:val="24"/>
          <w:szCs w:val="24"/>
          <w:lang w:val="en-AU"/>
        </w:rPr>
        <w:t xml:space="preserve"> Tcf1 overexpressing CAR T cells maintained higher frequencies of T</w:t>
      </w:r>
      <w:r>
        <w:rPr>
          <w:rFonts w:cs="Arial" w:ascii="Calibri" w:hAnsi="Calibri"/>
          <w:bCs/>
          <w:sz w:val="24"/>
          <w:szCs w:val="24"/>
          <w:vertAlign w:val="subscript"/>
          <w:lang w:val="en-AU"/>
        </w:rPr>
        <w:t>CM</w:t>
      </w:r>
      <w:r>
        <w:rPr>
          <w:rFonts w:cs="Arial" w:ascii="Calibri" w:hAnsi="Calibri"/>
          <w:bCs/>
          <w:sz w:val="24"/>
          <w:szCs w:val="24"/>
          <w:lang w:val="en-AU"/>
        </w:rPr>
        <w:t xml:space="preserve"> cells and cells that co-expressed CD62L and Tcf1 when compared to control CAR T cells (Fig 5c and 5d). Furthermore, Tcf1 overexpressing CAR T cells had lower frequencies of T</w:t>
      </w:r>
      <w:r>
        <w:rPr>
          <w:rFonts w:cs="Arial" w:ascii="Calibri" w:hAnsi="Calibri"/>
          <w:bCs/>
          <w:sz w:val="24"/>
          <w:szCs w:val="24"/>
          <w:vertAlign w:val="subscript"/>
          <w:lang w:val="en-AU"/>
        </w:rPr>
        <w:t>EM</w:t>
      </w:r>
      <w:r>
        <w:rPr>
          <w:rFonts w:cs="Arial" w:ascii="Calibri" w:hAnsi="Calibri"/>
          <w:bCs/>
          <w:sz w:val="24"/>
          <w:szCs w:val="24"/>
          <w:lang w:val="en-AU"/>
        </w:rPr>
        <w:t xml:space="preserve"> cells and cells co-expressing the immune checkpoint receptor PD-1 and Tim3 (Fig 5e and 5f). </w:t>
      </w:r>
    </w:p>
    <w:p>
      <w:pPr>
        <w:pStyle w:val="PlainText"/>
        <w:rPr>
          <w:rFonts w:ascii="Calibri" w:hAnsi="Calibri" w:cs="Arial"/>
          <w:bCs/>
          <w:sz w:val="24"/>
          <w:szCs w:val="24"/>
          <w:lang w:val="en-AU"/>
        </w:rPr>
      </w:pPr>
      <w:r>
        <w:rPr>
          <w:rFonts w:cs="Arial" w:ascii="Calibri" w:hAnsi="Calibri"/>
          <w:bCs/>
          <w:sz w:val="24"/>
          <w:szCs w:val="24"/>
          <w:lang w:val="en-AU"/>
        </w:rPr>
      </w:r>
    </w:p>
    <w:p>
      <w:pPr>
        <w:pStyle w:val="PlainText"/>
        <w:rPr>
          <w:rFonts w:ascii="Calibri" w:hAnsi="Calibri" w:cs="Arial"/>
          <w:bCs/>
          <w:sz w:val="24"/>
          <w:szCs w:val="24"/>
          <w:lang w:val="en-AU"/>
        </w:rPr>
      </w:pPr>
      <w:r>
        <w:rPr>
          <w:rFonts w:cs="Arial" w:ascii="Calibri" w:hAnsi="Calibri"/>
          <w:bCs/>
          <w:sz w:val="24"/>
          <w:szCs w:val="24"/>
          <w:lang w:val="en-AU"/>
        </w:rPr>
        <w:t xml:space="preserve">Collectively, this data indicates that in an </w:t>
      </w:r>
      <w:r>
        <w:rPr>
          <w:rFonts w:cs="Arial" w:ascii="Calibri" w:hAnsi="Calibri"/>
          <w:bCs/>
          <w:i/>
          <w:iCs/>
          <w:sz w:val="24"/>
          <w:szCs w:val="24"/>
          <w:lang w:val="en-AU"/>
        </w:rPr>
        <w:t>in vivo</w:t>
      </w:r>
      <w:r>
        <w:rPr>
          <w:rFonts w:cs="Arial" w:ascii="Calibri" w:hAnsi="Calibri"/>
          <w:bCs/>
          <w:sz w:val="24"/>
          <w:szCs w:val="24"/>
          <w:lang w:val="en-AU"/>
        </w:rPr>
        <w:t xml:space="preserve"> setting, Tcf1 overexpression is durable and is associated with greater proportions of self-renewing tumour infiltrating CAR T cells. Moreover, Tcf1 overexpressing CAR T cells appear to be less terminally differentiated compared to control CAR T cells. This may suggest that Tcf1 overexpressing CAR T cells could have improved responses to immune checkpoint receptor blockade as these cells are of a phenotype that aligns with T</w:t>
      </w:r>
      <w:r>
        <w:rPr>
          <w:rFonts w:cs="Arial" w:ascii="Calibri" w:hAnsi="Calibri"/>
          <w:bCs/>
          <w:sz w:val="24"/>
          <w:szCs w:val="24"/>
          <w:vertAlign w:val="subscript"/>
          <w:lang w:val="en-AU"/>
        </w:rPr>
        <w:t>PEX</w:t>
        <w:softHyphen/>
        <w:t xml:space="preserve"> </w:t>
      </w:r>
      <w:r>
        <w:rPr>
          <w:rFonts w:cs="Arial" w:ascii="Calibri" w:hAnsi="Calibri"/>
          <w:bCs/>
          <w:sz w:val="24"/>
          <w:szCs w:val="24"/>
          <w:lang w:val="en-AU"/>
        </w:rPr>
        <w:t xml:space="preserve">cells. In future experiments, the therapeutic effects of Tcf1 overexpressing CAR T cells will be monitored over time where we can further optimise treatment protocols to elicit central-memory-effector cell transition if needed. Moreover, harvests may be performed at additional time points in order to capture the peak response. Other </w:t>
      </w:r>
      <w:r>
        <w:rPr>
          <w:rFonts w:cs="Arial" w:ascii="Calibri" w:hAnsi="Calibri"/>
          <w:bCs/>
          <w:i/>
          <w:iCs/>
          <w:sz w:val="24"/>
          <w:szCs w:val="24"/>
          <w:lang w:val="en-AU"/>
        </w:rPr>
        <w:t>in vitro</w:t>
      </w:r>
      <w:r>
        <w:rPr>
          <w:rFonts w:cs="Arial" w:ascii="Calibri" w:hAnsi="Calibri"/>
          <w:bCs/>
          <w:sz w:val="24"/>
          <w:szCs w:val="24"/>
          <w:lang w:val="en-AU"/>
        </w:rPr>
        <w:t xml:space="preserve"> verified transcription factors will be studied in a similar setting and compared against each other to determine which candidate contributes to the best persistence and therapeutic effect.</w:t>
      </w:r>
    </w:p>
    <w:p>
      <w:pPr>
        <w:pStyle w:val="PlainText"/>
        <w:jc w:val="center"/>
        <w:rPr>
          <w:rFonts w:ascii="Calibri" w:hAnsi="Calibri" w:cs="Arial"/>
          <w:bCs/>
          <w:sz w:val="24"/>
          <w:szCs w:val="24"/>
          <w:lang w:val="en-AU"/>
        </w:rPr>
      </w:pPr>
      <w:r>
        <w:rPr>
          <w:rFonts w:cs="Arial" w:ascii="Calibri" w:hAnsi="Calibri"/>
          <w:bCs/>
          <w:sz w:val="24"/>
          <w:szCs w:val="24"/>
          <w:lang w:val="en-AU"/>
        </w:rPr>
      </w:r>
      <w:r>
        <w:br w:type="page"/>
      </w:r>
    </w:p>
    <w:p>
      <w:pPr>
        <w:pStyle w:val="PlainText"/>
        <w:rPr>
          <w:rFonts w:ascii="Calibri" w:hAnsi="Calibri" w:cs="Arial"/>
          <w:b/>
          <w:b/>
          <w:sz w:val="24"/>
          <w:szCs w:val="24"/>
          <w:lang w:val="en-AU"/>
        </w:rPr>
      </w:pPr>
      <w:r>
        <w:rPr>
          <w:rFonts w:cs="Arial" w:ascii="Calibri" w:hAnsi="Calibri"/>
          <w:b/>
          <w:sz w:val="24"/>
          <w:szCs w:val="24"/>
          <w:lang w:val="en-AU"/>
        </w:rPr>
      </w:r>
    </w:p>
    <w:p>
      <w:pPr>
        <w:pStyle w:val="PlainText"/>
        <w:jc w:val="center"/>
        <w:rPr>
          <w:rFonts w:ascii="Calibri" w:hAnsi="Calibri" w:cs="Arial"/>
          <w:b/>
          <w:b/>
          <w:sz w:val="24"/>
          <w:szCs w:val="24"/>
          <w:lang w:val="en-AU"/>
        </w:rPr>
      </w:pPr>
      <w:r>
        <w:rPr/>
        <w:drawing>
          <wp:inline distT="0" distB="0" distL="0" distR="0">
            <wp:extent cx="6570345" cy="3557905"/>
            <wp:effectExtent l="0" t="0" r="0" b="0"/>
            <wp:docPr id="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descr=""/>
                    <pic:cNvPicPr>
                      <a:picLocks noChangeAspect="1" noChangeArrowheads="1"/>
                    </pic:cNvPicPr>
                  </pic:nvPicPr>
                  <pic:blipFill>
                    <a:blip r:embed="rId9"/>
                    <a:stretch>
                      <a:fillRect/>
                    </a:stretch>
                  </pic:blipFill>
                  <pic:spPr bwMode="auto">
                    <a:xfrm>
                      <a:off x="0" y="0"/>
                      <a:ext cx="6570345" cy="3557905"/>
                    </a:xfrm>
                    <a:prstGeom prst="rect">
                      <a:avLst/>
                    </a:prstGeom>
                  </pic:spPr>
                </pic:pic>
              </a:graphicData>
            </a:graphic>
          </wp:inline>
        </w:drawing>
      </w:r>
    </w:p>
    <w:p>
      <w:pPr>
        <w:pStyle w:val="PlainText"/>
        <w:rPr>
          <w:rFonts w:ascii="Calibri" w:hAnsi="Calibri" w:cs="Arial"/>
          <w:b/>
          <w:b/>
          <w:sz w:val="24"/>
          <w:szCs w:val="24"/>
          <w:lang w:val="en-AU"/>
        </w:rPr>
      </w:pPr>
      <w:r>
        <w:rPr>
          <w:rFonts w:cs="Arial" w:ascii="Calibri" w:hAnsi="Calibri"/>
          <w:b/>
          <w:sz w:val="24"/>
          <w:szCs w:val="24"/>
          <w:lang w:val="en-AU"/>
        </w:rPr>
      </w:r>
    </w:p>
    <w:p>
      <w:pPr>
        <w:pStyle w:val="PlainText"/>
        <w:rPr>
          <w:rFonts w:ascii="Calibri" w:hAnsi="Calibri" w:cs="Arial"/>
          <w:b/>
          <w:b/>
          <w:sz w:val="24"/>
          <w:szCs w:val="24"/>
          <w:lang w:val="en-AU"/>
        </w:rPr>
      </w:pPr>
      <w:r>
        <w:rPr>
          <w:rFonts w:cs="Arial" w:ascii="Calibri" w:hAnsi="Calibri"/>
          <w:b/>
          <w:sz w:val="24"/>
          <w:szCs w:val="24"/>
          <w:lang w:val="en-AU"/>
        </w:rPr>
        <w:t>Figure 5. Tcf1 overexpressing CAR T cells display an improved intratumoural persistence and self-renewal phenotype.</w:t>
      </w:r>
      <w:r>
        <w:rPr>
          <w:rFonts w:cs="Arial" w:ascii="Calibri" w:hAnsi="Calibri"/>
          <w:bCs/>
          <w:sz w:val="24"/>
          <w:szCs w:val="24"/>
          <w:lang w:val="en-AU"/>
        </w:rPr>
        <w:t xml:space="preserve"> C57BL/6 human HER2 transgenic mice were inoculated orthotopically with E0771-HER2 tumour cells in the mammary fat pad. Seven days post inoculation and establishment of tumours, mice were irradiated at a dose of 4 Gy for lymphocyte engraftment and were treated with two doses of 10e6 control or Tcf1 overexpressing CAR T cells. Eight days post treatment, tumours were harvested and analysed via flow cytometry. Cell counts of total tumour infiltrating (a) CD8</w:t>
      </w:r>
      <w:r>
        <w:rPr>
          <w:rFonts w:cs="Arial" w:ascii="Calibri" w:hAnsi="Calibri"/>
          <w:bCs/>
          <w:sz w:val="24"/>
          <w:szCs w:val="24"/>
          <w:vertAlign w:val="superscript"/>
          <w:lang w:val="en-AU"/>
        </w:rPr>
        <w:t>+</w:t>
      </w:r>
      <w:r>
        <w:rPr>
          <w:rFonts w:cs="Arial" w:ascii="Calibri" w:hAnsi="Calibri"/>
          <w:bCs/>
          <w:sz w:val="24"/>
          <w:szCs w:val="24"/>
          <w:lang w:val="en-AU"/>
        </w:rPr>
        <w:t xml:space="preserve"> and (b) NGFR</w:t>
      </w:r>
      <w:r>
        <w:rPr>
          <w:rFonts w:cs="Arial" w:ascii="Calibri" w:hAnsi="Calibri"/>
          <w:bCs/>
          <w:sz w:val="24"/>
          <w:szCs w:val="24"/>
          <w:vertAlign w:val="superscript"/>
          <w:lang w:val="en-AU"/>
        </w:rPr>
        <w:t>+</w:t>
      </w:r>
      <w:r>
        <w:rPr>
          <w:rFonts w:cs="Arial" w:ascii="Calibri" w:hAnsi="Calibri"/>
          <w:bCs/>
          <w:sz w:val="24"/>
          <w:szCs w:val="24"/>
          <w:lang w:val="en-AU"/>
        </w:rPr>
        <w:t>CD8</w:t>
      </w:r>
      <w:r>
        <w:rPr>
          <w:rFonts w:cs="Arial" w:ascii="Calibri" w:hAnsi="Calibri"/>
          <w:bCs/>
          <w:sz w:val="24"/>
          <w:szCs w:val="24"/>
          <w:vertAlign w:val="superscript"/>
          <w:lang w:val="en-AU"/>
        </w:rPr>
        <w:t>+</w:t>
      </w:r>
      <w:r>
        <w:rPr>
          <w:rFonts w:cs="Arial" w:ascii="Calibri" w:hAnsi="Calibri"/>
          <w:bCs/>
          <w:sz w:val="24"/>
          <w:szCs w:val="24"/>
          <w:lang w:val="en-AU"/>
        </w:rPr>
        <w:t>CD62L</w:t>
      </w:r>
      <w:r>
        <w:rPr>
          <w:rFonts w:cs="Arial" w:ascii="Calibri" w:hAnsi="Calibri"/>
          <w:bCs/>
          <w:sz w:val="24"/>
          <w:szCs w:val="24"/>
          <w:vertAlign w:val="superscript"/>
          <w:lang w:val="en-AU"/>
        </w:rPr>
        <w:t>+</w:t>
      </w:r>
      <w:r>
        <w:rPr>
          <w:rFonts w:cs="Arial" w:ascii="Calibri" w:hAnsi="Calibri"/>
          <w:bCs/>
          <w:sz w:val="24"/>
          <w:szCs w:val="24"/>
          <w:lang w:val="en-AU"/>
        </w:rPr>
        <w:t>Tcf1</w:t>
      </w:r>
      <w:r>
        <w:rPr>
          <w:rFonts w:cs="Arial" w:ascii="Calibri" w:hAnsi="Calibri"/>
          <w:bCs/>
          <w:sz w:val="24"/>
          <w:szCs w:val="24"/>
          <w:vertAlign w:val="superscript"/>
          <w:lang w:val="en-AU"/>
        </w:rPr>
        <w:t>+</w:t>
      </w:r>
      <w:r>
        <w:rPr>
          <w:rFonts w:cs="Arial" w:ascii="Calibri" w:hAnsi="Calibri"/>
          <w:bCs/>
          <w:sz w:val="24"/>
          <w:szCs w:val="24"/>
          <w:lang w:val="en-AU"/>
        </w:rPr>
        <w:t xml:space="preserve"> T cells. (c) Frequency of CD62L and Tcf1 co-expressing tumour infiltrating CAR T cells. Frequency of tumour infiltrating (d) T</w:t>
      </w:r>
      <w:r>
        <w:rPr>
          <w:rFonts w:cs="Arial" w:ascii="Calibri" w:hAnsi="Calibri"/>
          <w:bCs/>
          <w:sz w:val="24"/>
          <w:szCs w:val="24"/>
          <w:vertAlign w:val="subscript"/>
          <w:lang w:val="en-AU"/>
        </w:rPr>
        <w:t>CM</w:t>
      </w:r>
      <w:r>
        <w:rPr>
          <w:rFonts w:cs="Arial" w:ascii="Calibri" w:hAnsi="Calibri"/>
          <w:bCs/>
          <w:sz w:val="24"/>
          <w:szCs w:val="24"/>
          <w:lang w:val="en-AU"/>
        </w:rPr>
        <w:t xml:space="preserve"> and (e) T</w:t>
        <w:softHyphen/>
      </w:r>
      <w:r>
        <w:rPr>
          <w:rFonts w:cs="Arial" w:ascii="Calibri" w:hAnsi="Calibri"/>
          <w:bCs/>
          <w:sz w:val="24"/>
          <w:szCs w:val="24"/>
          <w:vertAlign w:val="subscript"/>
          <w:lang w:val="en-AU"/>
        </w:rPr>
        <w:t>EM</w:t>
      </w:r>
      <w:r>
        <w:rPr>
          <w:rFonts w:cs="Arial" w:ascii="Calibri" w:hAnsi="Calibri"/>
          <w:bCs/>
          <w:sz w:val="24"/>
          <w:szCs w:val="24"/>
          <w:lang w:val="en-AU"/>
        </w:rPr>
        <w:t xml:space="preserve"> CAR T cells. (f) Frequency of tumour infiltrating CAR T cells co-expressing PD-1 and Tim3. </w:t>
      </w:r>
      <w:r>
        <w:rPr>
          <w:rFonts w:cs="Calibri" w:ascii="Calibri" w:hAnsi="Calibri"/>
          <w:i/>
          <w:iCs/>
          <w:sz w:val="24"/>
          <w:szCs w:val="24"/>
          <w:lang w:val="en-AU"/>
        </w:rPr>
        <w:t>(**p&lt;0.01, *p&lt;0.05, student’s t-test)</w:t>
      </w:r>
      <w:r>
        <w:br w:type="page"/>
      </w:r>
    </w:p>
    <w:p>
      <w:pPr>
        <w:pStyle w:val="PlainText"/>
        <w:spacing w:before="120" w:after="0"/>
        <w:rPr>
          <w:rFonts w:ascii="Calibri" w:hAnsi="Calibri" w:cs="Arial"/>
          <w:bCs/>
          <w:sz w:val="24"/>
          <w:szCs w:val="24"/>
          <w:lang w:val="en-AU"/>
        </w:rPr>
      </w:pPr>
      <w:r>
        <w:rPr>
          <w:rFonts w:cs="Arial" w:ascii="Calibri" w:hAnsi="Calibri"/>
          <w:b/>
          <w:color w:val="660066"/>
          <w:sz w:val="24"/>
          <w:szCs w:val="24"/>
          <w:lang w:val="en-AU"/>
        </w:rPr>
        <w:t>Thesis/Research Plan:</w:t>
      </w:r>
    </w:p>
    <w:p>
      <w:pPr>
        <w:pStyle w:val="Normal"/>
        <w:spacing w:before="120" w:after="0"/>
        <w:rPr>
          <w:rFonts w:ascii="Calibri" w:hAnsi="Calibri" w:cs="Arial"/>
          <w:szCs w:val="24"/>
          <w:lang w:val="en-AU"/>
        </w:rPr>
      </w:pPr>
      <w:r>
        <w:rPr>
          <w:rFonts w:cs="Arial" w:ascii="Calibri" w:hAnsi="Calibri"/>
          <w:szCs w:val="24"/>
          <w:lang w:val="en-AU"/>
        </w:rPr>
        <w:t>My current aims for my project are as follows:</w:t>
      </w:r>
    </w:p>
    <w:p>
      <w:pPr>
        <w:pStyle w:val="Annotationtext"/>
        <w:numPr>
          <w:ilvl w:val="0"/>
          <w:numId w:val="9"/>
        </w:numPr>
        <w:rPr>
          <w:sz w:val="24"/>
          <w:szCs w:val="24"/>
        </w:rPr>
      </w:pPr>
      <w:r>
        <w:rPr>
          <w:sz w:val="24"/>
          <w:szCs w:val="24"/>
        </w:rPr>
        <w:t>Establish the technology to overexpress transcription factors in murine CAR T cells</w:t>
      </w:r>
    </w:p>
    <w:p>
      <w:pPr>
        <w:pStyle w:val="Annotationtext"/>
        <w:numPr>
          <w:ilvl w:val="0"/>
          <w:numId w:val="9"/>
        </w:numPr>
        <w:rPr>
          <w:i/>
          <w:i/>
          <w:iCs/>
          <w:sz w:val="24"/>
          <w:szCs w:val="24"/>
        </w:rPr>
      </w:pPr>
      <w:r>
        <w:rPr>
          <w:sz w:val="24"/>
          <w:szCs w:val="24"/>
        </w:rPr>
        <w:t xml:space="preserve">Determine the optimal transcription factor-based strategy for enhancing CAR T cell persistence and effector function </w:t>
      </w:r>
      <w:r>
        <w:rPr>
          <w:i/>
          <w:iCs/>
          <w:sz w:val="24"/>
          <w:szCs w:val="24"/>
        </w:rPr>
        <w:t>in vitro</w:t>
      </w:r>
      <w:r>
        <w:rPr>
          <w:sz w:val="24"/>
          <w:szCs w:val="24"/>
        </w:rPr>
        <w:t xml:space="preserve"> and </w:t>
      </w:r>
      <w:r>
        <w:rPr>
          <w:i/>
          <w:iCs/>
          <w:sz w:val="24"/>
          <w:szCs w:val="24"/>
        </w:rPr>
        <w:t>in vivo</w:t>
      </w:r>
      <w:r>
        <w:rPr>
          <w:sz w:val="24"/>
          <w:szCs w:val="24"/>
        </w:rPr>
        <w:t xml:space="preserve"> solid tumour settings</w:t>
      </w:r>
    </w:p>
    <w:p>
      <w:pPr>
        <w:pStyle w:val="Annotationtext"/>
        <w:numPr>
          <w:ilvl w:val="0"/>
          <w:numId w:val="9"/>
        </w:numPr>
        <w:rPr>
          <w:sz w:val="24"/>
          <w:szCs w:val="24"/>
        </w:rPr>
      </w:pPr>
      <w:r>
        <w:rPr>
          <w:sz w:val="24"/>
          <w:szCs w:val="24"/>
        </w:rPr>
        <w:t>Explore the efficacy of transcription factor candidates in a human CAR T cell setting</w:t>
      </w:r>
    </w:p>
    <w:p>
      <w:pPr>
        <w:pStyle w:val="Annotationtext"/>
        <w:ind w:left="720" w:hanging="0"/>
        <w:rPr>
          <w:sz w:val="24"/>
          <w:szCs w:val="24"/>
        </w:rPr>
      </w:pPr>
      <w:r>
        <w:rPr>
          <w:sz w:val="24"/>
          <w:szCs w:val="24"/>
        </w:rPr>
      </w:r>
    </w:p>
    <w:p>
      <w:pPr>
        <w:pStyle w:val="Normal"/>
        <w:spacing w:before="120" w:after="0"/>
        <w:rPr>
          <w:rFonts w:ascii="Calibri" w:hAnsi="Calibri" w:cs="Arial"/>
          <w:szCs w:val="24"/>
          <w:lang w:val="en-AU"/>
        </w:rPr>
      </w:pPr>
      <w:r>
        <w:rPr>
          <w:rFonts w:cs="Arial" w:ascii="Calibri" w:hAnsi="Calibri"/>
          <w:szCs w:val="24"/>
          <w:lang w:val="en-AU"/>
        </w:rPr>
        <w:t>My current timeline is as follows:</w:t>
      </w:r>
    </w:p>
    <w:p>
      <w:pPr>
        <w:pStyle w:val="PlainText"/>
        <w:spacing w:before="120" w:after="0"/>
        <w:rPr>
          <w:rFonts w:ascii="Calibri" w:hAnsi="Calibri" w:cs="Arial"/>
          <w:b/>
          <w:b/>
          <w:sz w:val="24"/>
          <w:szCs w:val="24"/>
          <w:lang w:val="en-AU"/>
        </w:rPr>
      </w:pPr>
      <w:r>
        <w:rPr>
          <w:rFonts w:cs="Arial" w:ascii="Calibri" w:hAnsi="Calibri"/>
          <w:b/>
          <w:sz w:val="24"/>
          <w:szCs w:val="24"/>
          <w:lang w:val="en-AU"/>
        </w:rPr>
      </w:r>
    </w:p>
    <w:tbl>
      <w:tblPr>
        <w:tblW w:w="9314" w:type="dxa"/>
        <w:jc w:val="left"/>
        <w:tblInd w:w="0" w:type="dxa"/>
        <w:tblCellMar>
          <w:top w:w="0" w:type="dxa"/>
          <w:left w:w="108" w:type="dxa"/>
          <w:bottom w:w="0" w:type="dxa"/>
          <w:right w:w="108" w:type="dxa"/>
        </w:tblCellMar>
        <w:tblLook w:val="04a0" w:noVBand="1" w:noHBand="0" w:lastColumn="0" w:firstColumn="1" w:lastRow="0" w:firstRow="1"/>
      </w:tblPr>
      <w:tblGrid>
        <w:gridCol w:w="1327"/>
        <w:gridCol w:w="2659"/>
        <w:gridCol w:w="2661"/>
        <w:gridCol w:w="2666"/>
      </w:tblGrid>
      <w:tr>
        <w:trPr>
          <w:trHeight w:val="360" w:hRule="atLeast"/>
        </w:trPr>
        <w:tc>
          <w:tcPr>
            <w:tcW w:w="1327" w:type="dxa"/>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20"/>
                <w:tab w:val="left" w:pos="426" w:leader="none"/>
              </w:tabs>
              <w:jc w:val="center"/>
              <w:rPr>
                <w:rFonts w:ascii="Calibri" w:hAnsi="Calibri" w:cs="Calibri"/>
                <w:b/>
                <w:b/>
                <w:szCs w:val="24"/>
              </w:rPr>
            </w:pPr>
            <w:r>
              <w:rPr>
                <w:rFonts w:cs="Calibri" w:ascii="Calibri" w:hAnsi="Calibri"/>
                <w:b/>
                <w:szCs w:val="24"/>
              </w:rPr>
            </w:r>
          </w:p>
        </w:tc>
        <w:tc>
          <w:tcPr>
            <w:tcW w:w="2659" w:type="dxa"/>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20"/>
                <w:tab w:val="left" w:pos="426" w:leader="none"/>
              </w:tabs>
              <w:jc w:val="center"/>
              <w:rPr>
                <w:rFonts w:ascii="Calibri" w:hAnsi="Calibri" w:cs="Calibri"/>
                <w:szCs w:val="24"/>
              </w:rPr>
            </w:pPr>
            <w:r>
              <w:rPr>
                <w:rFonts w:cs="Calibri" w:ascii="Calibri" w:hAnsi="Calibri"/>
                <w:szCs w:val="24"/>
              </w:rPr>
              <w:t>Year 1</w:t>
            </w:r>
          </w:p>
        </w:tc>
        <w:tc>
          <w:tcPr>
            <w:tcW w:w="2661" w:type="dxa"/>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20"/>
                <w:tab w:val="left" w:pos="426" w:leader="none"/>
              </w:tabs>
              <w:jc w:val="center"/>
              <w:rPr>
                <w:rFonts w:ascii="Calibri" w:hAnsi="Calibri" w:cs="Calibri"/>
                <w:szCs w:val="24"/>
              </w:rPr>
            </w:pPr>
            <w:r>
              <w:rPr>
                <w:rFonts w:cs="Calibri" w:ascii="Calibri" w:hAnsi="Calibri"/>
                <w:szCs w:val="24"/>
              </w:rPr>
              <w:t>Year 2</w:t>
            </w:r>
          </w:p>
        </w:tc>
        <w:tc>
          <w:tcPr>
            <w:tcW w:w="2666" w:type="dxa"/>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20"/>
                <w:tab w:val="left" w:pos="426" w:leader="none"/>
              </w:tabs>
              <w:jc w:val="center"/>
              <w:rPr>
                <w:rFonts w:ascii="Calibri" w:hAnsi="Calibri" w:cs="Calibri"/>
                <w:szCs w:val="24"/>
              </w:rPr>
            </w:pPr>
            <w:r>
              <w:rPr>
                <w:rFonts w:cs="Calibri" w:ascii="Calibri" w:hAnsi="Calibri"/>
                <w:szCs w:val="24"/>
              </w:rPr>
              <w:t>Year 3</w:t>
            </w:r>
          </w:p>
        </w:tc>
      </w:tr>
      <w:tr>
        <w:trPr>
          <w:trHeight w:val="543" w:hRule="atLeast"/>
        </w:trPr>
        <w:tc>
          <w:tcPr>
            <w:tcW w:w="1327" w:type="dxa"/>
            <w:tcBorders>
              <w:top w:val="single" w:sz="4" w:space="0" w:color="000000"/>
              <w:left w:val="single" w:sz="4" w:space="0" w:color="000000"/>
              <w:bottom w:val="single" w:sz="4" w:space="0" w:color="000000"/>
              <w:right w:val="single" w:sz="4" w:space="0" w:color="000000"/>
            </w:tcBorders>
            <w:shd w:color="auto" w:fill="B39AF6" w:val="clear"/>
          </w:tcPr>
          <w:p>
            <w:pPr>
              <w:pStyle w:val="Normal"/>
              <w:tabs>
                <w:tab w:val="clear" w:pos="720"/>
                <w:tab w:val="left" w:pos="426" w:leader="none"/>
              </w:tabs>
              <w:jc w:val="center"/>
              <w:rPr>
                <w:rFonts w:ascii="Calibri" w:hAnsi="Calibri" w:cs="Calibri"/>
                <w:szCs w:val="24"/>
              </w:rPr>
            </w:pPr>
            <w:r>
              <w:rPr>
                <w:rFonts w:cs="Calibri" w:ascii="Calibri" w:hAnsi="Calibri"/>
                <w:szCs w:val="24"/>
              </w:rPr>
              <w:t>Aim 1</w:t>
            </w:r>
          </w:p>
        </w:tc>
        <w:tc>
          <w:tcPr>
            <w:tcW w:w="7986" w:type="dxa"/>
            <w:gridSpan w:val="3"/>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20"/>
                <w:tab w:val="left" w:pos="426" w:leader="none"/>
              </w:tabs>
              <w:jc w:val="both"/>
              <w:rPr>
                <w:rFonts w:ascii="Calibri" w:hAnsi="Calibri" w:cs="Calibri"/>
                <w:szCs w:val="24"/>
              </w:rPr>
            </w:pPr>
            <w:r>
              <w:rPr>
                <w:rFonts w:cs="Calibri" w:ascii="Calibri" w:hAnsi="Calibri"/>
                <w:szCs w:val="24"/>
              </w:rPr>
              <mc:AlternateContent>
                <mc:Choice Requires="wps">
                  <w:drawing>
                    <wp:anchor behindDoc="0" distT="0" distB="0" distL="0" distR="0" simplePos="0" locked="0" layoutInCell="1" allowOverlap="1" relativeHeight="3">
                      <wp:simplePos x="0" y="0"/>
                      <wp:positionH relativeFrom="column">
                        <wp:posOffset>376555</wp:posOffset>
                      </wp:positionH>
                      <wp:positionV relativeFrom="paragraph">
                        <wp:posOffset>127635</wp:posOffset>
                      </wp:positionV>
                      <wp:extent cx="1212215" cy="1270"/>
                      <wp:effectExtent l="0" t="76200" r="0" b="76200"/>
                      <wp:wrapNone/>
                      <wp:docPr id="7" name="Straight Arrow Connector 1"/>
                      <a:graphic xmlns:a="http://schemas.openxmlformats.org/drawingml/2006/main">
                        <a:graphicData uri="http://schemas.microsoft.com/office/word/2010/wordprocessingShape">
                          <wps:wsp>
                            <wps:cNvSpPr/>
                            <wps:spPr>
                              <a:xfrm>
                                <a:off x="0" y="0"/>
                                <a:ext cx="1211760" cy="720"/>
                              </a:xfrm>
                              <a:custGeom>
                                <a:avLst/>
                                <a:gdLst/>
                                <a:ahLst/>
                                <a:rect l="l" t="t" r="r" b="b"/>
                                <a:pathLst>
                                  <a:path w="21600" h="21600">
                                    <a:moveTo>
                                      <a:pt x="0" y="0"/>
                                    </a:moveTo>
                                    <a:lnTo>
                                      <a:pt x="21600" y="21600"/>
                                    </a:lnTo>
                                  </a:path>
                                </a:pathLst>
                              </a:custGeom>
                              <a:noFill/>
                              <a:ln w="12600">
                                <a:solidFill>
                                  <a:srgbClr val="000000"/>
                                </a:solidFill>
                                <a:round/>
                                <a:tailEnd len="med" type="triangle" w="me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1" stroked="t" style="position:absolute;margin-left:29.65pt;margin-top:10.05pt;width:95.35pt;height:0pt" type="shapetype_32">
                      <w10:wrap type="none"/>
                      <v:fill o:detectmouseclick="t" on="false"/>
                      <v:stroke color="black" weight="12600" endarrow="block" endarrowwidth="medium" endarrowlength="medium" joinstyle="round" endcap="flat"/>
                    </v:shape>
                  </w:pict>
                </mc:Fallback>
              </mc:AlternateContent>
            </w:r>
          </w:p>
          <w:p>
            <w:pPr>
              <w:pStyle w:val="Normal"/>
              <w:tabs>
                <w:tab w:val="clear" w:pos="720"/>
                <w:tab w:val="left" w:pos="426" w:leader="none"/>
              </w:tabs>
              <w:jc w:val="both"/>
              <w:rPr>
                <w:rFonts w:ascii="Calibri" w:hAnsi="Calibri" w:cs="Calibri"/>
                <w:szCs w:val="24"/>
              </w:rPr>
            </w:pPr>
            <w:r>
              <w:rPr>
                <w:rFonts w:cs="Calibri" w:ascii="Calibri" w:hAnsi="Calibri"/>
                <w:szCs w:val="24"/>
              </w:rPr>
            </w:r>
          </w:p>
          <w:p>
            <w:pPr>
              <w:pStyle w:val="Normal"/>
              <w:rPr>
                <w:rFonts w:ascii="Calibri" w:hAnsi="Calibri" w:cs="Calibri"/>
                <w:szCs w:val="24"/>
              </w:rPr>
            </w:pPr>
            <w:r>
              <w:rPr>
                <w:rFonts w:cs="Calibri" w:ascii="Calibri" w:hAnsi="Calibri"/>
                <w:szCs w:val="24"/>
              </w:rPr>
              <mc:AlternateContent>
                <mc:Choice Requires="wps">
                  <w:drawing>
                    <wp:anchor behindDoc="0" distT="0" distB="0" distL="0" distR="0" simplePos="0" locked="0" layoutInCell="1" allowOverlap="1" relativeHeight="5">
                      <wp:simplePos x="0" y="0"/>
                      <wp:positionH relativeFrom="column">
                        <wp:posOffset>887095</wp:posOffset>
                      </wp:positionH>
                      <wp:positionV relativeFrom="paragraph">
                        <wp:posOffset>118745</wp:posOffset>
                      </wp:positionV>
                      <wp:extent cx="2413000" cy="1270"/>
                      <wp:effectExtent l="0" t="76200" r="0" b="88900"/>
                      <wp:wrapNone/>
                      <wp:docPr id="8" name="Straight Arrow Connector 17"/>
                      <a:graphic xmlns:a="http://schemas.openxmlformats.org/drawingml/2006/main">
                        <a:graphicData uri="http://schemas.microsoft.com/office/word/2010/wordprocessingShape">
                          <wps:wsp>
                            <wps:cNvSpPr/>
                            <wps:spPr>
                              <a:xfrm>
                                <a:off x="0" y="0"/>
                                <a:ext cx="2412360" cy="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7" stroked="t" style="position:absolute;margin-left:69.85pt;margin-top:9.35pt;width:189.9pt;height:0pt" type="shapetype_32">
                      <w10:wrap type="none"/>
                      <v:fill o:detectmouseclick="t" on="false"/>
                      <v:stroke color="black" weight="6480" endarrow="block" endarrowwidth="medium" endarrowlength="medium" joinstyle="miter" endcap="flat"/>
                    </v:shape>
                  </w:pict>
                </mc:Fallback>
              </mc:AlternateContent>
            </w:r>
          </w:p>
          <w:p>
            <w:pPr>
              <w:pStyle w:val="Normal"/>
              <w:rPr>
                <w:rFonts w:ascii="Calibri" w:hAnsi="Calibri" w:cs="Calibri"/>
                <w:szCs w:val="24"/>
              </w:rPr>
            </w:pPr>
            <w:r>
              <w:rPr>
                <w:rFonts w:cs="Calibri" w:ascii="Calibri" w:hAnsi="Calibri"/>
                <w:szCs w:val="24"/>
              </w:rPr>
            </w:r>
          </w:p>
          <w:p>
            <w:pPr>
              <w:pStyle w:val="Normal"/>
              <w:tabs>
                <w:tab w:val="clear" w:pos="720"/>
                <w:tab w:val="left" w:pos="6420" w:leader="none"/>
              </w:tabs>
              <w:rPr>
                <w:rFonts w:ascii="Calibri" w:hAnsi="Calibri" w:cs="Calibri"/>
                <w:szCs w:val="24"/>
              </w:rPr>
            </w:pPr>
            <w:r>
              <mc:AlternateContent>
                <mc:Choice Requires="wps">
                  <w:drawing>
                    <wp:anchor behindDoc="0" distT="0" distB="0" distL="0" distR="0" simplePos="0" locked="0" layoutInCell="1" allowOverlap="1" relativeHeight="6">
                      <wp:simplePos x="0" y="0"/>
                      <wp:positionH relativeFrom="column">
                        <wp:posOffset>2152015</wp:posOffset>
                      </wp:positionH>
                      <wp:positionV relativeFrom="paragraph">
                        <wp:posOffset>9525</wp:posOffset>
                      </wp:positionV>
                      <wp:extent cx="1148080" cy="1270"/>
                      <wp:effectExtent l="0" t="76200" r="0" b="88900"/>
                      <wp:wrapNone/>
                      <wp:docPr id="9" name="Straight Arrow Connector 18"/>
                      <a:graphic xmlns:a="http://schemas.openxmlformats.org/drawingml/2006/main">
                        <a:graphicData uri="http://schemas.microsoft.com/office/word/2010/wordprocessingShape">
                          <wps:wsp>
                            <wps:cNvSpPr/>
                            <wps:spPr>
                              <a:xfrm>
                                <a:off x="0" y="0"/>
                                <a:ext cx="1147320" cy="720"/>
                              </a:xfrm>
                              <a:custGeom>
                                <a:avLst/>
                                <a:gdLst/>
                                <a:ahLst/>
                                <a:rect l="l" t="t" r="r" b="b"/>
                                <a:pathLst>
                                  <a:path w="21600" h="21600">
                                    <a:moveTo>
                                      <a:pt x="0" y="0"/>
                                    </a:moveTo>
                                    <a:lnTo>
                                      <a:pt x="21600" y="21600"/>
                                    </a:lnTo>
                                  </a:path>
                                </a:pathLst>
                              </a:custGeom>
                              <a:noFill/>
                              <a:ln>
                                <a:solidFill>
                                  <a:schemeClr val="tx1"/>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8" stroked="t" style="position:absolute;margin-left:169.45pt;margin-top:0.75pt;width:90.3pt;height:0pt" type="shapetype_32">
                      <w10:wrap type="none"/>
                      <v:fill o:detectmouseclick="t" on="false"/>
                      <v:stroke color="black" weight="6480" endarrow="block" endarrowwidth="medium" endarrowlength="medium" joinstyle="miter" endcap="flat"/>
                    </v:shape>
                  </w:pict>
                </mc:Fallback>
              </mc:AlternateContent>
            </w:r>
            <w:r>
              <w:rPr>
                <w:rFonts w:cs="Calibri" w:ascii="Calibri" w:hAnsi="Calibri"/>
                <w:szCs w:val="24"/>
              </w:rPr>
              <w:tab/>
            </w:r>
          </w:p>
        </w:tc>
      </w:tr>
      <w:tr>
        <w:trPr>
          <w:trHeight w:val="522" w:hRule="atLeast"/>
        </w:trPr>
        <w:tc>
          <w:tcPr>
            <w:tcW w:w="1327" w:type="dxa"/>
            <w:tcBorders>
              <w:top w:val="single" w:sz="4" w:space="0" w:color="000000"/>
              <w:left w:val="single" w:sz="4" w:space="0" w:color="000000"/>
              <w:bottom w:val="single" w:sz="4" w:space="0" w:color="000000"/>
              <w:right w:val="single" w:sz="4" w:space="0" w:color="000000"/>
            </w:tcBorders>
            <w:shd w:color="auto" w:fill="B39AF6" w:val="clear"/>
          </w:tcPr>
          <w:p>
            <w:pPr>
              <w:pStyle w:val="Normal"/>
              <w:tabs>
                <w:tab w:val="clear" w:pos="720"/>
                <w:tab w:val="left" w:pos="426" w:leader="none"/>
              </w:tabs>
              <w:jc w:val="center"/>
              <w:rPr>
                <w:rFonts w:ascii="Calibri" w:hAnsi="Calibri" w:cs="Calibri"/>
                <w:szCs w:val="24"/>
              </w:rPr>
            </w:pPr>
            <w:r>
              <w:rPr>
                <w:rFonts w:cs="Calibri" w:ascii="Calibri" w:hAnsi="Calibri"/>
                <w:szCs w:val="24"/>
              </w:rPr>
              <w:t>Aim 2</w:t>
            </w:r>
          </w:p>
        </w:tc>
        <w:tc>
          <w:tcPr>
            <w:tcW w:w="7986" w:type="dxa"/>
            <w:gridSpan w:val="3"/>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20"/>
                <w:tab w:val="left" w:pos="426" w:leader="none"/>
              </w:tabs>
              <w:jc w:val="both"/>
              <w:rPr>
                <w:rFonts w:ascii="Calibri" w:hAnsi="Calibri" w:cs="Calibri"/>
                <w:szCs w:val="24"/>
              </w:rPr>
            </w:pPr>
            <w:r>
              <w:rPr>
                <w:rFonts w:cs="Calibri" w:ascii="Calibri" w:hAnsi="Calibri"/>
                <w:szCs w:val="24"/>
              </w:rPr>
            </w:r>
          </w:p>
        </w:tc>
      </w:tr>
      <w:tr>
        <w:trPr>
          <w:trHeight w:val="480" w:hRule="atLeast"/>
        </w:trPr>
        <w:tc>
          <w:tcPr>
            <w:tcW w:w="1327" w:type="dxa"/>
            <w:tcBorders>
              <w:top w:val="single" w:sz="4" w:space="0" w:color="000000"/>
              <w:left w:val="single" w:sz="4" w:space="0" w:color="000000"/>
              <w:bottom w:val="single" w:sz="4" w:space="0" w:color="000000"/>
              <w:right w:val="single" w:sz="4" w:space="0" w:color="000000"/>
            </w:tcBorders>
            <w:shd w:color="auto" w:fill="B39AF6" w:val="clear"/>
          </w:tcPr>
          <w:p>
            <w:pPr>
              <w:pStyle w:val="Normal"/>
              <w:tabs>
                <w:tab w:val="clear" w:pos="720"/>
                <w:tab w:val="left" w:pos="426" w:leader="none"/>
              </w:tabs>
              <w:jc w:val="center"/>
              <w:rPr>
                <w:rFonts w:ascii="Calibri" w:hAnsi="Calibri" w:cs="Calibri"/>
                <w:szCs w:val="24"/>
              </w:rPr>
            </w:pPr>
            <w:r>
              <w:rPr>
                <w:rFonts w:cs="Calibri" w:ascii="Calibri" w:hAnsi="Calibri"/>
                <w:szCs w:val="24"/>
              </w:rPr>
              <w:t>Aim 3</w:t>
            </w:r>
          </w:p>
        </w:tc>
        <w:tc>
          <w:tcPr>
            <w:tcW w:w="7986" w:type="dxa"/>
            <w:gridSpan w:val="3"/>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tabs>
                <w:tab w:val="clear" w:pos="720"/>
                <w:tab w:val="left" w:pos="426" w:leader="none"/>
              </w:tabs>
              <w:jc w:val="both"/>
              <w:rPr>
                <w:rFonts w:ascii="Calibri" w:hAnsi="Calibri" w:cs="Calibri"/>
                <w:szCs w:val="24"/>
              </w:rPr>
            </w:pPr>
            <w:r>
              <w:rPr>
                <w:rFonts w:cs="Calibri" w:ascii="Calibri" w:hAnsi="Calibri"/>
                <w:szCs w:val="24"/>
              </w:rPr>
            </w:r>
          </w:p>
        </w:tc>
      </w:tr>
      <w:tr>
        <w:trPr>
          <w:trHeight w:val="426" w:hRule="atLeast"/>
        </w:trPr>
        <w:tc>
          <w:tcPr>
            <w:tcW w:w="1327" w:type="dxa"/>
            <w:tcBorders>
              <w:top w:val="single" w:sz="4" w:space="0" w:color="000000"/>
              <w:left w:val="single" w:sz="4" w:space="0" w:color="000000"/>
              <w:bottom w:val="single" w:sz="4" w:space="0" w:color="000000"/>
              <w:right w:val="single" w:sz="4" w:space="0" w:color="000000"/>
            </w:tcBorders>
            <w:shd w:color="auto" w:fill="FFFFFF" w:val="clear"/>
          </w:tcPr>
          <w:p>
            <w:pPr>
              <w:pStyle w:val="Normal"/>
              <w:tabs>
                <w:tab w:val="clear" w:pos="720"/>
                <w:tab w:val="left" w:pos="426" w:leader="none"/>
              </w:tabs>
              <w:jc w:val="center"/>
              <w:rPr>
                <w:rFonts w:ascii="Calibri" w:hAnsi="Calibri" w:cs="Calibri"/>
                <w:b/>
                <w:b/>
                <w:szCs w:val="24"/>
              </w:rPr>
            </w:pPr>
            <w:r>
              <w:rPr>
                <w:rFonts w:cs="Calibri" w:ascii="Calibri" w:hAnsi="Calibri"/>
                <w:b/>
                <w:szCs w:val="24"/>
              </w:rPr>
              <w:t xml:space="preserve">Thesis </w:t>
            </w:r>
            <w:r>
              <w:rPr>
                <w:rFonts w:cs="Calibri" w:ascii="Calibri" w:hAnsi="Calibri"/>
                <w:b/>
                <w:szCs w:val="24"/>
                <w:shd w:fill="FFFFFF" w:val="clear"/>
              </w:rPr>
              <w:t>writing</w:t>
            </w:r>
          </w:p>
        </w:tc>
        <w:tc>
          <w:tcPr>
            <w:tcW w:w="7986" w:type="dxa"/>
            <w:gridSpan w:val="3"/>
            <w:tcBorders>
              <w:left w:val="single" w:sz="4" w:space="0" w:color="000000"/>
              <w:bottom w:val="single" w:sz="4" w:space="0" w:color="000000"/>
              <w:right w:val="single" w:sz="4" w:space="0" w:color="000000"/>
            </w:tcBorders>
            <w:shd w:color="auto" w:fill="auto" w:val="clear"/>
          </w:tcPr>
          <w:p>
            <w:pPr>
              <w:pStyle w:val="Normal"/>
              <w:tabs>
                <w:tab w:val="clear" w:pos="720"/>
                <w:tab w:val="left" w:pos="5780" w:leader="none"/>
              </w:tabs>
              <w:jc w:val="both"/>
              <w:rPr>
                <w:rFonts w:ascii="Calibri" w:hAnsi="Calibri" w:cs="Calibri"/>
                <w:szCs w:val="24"/>
              </w:rPr>
            </w:pPr>
            <w:r>
              <mc:AlternateContent>
                <mc:Choice Requires="wps">
                  <w:drawing>
                    <wp:anchor behindDoc="0" distT="0" distB="0" distL="0" distR="0" simplePos="0" locked="0" layoutInCell="1" allowOverlap="1" relativeHeight="4">
                      <wp:simplePos x="0" y="0"/>
                      <wp:positionH relativeFrom="column">
                        <wp:posOffset>2336165</wp:posOffset>
                      </wp:positionH>
                      <wp:positionV relativeFrom="paragraph">
                        <wp:posOffset>160020</wp:posOffset>
                      </wp:positionV>
                      <wp:extent cx="2607945" cy="1270"/>
                      <wp:effectExtent l="0" t="76200" r="0" b="88900"/>
                      <wp:wrapNone/>
                      <wp:docPr id="10" name="Straight Arrow Connector 12"/>
                      <a:graphic xmlns:a="http://schemas.openxmlformats.org/drawingml/2006/main">
                        <a:graphicData uri="http://schemas.microsoft.com/office/word/2010/wordprocessingShape">
                          <wps:wsp>
                            <wps:cNvSpPr/>
                            <wps:spPr>
                              <a:xfrm>
                                <a:off x="0" y="0"/>
                                <a:ext cx="2607480" cy="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2" stroked="t" style="position:absolute;margin-left:183.95pt;margin-top:12.6pt;width:205.25pt;height:0pt" type="shapetype_32">
                      <w10:wrap type="none"/>
                      <v:fill o:detectmouseclick="t" on="false"/>
                      <v:stroke color="black" weight="6480" endarrow="block" endarrowwidth="medium" endarrowlength="medium" joinstyle="miter" endcap="flat"/>
                    </v:shape>
                  </w:pict>
                </mc:Fallback>
              </mc:AlternateContent>
            </w:r>
            <w:r>
              <w:rPr>
                <w:rFonts w:cs="Calibri" w:ascii="Calibri" w:hAnsi="Calibri"/>
                <w:szCs w:val="24"/>
              </w:rPr>
              <w:tab/>
            </w:r>
          </w:p>
        </w:tc>
      </w:tr>
    </w:tbl>
    <w:p>
      <w:pPr>
        <w:pStyle w:val="Normal"/>
        <w:spacing w:before="120" w:after="0"/>
        <w:rPr>
          <w:rFonts w:ascii="Calibri" w:hAnsi="Calibri"/>
          <w:b/>
          <w:b/>
          <w:szCs w:val="24"/>
          <w:lang w:val="en-AU"/>
        </w:rPr>
      </w:pPr>
      <w:r>
        <w:rPr>
          <w:rFonts w:ascii="Calibri" w:hAnsi="Calibri"/>
          <w:b/>
          <w:szCs w:val="24"/>
          <w:lang w:val="en-AU"/>
        </w:rPr>
      </w:r>
    </w:p>
    <w:p>
      <w:pPr>
        <w:pStyle w:val="Normal"/>
        <w:spacing w:before="120" w:after="0"/>
        <w:rPr>
          <w:rFonts w:ascii="Calibri" w:hAnsi="Calibri" w:cs="Arial"/>
          <w:b/>
          <w:b/>
          <w:szCs w:val="24"/>
          <w:lang w:val="en-AU"/>
        </w:rPr>
      </w:pPr>
      <w:r>
        <w:rPr>
          <w:rFonts w:cs="Arial" w:ascii="Calibri" w:hAnsi="Calibri"/>
          <w:b/>
          <w:szCs w:val="24"/>
          <w:lang w:val="en-AU"/>
        </w:rPr>
        <w:t xml:space="preserve">Research Outputs: </w:t>
      </w:r>
    </w:p>
    <w:p>
      <w:pPr>
        <w:pStyle w:val="ListParagraph"/>
        <w:numPr>
          <w:ilvl w:val="0"/>
          <w:numId w:val="5"/>
        </w:numPr>
        <w:rPr>
          <w:rFonts w:eastAsia="Times New Roman" w:cs="Calibri"/>
          <w:lang w:eastAsia="en-GB"/>
        </w:rPr>
      </w:pPr>
      <w:r>
        <w:rPr>
          <w:rFonts w:cs="Calibri"/>
          <w:b/>
          <w:lang w:val="en-AU"/>
        </w:rPr>
        <w:t xml:space="preserve">Chan, J., </w:t>
      </w:r>
      <w:r>
        <w:rPr>
          <w:rFonts w:cs="Calibri"/>
        </w:rPr>
        <w:t>von Scheidt, B., [and 8 others] (2020)</w:t>
      </w:r>
      <w:r>
        <w:rPr>
          <w:rFonts w:cs="Calibri"/>
          <w:bCs/>
          <w:lang w:val="en-AU"/>
        </w:rPr>
        <w:t xml:space="preserve"> </w:t>
      </w:r>
      <w:r>
        <w:rPr>
          <w:rFonts w:eastAsia="Times New Roman" w:cs="Calibri"/>
          <w:color w:val="000000"/>
          <w:lang w:eastAsia="en-GB"/>
        </w:rPr>
        <w:t xml:space="preserve">Enhancing Chimeric Antigen Receptor T Cell Immunotherapy Against Cancer Using a Nanoemulsion-Based Vaccine Targeting Cross-presenting Dendritic Cells, </w:t>
      </w:r>
      <w:r>
        <w:rPr>
          <w:rFonts w:eastAsia="Times New Roman" w:cs="Calibri"/>
          <w:i/>
          <w:iCs/>
          <w:color w:val="000000"/>
          <w:lang w:eastAsia="en-GB"/>
        </w:rPr>
        <w:t>Clinical &amp; Translational Immunology</w:t>
      </w:r>
    </w:p>
    <w:p>
      <w:pPr>
        <w:pStyle w:val="ListParagraph"/>
        <w:numPr>
          <w:ilvl w:val="0"/>
          <w:numId w:val="5"/>
        </w:numPr>
        <w:rPr>
          <w:rFonts w:eastAsia="Times New Roman" w:cs="Calibri"/>
          <w:lang w:eastAsia="en-GB"/>
        </w:rPr>
      </w:pPr>
      <w:r>
        <w:rPr>
          <w:rFonts w:cs="Calibri"/>
          <w:b/>
          <w:lang w:val="en-AU"/>
        </w:rPr>
        <w:t>Chan, J.,</w:t>
      </w:r>
      <w:r>
        <w:rPr>
          <w:rFonts w:cs="Calibri"/>
          <w:bCs/>
          <w:lang w:val="en-AU"/>
        </w:rPr>
        <w:t xml:space="preserve"> Beavis, P., Darcy, P., (2020) p38 Kinase: A Key Target for Driving Potent T Cells for Adoptive Immunotherapy, </w:t>
      </w:r>
      <w:r>
        <w:rPr>
          <w:rFonts w:cs="Calibri"/>
          <w:bCs/>
          <w:i/>
          <w:iCs/>
          <w:lang w:val="en-AU"/>
        </w:rPr>
        <w:t>Cancer Cell</w:t>
      </w:r>
    </w:p>
    <w:p>
      <w:pPr>
        <w:pStyle w:val="ListParagraph"/>
        <w:numPr>
          <w:ilvl w:val="0"/>
          <w:numId w:val="5"/>
        </w:numPr>
        <w:rPr>
          <w:rFonts w:cs="Calibri"/>
          <w:b/>
          <w:b/>
          <w:lang w:val="en-AU"/>
        </w:rPr>
      </w:pPr>
      <w:r>
        <w:rPr>
          <w:rFonts w:cs="Calibri"/>
          <w:b/>
          <w:lang w:val="en-AU"/>
        </w:rPr>
        <w:t>Chan, J.</w:t>
      </w:r>
      <w:r>
        <w:rPr>
          <w:rFonts w:cs="Calibri"/>
          <w:bCs/>
          <w:lang w:val="en-AU"/>
        </w:rPr>
        <w:t>, Harrison, A., Darcy, P., Kershaw, M., and Slaney, C., (2020) Chimeric antigen receptor T cell therapies for thoracic cancers—challenges and opportunities</w:t>
      </w:r>
      <w:r>
        <w:rPr>
          <w:rFonts w:eastAsia="Times New Roman" w:cs="Calibri"/>
          <w:bCs/>
          <w:lang w:val="en-AU" w:eastAsia="en-GB" w:bidi="ar-SA"/>
        </w:rPr>
        <w:t>,</w:t>
      </w:r>
      <w:r>
        <w:rPr>
          <w:rFonts w:eastAsia="Times New Roman" w:cs="Calibri"/>
          <w:lang w:val="en-AU" w:eastAsia="en-GB" w:bidi="ar-SA"/>
        </w:rPr>
        <w:t xml:space="preserve"> </w:t>
      </w:r>
      <w:r>
        <w:rPr>
          <w:rFonts w:eastAsia="Times New Roman" w:cs="Calibri"/>
          <w:i/>
          <w:iCs/>
          <w:lang w:val="en-AU" w:eastAsia="en-GB" w:bidi="ar-SA"/>
        </w:rPr>
        <w:t>Journal of Thoracic Disease</w:t>
      </w:r>
    </w:p>
    <w:p>
      <w:pPr>
        <w:pStyle w:val="ListParagraph"/>
        <w:numPr>
          <w:ilvl w:val="0"/>
          <w:numId w:val="5"/>
        </w:numPr>
        <w:rPr>
          <w:rFonts w:eastAsia="Times New Roman" w:cs="Calibri"/>
          <w:lang w:val="en-AU" w:eastAsia="en-GB" w:bidi="ar-SA"/>
        </w:rPr>
      </w:pPr>
      <w:r>
        <w:rPr>
          <w:rFonts w:cs="Calibri"/>
          <w:lang w:val="en-AU"/>
        </w:rPr>
        <w:t xml:space="preserve">Lai, J. and Mardiana, S., [and 17 others, including </w:t>
      </w:r>
      <w:r>
        <w:rPr>
          <w:rFonts w:cs="Calibri"/>
          <w:b/>
          <w:bCs/>
          <w:lang w:val="en-AU"/>
        </w:rPr>
        <w:t>Chan, J.</w:t>
      </w:r>
      <w:r>
        <w:rPr>
          <w:rFonts w:cs="Calibri"/>
          <w:lang w:val="en-AU"/>
        </w:rPr>
        <w:t>] (2020) A</w:t>
      </w:r>
      <w:r>
        <w:rPr>
          <w:rFonts w:eastAsia="Times New Roman" w:cs="Calibri"/>
          <w:color w:val="000000"/>
          <w:shd w:fill="FFFFFF" w:val="clear"/>
          <w:lang w:val="en-AU" w:eastAsia="en-GB" w:bidi="ar-SA"/>
        </w:rPr>
        <w:t xml:space="preserve">doptive cellular therapy with T cells expressing the dendritic cell growth factor Flt3L drives epitope spreading and antitumor immunity, </w:t>
      </w:r>
      <w:r>
        <w:rPr>
          <w:rFonts w:eastAsia="Times New Roman" w:cs="Calibri"/>
          <w:i/>
          <w:iCs/>
          <w:color w:val="000000"/>
          <w:shd w:fill="FFFFFF" w:val="clear"/>
          <w:lang w:val="en-AU" w:eastAsia="en-GB" w:bidi="ar-SA"/>
        </w:rPr>
        <w:t>Nature Immunology</w:t>
      </w:r>
    </w:p>
    <w:p>
      <w:pPr>
        <w:pStyle w:val="ListParagraph"/>
        <w:numPr>
          <w:ilvl w:val="0"/>
          <w:numId w:val="5"/>
        </w:numPr>
        <w:rPr>
          <w:rFonts w:eastAsia="Times New Roman" w:cs="Calibri"/>
          <w:lang w:val="en-AU" w:eastAsia="en-GB" w:bidi="ar-SA"/>
        </w:rPr>
      </w:pPr>
      <w:r>
        <w:rPr>
          <w:rFonts w:cs="Calibri"/>
        </w:rPr>
        <w:t xml:space="preserve">von Scheidt, B., Wang, M., [and 10 others, including </w:t>
      </w:r>
      <w:r>
        <w:rPr>
          <w:rFonts w:cs="Calibri"/>
          <w:b/>
          <w:bCs/>
        </w:rPr>
        <w:t>Chan, J.</w:t>
      </w:r>
      <w:r>
        <w:rPr>
          <w:rFonts w:cs="Calibri"/>
        </w:rPr>
        <w:t>]</w:t>
      </w:r>
      <w:r>
        <w:rPr>
          <w:rFonts w:eastAsia="Times New Roman" w:cs="Calibri"/>
          <w:color w:val="000102"/>
          <w:lang w:val="en-AU" w:eastAsia="en-GB" w:bidi="ar-SA"/>
        </w:rPr>
        <w:t xml:space="preserve"> (2019) Enterotoxins can support CAR T cells against solid tumors, </w:t>
      </w:r>
      <w:r>
        <w:rPr>
          <w:rFonts w:eastAsia="Times New Roman" w:cs="Calibri"/>
          <w:i/>
          <w:iCs/>
          <w:color w:val="000102"/>
          <w:lang w:val="en-AU" w:eastAsia="en-GB" w:bidi="ar-SA"/>
        </w:rPr>
        <w:t>Proceedings of the National Academy of Sciences of the United States of America</w:t>
      </w:r>
    </w:p>
    <w:p>
      <w:pPr>
        <w:pStyle w:val="ListParagraph"/>
        <w:numPr>
          <w:ilvl w:val="0"/>
          <w:numId w:val="5"/>
        </w:numPr>
        <w:rPr>
          <w:rFonts w:eastAsia="Times New Roman" w:cs="Calibri"/>
          <w:lang w:val="en-AU" w:eastAsia="en-GB" w:bidi="ar-SA"/>
        </w:rPr>
      </w:pPr>
      <w:r>
        <w:rPr>
          <w:rFonts w:cs="Calibri"/>
        </w:rPr>
        <w:t xml:space="preserve">Oliver, A., Davey, A., [and 10 others, including </w:t>
      </w:r>
      <w:r>
        <w:rPr>
          <w:rFonts w:cs="Calibri"/>
          <w:b/>
          <w:bCs/>
        </w:rPr>
        <w:t>Chan, J.</w:t>
      </w:r>
      <w:r>
        <w:rPr>
          <w:rFonts w:cs="Calibri"/>
        </w:rPr>
        <w:t xml:space="preserve">] (2019) Tissue-specific tumor microenvironments influence responses to immunotherapies, </w:t>
      </w:r>
      <w:r>
        <w:rPr>
          <w:rFonts w:cs="Calibri"/>
          <w:i/>
          <w:iCs/>
        </w:rPr>
        <w:t>Clinical &amp; Translational Immunology</w:t>
      </w:r>
    </w:p>
    <w:p>
      <w:pPr>
        <w:pStyle w:val="ListParagraph"/>
        <w:numPr>
          <w:ilvl w:val="0"/>
          <w:numId w:val="5"/>
        </w:numPr>
        <w:rPr>
          <w:rFonts w:eastAsia="Times New Roman" w:cs="Calibri"/>
          <w:lang w:val="en-AU" w:eastAsia="en-GB" w:bidi="ar-SA"/>
        </w:rPr>
      </w:pPr>
      <w:r>
        <w:rPr>
          <w:rFonts w:cs="Calibri"/>
        </w:rPr>
        <w:t xml:space="preserve">Ali, A., Oliver, A., [and 4 others, including </w:t>
      </w:r>
      <w:r>
        <w:rPr>
          <w:rFonts w:cs="Calibri"/>
          <w:b/>
          <w:bCs/>
        </w:rPr>
        <w:t>Chan, J.</w:t>
      </w:r>
      <w:r>
        <w:rPr>
          <w:rFonts w:cs="Calibri"/>
        </w:rPr>
        <w:t xml:space="preserve">] (2019) </w:t>
      </w:r>
      <w:r>
        <w:rPr>
          <w:rFonts w:eastAsia="Times New Roman" w:cs="Calibri"/>
          <w:color w:val="000000"/>
          <w:lang w:val="en-AU" w:eastAsia="en-GB" w:bidi="ar-SA"/>
        </w:rPr>
        <w:t xml:space="preserve">Genetic Redirection of T cells for the Treatment of Pancreatic Cancer, </w:t>
      </w:r>
      <w:r>
        <w:rPr>
          <w:rFonts w:eastAsia="Times New Roman" w:cs="Calibri"/>
          <w:i/>
          <w:iCs/>
          <w:color w:val="000000"/>
          <w:lang w:val="en-AU" w:eastAsia="en-GB" w:bidi="ar-SA"/>
        </w:rPr>
        <w:t>Frontiers in Oncology</w:t>
      </w:r>
    </w:p>
    <w:p>
      <w:pPr>
        <w:pStyle w:val="Normal"/>
        <w:spacing w:before="120" w:after="0"/>
        <w:rPr>
          <w:rFonts w:ascii="Calibri" w:hAnsi="Calibri"/>
          <w:b/>
          <w:b/>
          <w:szCs w:val="24"/>
          <w:lang w:val="en-AU"/>
        </w:rPr>
      </w:pPr>
      <w:r>
        <w:rPr>
          <w:rFonts w:ascii="Calibri" w:hAnsi="Calibri"/>
          <w:b/>
          <w:szCs w:val="24"/>
          <w:lang w:val="en-AU"/>
        </w:rPr>
      </w:r>
    </w:p>
    <w:p>
      <w:pPr>
        <w:pStyle w:val="Normal"/>
        <w:spacing w:before="120" w:after="0"/>
        <w:jc w:val="both"/>
        <w:rPr>
          <w:rFonts w:ascii="Calibri" w:hAnsi="Calibri" w:cs="Arial"/>
          <w:b/>
          <w:b/>
          <w:szCs w:val="24"/>
          <w:lang w:val="en-AU"/>
        </w:rPr>
      </w:pPr>
      <w:r>
        <w:rPr>
          <w:rFonts w:cs="Arial" w:ascii="Calibri" w:hAnsi="Calibri"/>
          <w:b/>
          <w:szCs w:val="24"/>
          <w:lang w:val="en-AU"/>
        </w:rPr>
        <w:t>Record of attendance at required Student Research Education Program seminars, hubs, induction sessions, orientation, training programs completed in the 1</w:t>
      </w:r>
      <w:r>
        <w:rPr>
          <w:rFonts w:cs="Arial" w:ascii="Calibri" w:hAnsi="Calibri"/>
          <w:b/>
          <w:szCs w:val="24"/>
          <w:vertAlign w:val="superscript"/>
          <w:lang w:val="en-AU"/>
        </w:rPr>
        <w:t>st</w:t>
      </w:r>
      <w:r>
        <w:rPr>
          <w:rFonts w:cs="Arial" w:ascii="Calibri" w:hAnsi="Calibri"/>
          <w:b/>
          <w:szCs w:val="24"/>
          <w:lang w:val="en-AU"/>
        </w:rPr>
        <w:t xml:space="preserve"> year. Insert list below or attach relevant summary record.</w:t>
      </w:r>
    </w:p>
    <w:p>
      <w:pPr>
        <w:pStyle w:val="Normal"/>
        <w:numPr>
          <w:ilvl w:val="0"/>
          <w:numId w:val="6"/>
        </w:numPr>
        <w:spacing w:before="120" w:after="0"/>
        <w:jc w:val="both"/>
        <w:rPr>
          <w:rFonts w:ascii="Calibri" w:hAnsi="Calibri" w:cs="Arial"/>
          <w:bCs/>
          <w:szCs w:val="24"/>
          <w:lang w:val="en-AU"/>
        </w:rPr>
      </w:pPr>
      <w:r>
        <w:rPr>
          <w:rFonts w:cs="Arial" w:ascii="Calibri" w:hAnsi="Calibri"/>
          <w:bCs/>
          <w:szCs w:val="24"/>
          <w:lang w:val="en-AU"/>
        </w:rPr>
        <w:t>Post graduate research induction and orientation</w:t>
      </w:r>
    </w:p>
    <w:p>
      <w:pPr>
        <w:pStyle w:val="Normal"/>
        <w:numPr>
          <w:ilvl w:val="0"/>
          <w:numId w:val="6"/>
        </w:numPr>
        <w:spacing w:before="120" w:after="0"/>
        <w:jc w:val="both"/>
        <w:rPr>
          <w:rFonts w:ascii="Calibri" w:hAnsi="Calibri" w:cs="Arial"/>
          <w:bCs/>
          <w:szCs w:val="24"/>
          <w:lang w:val="en-AU"/>
        </w:rPr>
      </w:pPr>
      <w:r>
        <w:rPr>
          <w:rFonts w:cs="Arial" w:ascii="Calibri" w:hAnsi="Calibri"/>
          <w:bCs/>
          <w:szCs w:val="24"/>
          <w:lang w:val="en-AU"/>
        </w:rPr>
        <w:t>2019 Methods in Cancer seminar series</w:t>
      </w:r>
    </w:p>
    <w:p>
      <w:pPr>
        <w:pStyle w:val="Normal"/>
        <w:numPr>
          <w:ilvl w:val="0"/>
          <w:numId w:val="6"/>
        </w:numPr>
        <w:spacing w:before="120" w:after="0"/>
        <w:jc w:val="both"/>
        <w:rPr>
          <w:rFonts w:ascii="Calibri" w:hAnsi="Calibri" w:cs="Arial"/>
          <w:bCs/>
          <w:szCs w:val="24"/>
          <w:lang w:val="en-AU"/>
        </w:rPr>
      </w:pPr>
      <w:r>
        <w:rPr>
          <w:rFonts w:cs="Arial" w:ascii="Calibri" w:hAnsi="Calibri"/>
          <w:bCs/>
          <w:szCs w:val="24"/>
          <w:lang w:val="en-AU"/>
        </w:rPr>
        <w:t>2020 Topics in Cancer seminars to date</w:t>
      </w:r>
    </w:p>
    <w:p>
      <w:pPr>
        <w:pStyle w:val="Normal"/>
        <w:numPr>
          <w:ilvl w:val="0"/>
          <w:numId w:val="6"/>
        </w:numPr>
        <w:spacing w:before="120" w:after="0"/>
        <w:jc w:val="both"/>
        <w:rPr>
          <w:rFonts w:ascii="Calibri" w:hAnsi="Calibri" w:cs="Arial"/>
          <w:bCs/>
          <w:szCs w:val="24"/>
          <w:lang w:val="en-AU"/>
        </w:rPr>
      </w:pPr>
      <w:r>
        <w:rPr>
          <w:rFonts w:cs="Arial" w:ascii="Calibri" w:hAnsi="Calibri"/>
          <w:bCs/>
          <w:szCs w:val="24"/>
          <w:lang w:val="en-AU"/>
        </w:rPr>
        <w:t>Presented at Cancer Immunology Research (CIR) hubs</w:t>
      </w:r>
    </w:p>
    <w:p>
      <w:pPr>
        <w:pStyle w:val="PlainText"/>
        <w:spacing w:before="120" w:after="0"/>
        <w:rPr>
          <w:rFonts w:ascii="Calibri" w:hAnsi="Calibri" w:cs="Arial"/>
          <w:b/>
          <w:b/>
          <w:lang w:val="en-AU"/>
        </w:rPr>
      </w:pPr>
      <w:r>
        <w:rPr>
          <w:rFonts w:cs="Arial" w:ascii="Calibri" w:hAnsi="Calibri"/>
          <w:b/>
          <w:lang w:val="en-AU"/>
        </w:rPr>
      </w:r>
    </w:p>
    <w:p>
      <w:pPr>
        <w:pStyle w:val="Normal"/>
        <w:spacing w:before="120" w:after="0"/>
        <w:rPr>
          <w:rFonts w:ascii="Calibri" w:hAnsi="Calibri"/>
          <w:b/>
          <w:b/>
          <w:sz w:val="20"/>
          <w:lang w:val="en-AU"/>
        </w:rPr>
      </w:pPr>
      <w:r>
        <w:rPr>
          <w:rFonts w:ascii="Calibri" w:hAnsi="Calibri"/>
          <w:b/>
          <w:sz w:val="20"/>
          <w:lang w:val="en-AU"/>
        </w:rPr>
      </w:r>
    </w:p>
    <w:p>
      <w:pPr>
        <w:pStyle w:val="PlainText"/>
        <w:spacing w:before="120" w:after="0"/>
        <w:rPr>
          <w:rFonts w:ascii="Calibri" w:hAnsi="Calibri" w:eastAsia="Verdana" w:cs="Arial"/>
          <w:b/>
          <w:b/>
          <w:lang w:val="en-AU"/>
        </w:rPr>
      </w:pPr>
      <w:r>
        <w:rPr>
          <w:rFonts w:eastAsia="Verdana" w:cs="Arial" w:ascii="Calibri" w:hAnsi="Calibri"/>
          <w:b/>
          <w:lang w:val="en-AU"/>
        </w:rPr>
        <w:t xml:space="preserve">Turnitin originality report:  </w:t>
      </w:r>
    </w:p>
    <w:p>
      <w:pPr>
        <w:pStyle w:val="PlainText"/>
        <w:rPr>
          <w:rFonts w:ascii="Calibri" w:hAnsi="Calibri" w:cs="Arial"/>
          <w:lang w:val="en-AU"/>
        </w:rPr>
      </w:pPr>
      <w:r>
        <w:rPr>
          <w:rFonts w:cs="Arial" w:ascii="Calibri" w:hAnsi="Calibri"/>
          <w:lang w:val="en-AU"/>
        </w:rPr>
        <w:t xml:space="preserve">It is strongly recommended that candidates prepare, with their supervisor(s), a Turnitin originality report for a substantial piece of writing (eg. a chapter, a section of a chapter, or the written progress report). </w:t>
      </w:r>
    </w:p>
    <w:p>
      <w:pPr>
        <w:pStyle w:val="PlainText"/>
        <w:rPr/>
      </w:pPr>
      <w:r>
        <w:rPr>
          <w:rFonts w:cs="Arial" w:ascii="Calibri" w:hAnsi="Calibri"/>
          <w:lang w:val="en-AU"/>
        </w:rPr>
        <w:t>To access Turnitin go to the Thesis Similarity Checking community under ‘My Communities’ on the LMS. There is a link to the LMS under ‘Learning Tools’ on the ‘Home’ tab of the Student Portal (</w:t>
      </w:r>
      <w:hyperlink r:id="rId10">
        <w:r>
          <w:rPr>
            <w:rStyle w:val="InternetLink"/>
            <w:rFonts w:cs="Arial" w:ascii="Calibri" w:hAnsi="Calibri"/>
            <w:lang w:val="en-AU"/>
          </w:rPr>
          <w:t>http://portal.unimelb.edu.au</w:t>
        </w:r>
      </w:hyperlink>
      <w:r>
        <w:rPr>
          <w:rFonts w:cs="Arial" w:ascii="Calibri" w:hAnsi="Calibri"/>
          <w:lang w:val="en-AU"/>
        </w:rPr>
        <w:t>).</w:t>
      </w:r>
    </w:p>
    <w:p>
      <w:pPr>
        <w:pStyle w:val="Normal"/>
        <w:rPr/>
      </w:pPr>
      <w:r>
        <w:rPr/>
      </w:r>
    </w:p>
    <w:sectPr>
      <w:headerReference w:type="default" r:id="rId11"/>
      <w:footerReference w:type="default" r:id="rId12"/>
      <w:type w:val="nextPage"/>
      <w:pgSz w:w="12240" w:h="15840"/>
      <w:pgMar w:left="993" w:right="900" w:header="567" w:top="1135" w:footer="720" w:bottom="9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Courier New">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8640"/>
        <w:tab w:val="center" w:pos="4320" w:leader="none"/>
        <w:tab w:val="right" w:pos="10065" w:leader="none"/>
      </w:tabs>
      <w:rPr/>
    </w:pPr>
    <w:r>
      <w:rPr>
        <w:rStyle w:val="Pagenumber"/>
        <w:rFonts w:cs="Arial" w:ascii="Arial" w:hAnsi="Arial"/>
        <w:sz w:val="18"/>
        <w:szCs w:val="18"/>
      </w:rPr>
      <w:t>Sir Peter Mac Confirmation Report</w:t>
      <w:tab/>
      <w:tab/>
    </w:r>
    <w:r>
      <w:rPr>
        <w:rStyle w:val="Pagenumber"/>
        <w:rFonts w:cs="Arial" w:ascii="Arial" w:hAnsi="Arial"/>
        <w:sz w:val="18"/>
        <w:szCs w:val="18"/>
      </w:rPr>
      <w:fldChar w:fldCharType="begin"/>
    </w:r>
    <w:r>
      <w:rPr>
        <w:rStyle w:val="Pagenumber"/>
        <w:sz w:val="18"/>
        <w:szCs w:val="18"/>
        <w:rFonts w:cs="Arial" w:ascii="Arial" w:hAnsi="Arial"/>
      </w:rPr>
      <w:instrText> PAGE </w:instrText>
    </w:r>
    <w:r>
      <w:rPr>
        <w:rStyle w:val="Pagenumber"/>
        <w:sz w:val="18"/>
        <w:szCs w:val="18"/>
        <w:rFonts w:cs="Arial" w:ascii="Arial" w:hAnsi="Arial"/>
      </w:rPr>
      <w:fldChar w:fldCharType="separate"/>
    </w:r>
    <w:r>
      <w:rPr>
        <w:rStyle w:val="Pagenumber"/>
        <w:sz w:val="18"/>
        <w:szCs w:val="18"/>
        <w:rFonts w:cs="Arial" w:ascii="Arial" w:hAnsi="Arial"/>
      </w:rPr>
      <w:t>29</w:t>
    </w:r>
    <w:r>
      <w:rPr>
        <w:rStyle w:val="Pagenumber"/>
        <w:sz w:val="18"/>
        <w:szCs w:val="18"/>
        <w:rFonts w:cs="Arial" w:ascii="Arial" w:hAnsi="Arial"/>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97"/>
        </w:tabs>
        <w:ind w:left="397" w:hanging="397"/>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bullet"/>
      <w:lvlText w:val=""/>
      <w:lvlJc w:val="left"/>
      <w:pPr>
        <w:tabs>
          <w:tab w:val="num" w:pos="1080"/>
        </w:tabs>
        <w:ind w:left="1080" w:hanging="360"/>
      </w:pPr>
      <w:rPr>
        <w:rFonts w:ascii="Symbol" w:hAnsi="Symbol" w:cs="Symbol"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3">
    <w:lvl w:ilvl="0">
      <w:start w:val="1"/>
      <w:numFmt w:val="lowerLetter"/>
      <w:lvlText w:val="%1."/>
      <w:lvlJc w:val="left"/>
      <w:pPr>
        <w:ind w:left="360" w:hanging="360"/>
      </w:pPr>
      <w:rPr>
        <w:sz w:val="20"/>
        <w:szCs w:val="18"/>
        <w:rFonts w:ascii="Calibri" w:hAnsi="Calibri"/>
      </w:rPr>
    </w:lvl>
    <w:lvl w:ilvl="1">
      <w:start w:val="1"/>
      <w:numFmt w:val="bullet"/>
      <w:lvlText w:val=""/>
      <w:lvlJc w:val="left"/>
      <w:pPr>
        <w:tabs>
          <w:tab w:val="num" w:pos="1800"/>
        </w:tabs>
        <w:ind w:left="1800" w:hanging="360"/>
      </w:pPr>
      <w:rPr>
        <w:rFonts w:ascii="Symbol" w:hAnsi="Symbol" w:cs="Symbol" w:hint="default"/>
        <w:sz w:val="18"/>
        <w:szCs w:val="18"/>
      </w:r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4">
    <w:lvl w:ilvl="0">
      <w:start w:val="1"/>
      <w:numFmt w:val="bullet"/>
      <w:lvlText w:val=""/>
      <w:lvlJc w:val="left"/>
      <w:pPr>
        <w:ind w:left="108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rPr>
        <w:sz w:val="24"/>
        <w:i w:val="false"/>
        <w:iCs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rPr>
        <w:sz w:val="24"/>
        <w:i w:val="false"/>
        <w:iCs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Verdana" w:cs="Times New Roman"/>
        <w:lang w:val="en-AU" w:eastAsia="en-GB"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71"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047bb"/>
    <w:pPr>
      <w:widowControl/>
      <w:bidi w:val="0"/>
      <w:spacing w:before="0" w:after="0"/>
      <w:jc w:val="left"/>
    </w:pPr>
    <w:rPr>
      <w:rFonts w:ascii="Verdana" w:hAnsi="Verdana" w:eastAsia="Verdana" w:cs="Times New Roman"/>
      <w:color w:val="auto"/>
      <w:kern w:val="0"/>
      <w:sz w:val="24"/>
      <w:szCs w:val="20"/>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rsid w:val="008b46d3"/>
    <w:rPr>
      <w:color w:val="0000FF"/>
      <w:u w:val="single"/>
    </w:rPr>
  </w:style>
  <w:style w:type="character" w:styleId="Pagenumber">
    <w:name w:val="page number"/>
    <w:basedOn w:val="DefaultParagraphFont"/>
    <w:qFormat/>
    <w:rsid w:val="00be228c"/>
    <w:rPr/>
  </w:style>
  <w:style w:type="character" w:styleId="PlainTextChar" w:customStyle="1">
    <w:name w:val="Plain Text Char"/>
    <w:link w:val="PlainText"/>
    <w:uiPriority w:val="99"/>
    <w:qFormat/>
    <w:rsid w:val="00990096"/>
    <w:rPr>
      <w:rFonts w:ascii="Courier New" w:hAnsi="Courier New" w:eastAsia="Times New Roman" w:cs="Courier New"/>
    </w:rPr>
  </w:style>
  <w:style w:type="character" w:styleId="BalloonTextChar" w:customStyle="1">
    <w:name w:val="Balloon Text Char"/>
    <w:link w:val="BalloonText"/>
    <w:uiPriority w:val="99"/>
    <w:semiHidden/>
    <w:qFormat/>
    <w:rsid w:val="0084026a"/>
    <w:rPr>
      <w:rFonts w:ascii="Times New Roman" w:hAnsi="Times New Roman"/>
      <w:sz w:val="18"/>
      <w:szCs w:val="18"/>
      <w:lang w:val="en-US" w:eastAsia="en-US"/>
    </w:rPr>
  </w:style>
  <w:style w:type="character" w:styleId="FollowedHyperlink">
    <w:name w:val="FollowedHyperlink"/>
    <w:uiPriority w:val="99"/>
    <w:semiHidden/>
    <w:unhideWhenUsed/>
    <w:qFormat/>
    <w:rsid w:val="00447a0c"/>
    <w:rPr>
      <w:color w:val="954F72"/>
      <w:u w:val="single"/>
    </w:rPr>
  </w:style>
  <w:style w:type="character" w:styleId="EndNoteBibliographyTitleChar" w:customStyle="1">
    <w:name w:val="EndNote Bibliography Title Char"/>
    <w:link w:val="EndNoteBibliographyTitle"/>
    <w:qFormat/>
    <w:rsid w:val="002f4f7b"/>
    <w:rPr>
      <w:rFonts w:ascii="Calibri" w:hAnsi="Calibri" w:eastAsia="Calibri" w:cs="Calibri"/>
      <w:sz w:val="24"/>
      <w:szCs w:val="24"/>
      <w:lang w:val="en-US" w:eastAsia="en-US"/>
    </w:rPr>
  </w:style>
  <w:style w:type="character" w:styleId="EndNoteBibliographyChar" w:customStyle="1">
    <w:name w:val="EndNote Bibliography Char"/>
    <w:link w:val="EndNoteBibliography"/>
    <w:qFormat/>
    <w:rsid w:val="002f4f7b"/>
    <w:rPr>
      <w:rFonts w:ascii="Calibri" w:hAnsi="Calibri" w:eastAsia="Calibri" w:cs="Calibri"/>
      <w:sz w:val="24"/>
      <w:szCs w:val="24"/>
      <w:lang w:val="en-US" w:eastAsia="en-US"/>
    </w:rPr>
  </w:style>
  <w:style w:type="character" w:styleId="CommentTextChar" w:customStyle="1">
    <w:name w:val="Comment Text Char"/>
    <w:link w:val="CommentText"/>
    <w:uiPriority w:val="99"/>
    <w:qFormat/>
    <w:rsid w:val="002f4f7b"/>
    <w:rPr>
      <w:rFonts w:ascii="Calibri" w:hAnsi="Calibri" w:eastAsia="Calibri"/>
      <w:lang w:eastAsia="en-US"/>
    </w:rPr>
  </w:style>
  <w:style w:type="character" w:styleId="PlaceholderText">
    <w:name w:val="Placeholder Text"/>
    <w:basedOn w:val="DefaultParagraphFont"/>
    <w:uiPriority w:val="99"/>
    <w:unhideWhenUsed/>
    <w:qFormat/>
    <w:rsid w:val="00c221f4"/>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rsid w:val="00be228c"/>
    <w:pPr>
      <w:tabs>
        <w:tab w:val="clear" w:pos="720"/>
        <w:tab w:val="center" w:pos="4320" w:leader="none"/>
        <w:tab w:val="right" w:pos="8640" w:leader="none"/>
      </w:tabs>
    </w:pPr>
    <w:rPr/>
  </w:style>
  <w:style w:type="paragraph" w:styleId="Footer">
    <w:name w:val="Footer"/>
    <w:basedOn w:val="Normal"/>
    <w:semiHidden/>
    <w:rsid w:val="00be228c"/>
    <w:pPr>
      <w:tabs>
        <w:tab w:val="clear" w:pos="720"/>
        <w:tab w:val="center" w:pos="4320" w:leader="none"/>
        <w:tab w:val="right" w:pos="8640" w:leader="none"/>
      </w:tabs>
    </w:pPr>
    <w:rPr/>
  </w:style>
  <w:style w:type="paragraph" w:styleId="PlainText">
    <w:name w:val="Plain Text"/>
    <w:basedOn w:val="Normal"/>
    <w:link w:val="PlainTextChar"/>
    <w:uiPriority w:val="99"/>
    <w:qFormat/>
    <w:rsid w:val="00990096"/>
    <w:pPr/>
    <w:rPr>
      <w:rFonts w:ascii="Courier New" w:hAnsi="Courier New" w:eastAsia="Times New Roman" w:cs="Courier New"/>
      <w:sz w:val="20"/>
    </w:rPr>
  </w:style>
  <w:style w:type="paragraph" w:styleId="NormalWeb">
    <w:name w:val="Normal (Web)"/>
    <w:basedOn w:val="Normal"/>
    <w:uiPriority w:val="99"/>
    <w:qFormat/>
    <w:rsid w:val="0066076e"/>
    <w:pPr/>
    <w:rPr>
      <w:rFonts w:ascii="Times" w:hAnsi="Times" w:eastAsia="Times New Roman"/>
      <w:sz w:val="20"/>
    </w:rPr>
  </w:style>
  <w:style w:type="paragraph" w:styleId="BalloonText">
    <w:name w:val="Balloon Text"/>
    <w:basedOn w:val="Normal"/>
    <w:link w:val="BalloonTextChar"/>
    <w:uiPriority w:val="99"/>
    <w:semiHidden/>
    <w:unhideWhenUsed/>
    <w:qFormat/>
    <w:rsid w:val="0084026a"/>
    <w:pPr/>
    <w:rPr>
      <w:rFonts w:ascii="Times New Roman" w:hAnsi="Times New Roman"/>
      <w:sz w:val="18"/>
      <w:szCs w:val="18"/>
    </w:rPr>
  </w:style>
  <w:style w:type="paragraph" w:styleId="ListParagraph">
    <w:name w:val="List Paragraph"/>
    <w:basedOn w:val="Normal"/>
    <w:uiPriority w:val="34"/>
    <w:qFormat/>
    <w:rsid w:val="004a0b8a"/>
    <w:pPr>
      <w:spacing w:before="0" w:after="0"/>
      <w:ind w:left="720" w:hanging="0"/>
      <w:contextualSpacing/>
    </w:pPr>
    <w:rPr>
      <w:rFonts w:ascii="Calibri" w:hAnsi="Calibri" w:eastAsia="Calibri"/>
      <w:szCs w:val="24"/>
      <w:lang w:bidi="en-US"/>
    </w:rPr>
  </w:style>
  <w:style w:type="paragraph" w:styleId="EndNoteBibliographyTitle" w:customStyle="1">
    <w:name w:val="EndNote Bibliography Title"/>
    <w:basedOn w:val="Normal"/>
    <w:link w:val="EndNoteBibliographyTitleChar"/>
    <w:qFormat/>
    <w:rsid w:val="002f4f7b"/>
    <w:pPr>
      <w:jc w:val="center"/>
    </w:pPr>
    <w:rPr>
      <w:rFonts w:ascii="Calibri" w:hAnsi="Calibri" w:eastAsia="Calibri" w:cs="Calibri"/>
      <w:szCs w:val="24"/>
    </w:rPr>
  </w:style>
  <w:style w:type="paragraph" w:styleId="EndNoteBibliography" w:customStyle="1">
    <w:name w:val="EndNote Bibliography"/>
    <w:basedOn w:val="Normal"/>
    <w:link w:val="EndNoteBibliographyChar"/>
    <w:qFormat/>
    <w:rsid w:val="002f4f7b"/>
    <w:pPr/>
    <w:rPr>
      <w:rFonts w:ascii="Calibri" w:hAnsi="Calibri" w:eastAsia="Calibri" w:cs="Calibri"/>
      <w:szCs w:val="24"/>
    </w:rPr>
  </w:style>
  <w:style w:type="paragraph" w:styleId="Annotationtext">
    <w:name w:val="annotation text"/>
    <w:basedOn w:val="Normal"/>
    <w:link w:val="CommentTextChar"/>
    <w:uiPriority w:val="99"/>
    <w:unhideWhenUsed/>
    <w:qFormat/>
    <w:rsid w:val="002f4f7b"/>
    <w:pPr/>
    <w:rPr>
      <w:rFonts w:ascii="Calibri" w:hAnsi="Calibri" w:eastAsia="Calibri"/>
      <w:sz w:val="20"/>
      <w:lang w:val="en-AU"/>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caroline.owen@petermac.org?subject=Confirmation report submission" TargetMode="External"/><Relationship Id="rId4" Type="http://schemas.openxmlformats.org/officeDocument/2006/relationships/hyperlink" Target="mailto:Research.EducationAdmin@petermac.org" TargetMode="External"/><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png"/><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hyperlink" Target="http://portal.unimelb.edu.au/"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LibreOffice/6.3.5.2$Linux_X86_64 LibreOffice_project/30$Build-2</Application>
  <Pages>24</Pages>
  <Words>9989</Words>
  <Characters>54821</Characters>
  <CharactersWithSpaces>64243</CharactersWithSpaces>
  <Paragraphs>249</Paragraphs>
  <Company>PMCI Research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2020-09-04T00:39:00Z</dcterms:created>
  <dc:creator>Donna Dorow</dc:creator>
  <dc:description/>
  <dc:language>en-AU</dc:language>
  <cp:lastModifiedBy>Conway Thomas</cp:lastModifiedBy>
  <dcterms:modified xsi:type="dcterms:W3CDTF">2020-09-04T00:39:00Z</dcterms:modified>
  <cp:revision>2</cp:revision>
  <dc:subject/>
  <dc:title>STUDENT ADVISORY COMMITTEE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PMCI Research</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