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t>THOG2</w:t>
      </w:r>
    </w:p>
    <w:p>
      <w:pPr>
        <w:pStyle w:val="Title"/>
        <w:jc w:val="center"/>
      </w:pPr>
      <w:r>
        <w:t>thogopt</w:t>
      </w:r>
    </w:p>
    <w:p>
      <w:pPr>
        <w:jc w:val="center"/>
      </w:pPr>
      <w:r>
        <w:t>Requirements Specification</w:t>
      </w:r>
    </w:p>
    <w:p>
      <w:pPr>
        <w:jc w:val="center"/>
      </w:pPr>
      <w:r>
        <w:t>v0.1</w:t>
      </w:r>
    </w:p>
    <w:p>
      <w:pPr>
        <w:widowControl/>
        <w:spacing w:before="0" w:after="0" w:line="480" w:lineRule="exact"/>
        <w:shd w:val="clear" w:fill="D9EAF7"/>
        <w:pBdr>
          <w:bottom w:val="single" w:sz="12" w:color="8EADC3"/>
        </w:pBdr>
      </w:pPr>
      <w:r>
        <w:t xml:space="preserve"> </w:t>
      </w:r>
    </w:p>
    <w:p>
      <w:pPr>
        <w:spacing w:before="400"/>
        <w:jc w:val="center"/>
      </w:pPr>
      <w:r>
        <w:t>Layer-space AdamW optimisation, independently compressed moment histories, and Instra verification</w:t>
      </w:r>
    </w:p>
    <w:tbl>
      <w:tblPr>
        <w:jc w:val="left"/>
        <w:tblLook w:firstColumn="1" w:firstRow="1" w:lastColumn="0" w:lastRow="0" w:noHBand="0" w:noVBand="1" w:val="04A0"/>
        <w:tblW w:w="9398" w:type="dxa"/>
        <w:tblInd w:w="110" w:type="dxa"/>
        <w:tblLayout w:type="fixed"/>
        <w:tblBorders>
          <w:top w:val="single" w:sz="4" w:color="C7C7C7"/>
          <w:left w:val="single" w:sz="4" w:color="C7C7C7"/>
          <w:bottom w:val="single" w:sz="4" w:color="C7C7C7"/>
          <w:right w:val="single" w:sz="4" w:color="C7C7C7"/>
          <w:insideH w:val="single" w:sz="4" w:color="C7C7C7"/>
          <w:insideV w:val="single" w:sz="4" w:color="C7C7C7"/>
        </w:tblBorders>
      </w:tblPr>
      <w:tblGrid>
        <w:gridCol w:w="4699"/>
        <w:gridCol w:w="4699"/>
      </w:tblGrid>
      <w:tr>
        <w:trPr>
          <w:cantSplit/>
        </w:trPr>
        <w:tc>
          <w:tcPr>
            <w:tcW w:type="dxa" w:w="4699"/>
            <w:vAlign w:val="center"/>
            <w:tcMar>
              <w:top w:w="95" w:type="dxa"/>
              <w:start w:w="110" w:type="dxa"/>
              <w:bottom w:w="95" w:type="dxa"/>
              <w:end w:w="110" w:type="dxa"/>
            </w:tcMar>
            <w:shd w:val="clear" w:fill="EAF2F8"/>
          </w:tcPr>
          <w:p>
            <w:pPr>
              <w:pStyle w:val="TableText"/>
              <w:keepLines/>
            </w:pPr>
            <w:r>
              <w:rPr>
                <w:b/>
                <w:color w:val="1F4E79"/>
                <w:sz w:val="18"/>
              </w:rPr>
              <w:t>Status</w:t>
            </w:r>
          </w:p>
        </w:tc>
        <w:tc>
          <w:tcPr>
            <w:tcW w:type="dxa" w:w="4699"/>
            <w:vAlign w:val="center"/>
            <w:tcMar>
              <w:top w:w="95" w:type="dxa"/>
              <w:start w:w="110" w:type="dxa"/>
              <w:bottom w:w="95" w:type="dxa"/>
              <w:end w:w="110" w:type="dxa"/>
            </w:tcMar>
          </w:tcPr>
          <w:p>
            <w:pPr>
              <w:pStyle w:val="TableText"/>
              <w:keepLines/>
            </w:pPr>
            <w:r>
              <w:rPr>
                <w:b w:val="0"/>
                <w:color w:val="203040"/>
                <w:sz w:val="18"/>
              </w:rPr>
              <w:t>Draft for review; atomic requirements</w:t>
            </w:r>
          </w:p>
        </w:tc>
      </w:tr>
      <w:tr>
        <w:trPr>
          <w:cantSplit/>
        </w:trPr>
        <w:tc>
          <w:tcPr>
            <w:tcW w:type="dxa" w:w="4699"/>
            <w:vAlign w:val="center"/>
            <w:tcMar>
              <w:top w:w="95" w:type="dxa"/>
              <w:start w:w="110" w:type="dxa"/>
              <w:bottom w:w="95" w:type="dxa"/>
              <w:end w:w="110" w:type="dxa"/>
            </w:tcMar>
            <w:shd w:val="clear" w:fill="EAF2F8"/>
          </w:tcPr>
          <w:p>
            <w:pPr>
              <w:pStyle w:val="TableText"/>
              <w:keepLines/>
            </w:pPr>
            <w:r>
              <w:rPr>
                <w:b/>
                <w:color w:val="1F4E79"/>
                <w:sz w:val="18"/>
              </w:rPr>
              <w:t>Product</w:t>
            </w:r>
          </w:p>
        </w:tc>
        <w:tc>
          <w:tcPr>
            <w:tcW w:type="dxa" w:w="4699"/>
            <w:vAlign w:val="center"/>
            <w:tcMar>
              <w:top w:w="95" w:type="dxa"/>
              <w:start w:w="110" w:type="dxa"/>
              <w:bottom w:w="95" w:type="dxa"/>
              <w:end w:w="110" w:type="dxa"/>
            </w:tcMar>
          </w:tcPr>
          <w:p>
            <w:pPr>
              <w:pStyle w:val="TableText"/>
              <w:keepLines/>
            </w:pPr>
            <w:r>
              <w:rPr>
                <w:b w:val="0"/>
                <w:color w:val="203040"/>
                <w:sz w:val="18"/>
              </w:rPr>
              <w:t>THOG2 training and Instra</w:t>
            </w:r>
          </w:p>
        </w:tc>
      </w:tr>
      <w:tr>
        <w:trPr>
          <w:cantSplit/>
        </w:trPr>
        <w:tc>
          <w:tcPr>
            <w:tcW w:type="dxa" w:w="4699"/>
            <w:vAlign w:val="center"/>
            <w:tcMar>
              <w:top w:w="95" w:type="dxa"/>
              <w:start w:w="110" w:type="dxa"/>
              <w:bottom w:w="95" w:type="dxa"/>
              <w:end w:w="110" w:type="dxa"/>
            </w:tcMar>
            <w:shd w:val="clear" w:fill="EAF2F8"/>
          </w:tcPr>
          <w:p>
            <w:pPr>
              <w:pStyle w:val="TableText"/>
              <w:keepLines/>
            </w:pPr>
            <w:r>
              <w:rPr>
                <w:b/>
                <w:color w:val="1F4E79"/>
                <w:sz w:val="18"/>
              </w:rPr>
              <w:t>Initial scope</w:t>
            </w:r>
          </w:p>
        </w:tc>
        <w:tc>
          <w:tcPr>
            <w:tcW w:type="dxa" w:w="4699"/>
            <w:vAlign w:val="center"/>
            <w:tcMar>
              <w:top w:w="95" w:type="dxa"/>
              <w:start w:w="110" w:type="dxa"/>
              <w:bottom w:w="95" w:type="dxa"/>
              <w:end w:w="110" w:type="dxa"/>
            </w:tcMar>
          </w:tcPr>
          <w:p>
            <w:pPr>
              <w:pStyle w:val="TableText"/>
              <w:keepLines/>
            </w:pPr>
            <w:r>
              <w:rPr>
                <w:b w:val="0"/>
                <w:color w:val="203040"/>
                <w:sz w:val="18"/>
              </w:rPr>
              <w:t>Fixed-depth Chebyshev models; raw layer-gradient histories</w:t>
            </w:r>
          </w:p>
        </w:tc>
      </w:tr>
      <w:tr>
        <w:trPr>
          <w:cantSplit/>
        </w:trPr>
        <w:tc>
          <w:tcPr>
            <w:tcW w:type="dxa" w:w="4699"/>
            <w:vAlign w:val="center"/>
            <w:tcMar>
              <w:top w:w="95" w:type="dxa"/>
              <w:start w:w="110" w:type="dxa"/>
              <w:bottom w:w="95" w:type="dxa"/>
              <w:end w:w="110" w:type="dxa"/>
            </w:tcMar>
            <w:shd w:val="clear" w:fill="EAF2F8"/>
          </w:tcPr>
          <w:p>
            <w:pPr>
              <w:pStyle w:val="TableText"/>
              <w:keepLines/>
            </w:pPr>
            <w:r>
              <w:rPr>
                <w:b/>
                <w:color w:val="1F4E79"/>
                <w:sz w:val="18"/>
              </w:rPr>
              <w:t>Date</w:t>
            </w:r>
          </w:p>
        </w:tc>
        <w:tc>
          <w:tcPr>
            <w:tcW w:type="dxa" w:w="4699"/>
            <w:vAlign w:val="center"/>
            <w:tcMar>
              <w:top w:w="95" w:type="dxa"/>
              <w:start w:w="110" w:type="dxa"/>
              <w:bottom w:w="95" w:type="dxa"/>
              <w:end w:w="110" w:type="dxa"/>
            </w:tcMar>
          </w:tcPr>
          <w:p>
            <w:pPr>
              <w:pStyle w:val="TableText"/>
              <w:keepLines/>
            </w:pPr>
            <w:r>
              <w:rPr>
                <w:b w:val="0"/>
                <w:color w:val="203040"/>
                <w:sz w:val="18"/>
              </w:rPr>
              <w:t>2 September 2026</w:t>
            </w:r>
          </w:p>
        </w:tc>
      </w:tr>
    </w:tbl>
    <w:p>
      <w:pPr>
        <w:widowControl/>
        <w:spacing w:after="40"/>
      </w:pPr>
    </w:p>
    <w:p>
      <w:r>
        <w:br w:type="page"/>
      </w:r>
    </w:p>
    <w:p>
      <w:pPr>
        <w:pStyle w:val="Heading1"/>
      </w:pPr>
      <w:r>
        <w:t>Detailed table of contents</w:t>
      </w:r>
    </w:p>
    <w:p>
      <w:pPr>
        <w:widowControl/>
      </w:pPr>
      <w:r>
        <w:t>The contents below link to the numbered sections and remain readable without refreshing a Word field.</w:t>
      </w:r>
    </w:p>
    <w:tbl>
      <w:tblPr>
        <w:jc w:val="left"/>
        <w:tblLook w:firstColumn="1" w:firstRow="1" w:lastColumn="0" w:lastRow="0" w:noHBand="0" w:noVBand="1" w:val="04A0"/>
        <w:tblW w:w="9398" w:type="dxa"/>
        <w:tblInd w:w="0" w:type="dxa"/>
        <w:tblLayout w:type="fixed"/>
        <w:tblBorders>
          <w:top w:val="nil" w:sz="4" w:color="C7C7C7"/>
          <w:left w:val="nil" w:sz="4" w:color="C7C7C7"/>
          <w:bottom w:val="nil" w:sz="4" w:color="C7C7C7"/>
          <w:right w:val="nil" w:sz="4" w:color="C7C7C7"/>
          <w:insideH w:val="nil" w:sz="4" w:color="C7C7C7"/>
          <w:insideV w:val="nil" w:sz="4" w:color="C7C7C7"/>
        </w:tblBorders>
      </w:tblPr>
      <w:tblGrid>
        <w:gridCol w:w="4699"/>
        <w:gridCol w:w="4699"/>
      </w:tblGrid>
      <w:tr>
        <w:trPr>
          <w:cantSplit/>
        </w:trPr>
        <w:tc>
          <w:tcPr>
            <w:tcW w:type="dxa" w:w="4699"/>
            <w:vAlign w:val="center"/>
            <w:tcMar>
              <w:top w:w="25" w:type="dxa"/>
              <w:start w:w="70" w:type="dxa"/>
              <w:bottom w:w="25" w:type="dxa"/>
              <w:end w:w="70" w:type="dxa"/>
            </w:tcMar>
          </w:tcPr>
          <w:p>
            <w:pPr>
              <w:pStyle w:val="TableText"/>
              <w:keepLines/>
            </w:pPr>
            <w:hyperlink w:anchor="thogopt_section_1001">
              <w:r>
                <w:rPr>
                  <w:sz w:val="16"/>
                  <w:color w:val="1F4E79"/>
                  <w:b/>
                </w:rPr>
                <w:t>1 Problem statement and intended outcome</w:t>
              </w:r>
            </w:hyperlink>
          </w:p>
        </w:tc>
        <w:tc>
          <w:tcPr>
            <w:tcW w:type="dxa" w:w="4699"/>
            <w:vAlign w:val="center"/>
            <w:tcMar>
              <w:top w:w="25" w:type="dxa"/>
              <w:start w:w="70" w:type="dxa"/>
              <w:bottom w:w="25" w:type="dxa"/>
              <w:end w:w="70" w:type="dxa"/>
            </w:tcMar>
          </w:tcPr>
          <w:p>
            <w:pPr>
              <w:pStyle w:val="TableText"/>
              <w:keepLines/>
              <w:ind w:left="100"/>
            </w:pPr>
            <w:hyperlink w:anchor="thogopt_section_1028">
              <w:r>
                <w:rPr>
                  <w:sz w:val="16"/>
                  <w:color w:val="203040"/>
                </w:rPr>
                <w:t>7.1 Persistent state budget</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02">
              <w:r>
                <w:rPr>
                  <w:sz w:val="16"/>
                  <w:color w:val="203040"/>
                </w:rPr>
                <w:t>1.1 Why SGD parity is necessary but insufficient</w:t>
              </w:r>
            </w:hyperlink>
          </w:p>
        </w:tc>
        <w:tc>
          <w:tcPr>
            <w:tcW w:type="dxa" w:w="4699"/>
            <w:vAlign w:val="center"/>
            <w:tcMar>
              <w:top w:w="25" w:type="dxa"/>
              <w:start w:w="70" w:type="dxa"/>
              <w:bottom w:w="25" w:type="dxa"/>
              <w:end w:w="70" w:type="dxa"/>
            </w:tcMar>
          </w:tcPr>
          <w:p>
            <w:pPr>
              <w:pStyle w:val="TableText"/>
              <w:keepLines/>
              <w:ind w:left="100"/>
            </w:pPr>
            <w:hyperlink w:anchor="thogopt_section_1029">
              <w:r>
                <w:rPr>
                  <w:sz w:val="16"/>
                  <w:color w:val="203040"/>
                </w:rPr>
                <w:t>7.2 Raw-gradient accumulation and bounded workspaces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03">
              <w:r>
                <w:rPr>
                  <w:sz w:val="16"/>
                  <w:color w:val="203040"/>
                </w:rPr>
                <w:t>1.2 Why coefficient-wise AdamW changes the problem</w:t>
              </w:r>
            </w:hyperlink>
          </w:p>
        </w:tc>
        <w:tc>
          <w:tcPr>
            <w:tcW w:type="dxa" w:w="4699"/>
            <w:vAlign w:val="center"/>
            <w:tcMar>
              <w:top w:w="25" w:type="dxa"/>
              <w:start w:w="70" w:type="dxa"/>
              <w:bottom w:w="25" w:type="dxa"/>
              <w:end w:w="70" w:type="dxa"/>
            </w:tcMar>
          </w:tcPr>
          <w:p>
            <w:pPr>
              <w:pStyle w:val="TableText"/>
              <w:keepLines/>
              <w:ind w:left="100"/>
            </w:pPr>
            <w:hyperlink w:anchor="thogopt_section_1030">
              <w:r>
                <w:rPr>
                  <w:sz w:val="16"/>
                  <w:color w:val="203040"/>
                </w:rPr>
                <w:t>7.3 Measured cost rather than assumed savings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04">
              <w:r>
                <w:rPr>
                  <w:sz w:val="16"/>
                  <w:color w:val="203040"/>
                </w:rPr>
                <w:t>1.3 How the proposed enhancement addresses the problem</w:t>
              </w:r>
            </w:hyperlink>
          </w:p>
        </w:tc>
        <w:tc>
          <w:tcPr>
            <w:tcW w:type="dxa" w:w="4699"/>
            <w:vAlign w:val="center"/>
            <w:tcMar>
              <w:top w:w="25" w:type="dxa"/>
              <w:start w:w="70" w:type="dxa"/>
              <w:bottom w:w="25" w:type="dxa"/>
              <w:end w:w="70" w:type="dxa"/>
            </w:tcMar>
          </w:tcPr>
          <w:p>
            <w:pPr>
              <w:pStyle w:val="TableText"/>
              <w:keepLines/>
            </w:pPr>
            <w:hyperlink w:anchor="thogopt_section_1031">
              <w:r>
                <w:rPr>
                  <w:sz w:val="16"/>
                  <w:color w:val="1F4E79"/>
                  <w:b/>
                </w:rPr>
                <w:t>8 Persistence, restart and compatibility</w:t>
              </w:r>
            </w:hyperlink>
          </w:p>
        </w:tc>
      </w:tr>
      <w:tr>
        <w:trPr>
          <w:cantSplit/>
        </w:trPr>
        <w:tc>
          <w:tcPr>
            <w:tcW w:type="dxa" w:w="4699"/>
            <w:vAlign w:val="center"/>
            <w:tcMar>
              <w:top w:w="25" w:type="dxa"/>
              <w:start w:w="70" w:type="dxa"/>
              <w:bottom w:w="25" w:type="dxa"/>
              <w:end w:w="70" w:type="dxa"/>
            </w:tcMar>
          </w:tcPr>
          <w:p>
            <w:pPr>
              <w:pStyle w:val="TableText"/>
              <w:keepLines/>
            </w:pPr>
            <w:hyperlink w:anchor="thogopt_section_1005">
              <w:r>
                <w:rPr>
                  <w:sz w:val="16"/>
                  <w:color w:val="1F4E79"/>
                  <w:b/>
                </w:rPr>
                <w:t>2 AdamW in working terms</w:t>
              </w:r>
            </w:hyperlink>
          </w:p>
        </w:tc>
        <w:tc>
          <w:tcPr>
            <w:tcW w:type="dxa" w:w="4699"/>
            <w:vAlign w:val="center"/>
            <w:tcMar>
              <w:top w:w="25" w:type="dxa"/>
              <w:start w:w="70" w:type="dxa"/>
              <w:bottom w:w="25" w:type="dxa"/>
              <w:end w:w="70" w:type="dxa"/>
            </w:tcMar>
          </w:tcPr>
          <w:p>
            <w:pPr>
              <w:pStyle w:val="TableText"/>
              <w:keepLines/>
              <w:ind w:left="100"/>
            </w:pPr>
            <w:hyperlink w:anchor="thogopt_section_1032">
              <w:r>
                <w:rPr>
                  <w:sz w:val="16"/>
                  <w:color w:val="203040"/>
                </w:rPr>
                <w:t>8.1 Checkpoint contents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06">
              <w:r>
                <w:rPr>
                  <w:sz w:val="16"/>
                  <w:color w:val="203040"/>
                </w:rPr>
                <w:t>2.1 The gradient and momentum</w:t>
              </w:r>
            </w:hyperlink>
          </w:p>
        </w:tc>
        <w:tc>
          <w:tcPr>
            <w:tcW w:type="dxa" w:w="4699"/>
            <w:vAlign w:val="center"/>
            <w:tcMar>
              <w:top w:w="25" w:type="dxa"/>
              <w:start w:w="70" w:type="dxa"/>
              <w:bottom w:w="25" w:type="dxa"/>
              <w:end w:w="70" w:type="dxa"/>
            </w:tcMar>
          </w:tcPr>
          <w:p>
            <w:pPr>
              <w:pStyle w:val="TableText"/>
              <w:keepLines/>
              <w:ind w:left="100"/>
            </w:pPr>
            <w:hyperlink w:anchor="thogopt_section_1033">
              <w:r>
                <w:rPr>
                  <w:sz w:val="16"/>
                  <w:color w:val="203040"/>
                </w:rPr>
                <w:t>8.2 Initialisation and optimizer changes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07">
              <w:r>
                <w:rPr>
                  <w:sz w:val="16"/>
                  <w:color w:val="203040"/>
                </w:rPr>
                <w:t>2.2 Adaptive scaling and the second history</w:t>
              </w:r>
            </w:hyperlink>
          </w:p>
        </w:tc>
        <w:tc>
          <w:tcPr>
            <w:tcW w:type="dxa" w:w="4699"/>
            <w:vAlign w:val="center"/>
            <w:tcMar>
              <w:top w:w="25" w:type="dxa"/>
              <w:start w:w="70" w:type="dxa"/>
              <w:bottom w:w="25" w:type="dxa"/>
              <w:end w:w="70" w:type="dxa"/>
            </w:tcMar>
          </w:tcPr>
          <w:p>
            <w:pPr>
              <w:pStyle w:val="TableText"/>
              <w:keepLines/>
            </w:pPr>
            <w:hyperlink w:anchor="thogopt_section_1034">
              <w:r>
                <w:rPr>
                  <w:sz w:val="16"/>
                  <w:color w:val="1F4E79"/>
                  <w:b/>
                </w:rPr>
                <w:t>9 AdamW reference monitoring</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08">
              <w:r>
                <w:rPr>
                  <w:sz w:val="16"/>
                  <w:color w:val="203040"/>
                </w:rPr>
                <w:t>2.3 Bias correction, epsilon and the W</w:t>
              </w:r>
            </w:hyperlink>
          </w:p>
        </w:tc>
        <w:tc>
          <w:tcPr>
            <w:tcW w:type="dxa" w:w="4699"/>
            <w:vAlign w:val="center"/>
            <w:tcMar>
              <w:top w:w="25" w:type="dxa"/>
              <w:start w:w="70" w:type="dxa"/>
              <w:bottom w:w="25" w:type="dxa"/>
              <w:end w:w="70" w:type="dxa"/>
            </w:tcMar>
          </w:tcPr>
          <w:p>
            <w:pPr>
              <w:pStyle w:val="TableText"/>
              <w:keepLines/>
              <w:ind w:left="100"/>
            </w:pPr>
            <w:hyperlink w:anchor="thogopt_section_1035">
              <w:r>
                <w:rPr>
                  <w:sz w:val="16"/>
                  <w:color w:val="203040"/>
                </w:rPr>
                <w:t>9.1 Reference on the same gradient sequence</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09">
              <w:r>
                <w:rPr>
                  <w:sz w:val="16"/>
                  <w:color w:val="203040"/>
                </w:rPr>
                <w:t>2.4 What thogopt retains from AdamW</w:t>
              </w:r>
            </w:hyperlink>
          </w:p>
        </w:tc>
        <w:tc>
          <w:tcPr>
            <w:tcW w:type="dxa" w:w="4699"/>
            <w:vAlign w:val="center"/>
            <w:tcMar>
              <w:top w:w="25" w:type="dxa"/>
              <w:start w:w="70" w:type="dxa"/>
              <w:bottom w:w="25" w:type="dxa"/>
              <w:end w:w="70" w:type="dxa"/>
            </w:tcMar>
          </w:tcPr>
          <w:p>
            <w:pPr>
              <w:pStyle w:val="TableText"/>
              <w:keepLines/>
              <w:ind w:left="100"/>
            </w:pPr>
            <w:hyperlink w:anchor="thogopt_section_1036">
              <w:r>
                <w:rPr>
                  <w:sz w:val="16"/>
                  <w:color w:val="203040"/>
                </w:rPr>
                <w:t>9.2 Separate AdamW runs and available data</w:t>
              </w:r>
            </w:hyperlink>
          </w:p>
        </w:tc>
      </w:tr>
      <w:tr>
        <w:trPr>
          <w:cantSplit/>
        </w:trPr>
        <w:tc>
          <w:tcPr>
            <w:tcW w:type="dxa" w:w="4699"/>
            <w:vAlign w:val="center"/>
            <w:tcMar>
              <w:top w:w="25" w:type="dxa"/>
              <w:start w:w="70" w:type="dxa"/>
              <w:bottom w:w="25" w:type="dxa"/>
              <w:end w:w="70" w:type="dxa"/>
            </w:tcMar>
          </w:tcPr>
          <w:p>
            <w:pPr>
              <w:pStyle w:val="TableText"/>
              <w:keepLines/>
            </w:pPr>
            <w:hyperlink w:anchor="thogopt_section_1010">
              <w:r>
                <w:rPr>
                  <w:sz w:val="16"/>
                  <w:color w:val="1F4E79"/>
                  <w:b/>
                </w:rPr>
                <w:t>3 Scope, terminology and equivalence</w:t>
              </w:r>
            </w:hyperlink>
          </w:p>
        </w:tc>
        <w:tc>
          <w:tcPr>
            <w:tcW w:type="dxa" w:w="4699"/>
            <w:vAlign w:val="center"/>
            <w:tcMar>
              <w:top w:w="25" w:type="dxa"/>
              <w:start w:w="70" w:type="dxa"/>
              <w:bottom w:w="25" w:type="dxa"/>
              <w:end w:w="70" w:type="dxa"/>
            </w:tcMar>
          </w:tcPr>
          <w:p>
            <w:pPr>
              <w:pStyle w:val="TableText"/>
              <w:keepLines/>
              <w:ind w:left="100"/>
            </w:pPr>
            <w:hyperlink w:anchor="thogopt_section_1037">
              <w:r>
                <w:rPr>
                  <w:sz w:val="16"/>
                  <w:color w:val="203040"/>
                </w:rPr>
                <w:t>9.3 Quantities and differences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11">
              <w:r>
                <w:rPr>
                  <w:sz w:val="16"/>
                  <w:color w:val="203040"/>
                </w:rPr>
                <w:t>3.1 Initial supported scope</w:t>
              </w:r>
            </w:hyperlink>
          </w:p>
        </w:tc>
        <w:tc>
          <w:tcPr>
            <w:tcW w:type="dxa" w:w="4699"/>
            <w:vAlign w:val="center"/>
            <w:tcMar>
              <w:top w:w="25" w:type="dxa"/>
              <w:start w:w="70" w:type="dxa"/>
              <w:bottom w:w="25" w:type="dxa"/>
              <w:end w:w="70" w:type="dxa"/>
            </w:tcMar>
          </w:tcPr>
          <w:p>
            <w:pPr>
              <w:pStyle w:val="TableText"/>
              <w:keepLines/>
            </w:pPr>
            <w:hyperlink w:anchor="thogopt_section_1038">
              <w:r>
                <w:rPr>
                  <w:sz w:val="16"/>
                  <w:color w:val="1F4E79"/>
                  <w:b/>
                </w:rPr>
                <w:t>10 Instra charts and matrix inspection</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12">
              <w:r>
                <w:rPr>
                  <w:sz w:val="16"/>
                  <w:color w:val="203040"/>
                </w:rPr>
                <w:t>3.2 Symbols and data organisation</w:t>
              </w:r>
            </w:hyperlink>
          </w:p>
        </w:tc>
        <w:tc>
          <w:tcPr>
            <w:tcW w:type="dxa" w:w="4699"/>
            <w:vAlign w:val="center"/>
            <w:tcMar>
              <w:top w:w="25" w:type="dxa"/>
              <w:start w:w="70" w:type="dxa"/>
              <w:bottom w:w="25" w:type="dxa"/>
              <w:end w:w="70" w:type="dxa"/>
            </w:tcMar>
          </w:tcPr>
          <w:p>
            <w:pPr>
              <w:pStyle w:val="TableText"/>
              <w:keepLines/>
              <w:ind w:left="100"/>
            </w:pPr>
            <w:hyperlink w:anchor="thogopt_section_1039">
              <w:r>
                <w:rPr>
                  <w:sz w:val="16"/>
                  <w:color w:val="203040"/>
                </w:rPr>
                <w:t>10.1 Two new chart groups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13">
              <w:r>
                <w:rPr>
                  <w:sz w:val="16"/>
                  <w:color w:val="203040"/>
                </w:rPr>
                <w:t>3.3 Three distinct comparisons</w:t>
              </w:r>
            </w:hyperlink>
          </w:p>
        </w:tc>
        <w:tc>
          <w:tcPr>
            <w:tcW w:type="dxa" w:w="4699"/>
            <w:vAlign w:val="center"/>
            <w:tcMar>
              <w:top w:w="25" w:type="dxa"/>
              <w:start w:w="70" w:type="dxa"/>
              <w:bottom w:w="25" w:type="dxa"/>
              <w:end w:w="70" w:type="dxa"/>
            </w:tcMar>
          </w:tcPr>
          <w:p>
            <w:pPr>
              <w:pStyle w:val="TableText"/>
              <w:keepLines/>
              <w:ind w:left="100"/>
            </w:pPr>
            <w:hyperlink w:anchor="thogopt_section_1040">
              <w:r>
                <w:rPr>
                  <w:sz w:val="16"/>
                  <w:color w:val="203040"/>
                </w:rPr>
                <w:t>10.2 Interaction parity with weights</w:t>
              </w:r>
            </w:hyperlink>
          </w:p>
        </w:tc>
      </w:tr>
      <w:tr>
        <w:trPr>
          <w:cantSplit/>
        </w:trPr>
        <w:tc>
          <w:tcPr>
            <w:tcW w:type="dxa" w:w="4699"/>
            <w:vAlign w:val="center"/>
            <w:tcMar>
              <w:top w:w="25" w:type="dxa"/>
              <w:start w:w="70" w:type="dxa"/>
              <w:bottom w:w="25" w:type="dxa"/>
              <w:end w:w="70" w:type="dxa"/>
            </w:tcMar>
          </w:tcPr>
          <w:p>
            <w:pPr>
              <w:pStyle w:val="TableText"/>
              <w:keepLines/>
            </w:pPr>
            <w:hyperlink w:anchor="thogopt_section_1014">
              <w:r>
                <w:rPr>
                  <w:sz w:val="16"/>
                  <w:color w:val="1F4E79"/>
                  <w:b/>
                </w:rPr>
                <w:t>4 Independent history controls</w:t>
              </w:r>
            </w:hyperlink>
          </w:p>
        </w:tc>
        <w:tc>
          <w:tcPr>
            <w:tcW w:type="dxa" w:w="4699"/>
            <w:vAlign w:val="center"/>
            <w:tcMar>
              <w:top w:w="25" w:type="dxa"/>
              <w:start w:w="70" w:type="dxa"/>
              <w:bottom w:w="25" w:type="dxa"/>
              <w:end w:w="70" w:type="dxa"/>
            </w:tcMar>
          </w:tcPr>
          <w:p>
            <w:pPr>
              <w:pStyle w:val="TableText"/>
              <w:keepLines/>
              <w:ind w:left="100"/>
            </w:pPr>
            <w:hyperlink w:anchor="thogopt_section_1041">
              <w:r>
                <w:rPr>
                  <w:sz w:val="16"/>
                  <w:color w:val="203040"/>
                </w:rPr>
                <w:t>10.3 Inspect values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15">
              <w:r>
                <w:rPr>
                  <w:sz w:val="16"/>
                  <w:color w:val="203040"/>
                </w:rPr>
                <w:t>4.1 New optimizer settings</w:t>
              </w:r>
            </w:hyperlink>
          </w:p>
        </w:tc>
        <w:tc>
          <w:tcPr>
            <w:tcW w:type="dxa" w:w="4699"/>
            <w:vAlign w:val="center"/>
            <w:tcMar>
              <w:top w:w="25" w:type="dxa"/>
              <w:start w:w="70" w:type="dxa"/>
              <w:bottom w:w="25" w:type="dxa"/>
              <w:end w:w="70" w:type="dxa"/>
            </w:tcMar>
          </w:tcPr>
          <w:p>
            <w:pPr>
              <w:pStyle w:val="TableText"/>
              <w:keepLines/>
              <w:ind w:left="100"/>
            </w:pPr>
            <w:hyperlink w:anchor="thogopt_section_1042">
              <w:r>
                <w:rPr>
                  <w:sz w:val="16"/>
                  <w:color w:val="203040"/>
                </w:rPr>
                <w:t>10.4 Data capture and alignment</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16">
              <w:r>
                <w:rPr>
                  <w:sz w:val="16"/>
                  <w:color w:val="203040"/>
                </w:rPr>
                <w:t>4.2 Why auto is a budget rather than an exactness claim</w:t>
              </w:r>
            </w:hyperlink>
          </w:p>
        </w:tc>
        <w:tc>
          <w:tcPr>
            <w:tcW w:type="dxa" w:w="4699"/>
            <w:vAlign w:val="center"/>
            <w:tcMar>
              <w:top w:w="25" w:type="dxa"/>
              <w:start w:w="70" w:type="dxa"/>
              <w:bottom w:w="25" w:type="dxa"/>
              <w:end w:w="70" w:type="dxa"/>
            </w:tcMar>
          </w:tcPr>
          <w:p>
            <w:pPr>
              <w:pStyle w:val="TableText"/>
              <w:keepLines/>
            </w:pPr>
            <w:hyperlink w:anchor="thogopt_section_1043">
              <w:r>
                <w:rPr>
                  <w:sz w:val="16"/>
                  <w:color w:val="1F4E79"/>
                  <w:b/>
                </w:rPr>
                <w:t>11 Verification and acceptance</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17">
              <w:r>
                <w:rPr>
                  <w:sz w:val="16"/>
                  <w:color w:val="203040"/>
                </w:rPr>
                <w:t>4.3 Reuse of existing controls</w:t>
              </w:r>
            </w:hyperlink>
          </w:p>
        </w:tc>
        <w:tc>
          <w:tcPr>
            <w:tcW w:type="dxa" w:w="4699"/>
            <w:vAlign w:val="center"/>
            <w:tcMar>
              <w:top w:w="25" w:type="dxa"/>
              <w:start w:w="70" w:type="dxa"/>
              <w:bottom w:w="25" w:type="dxa"/>
              <w:end w:w="70" w:type="dxa"/>
            </w:tcMar>
          </w:tcPr>
          <w:p>
            <w:pPr>
              <w:pStyle w:val="TableText"/>
              <w:keepLines/>
              <w:ind w:left="100"/>
            </w:pPr>
            <w:hyperlink w:anchor="thogopt_section_1044">
              <w:r>
                <w:rPr>
                  <w:sz w:val="16"/>
                  <w:color w:val="203040"/>
                </w:rPr>
                <w:t>11.1 Numerical acceptance conventions</w:t>
              </w:r>
            </w:hyperlink>
          </w:p>
        </w:tc>
      </w:tr>
      <w:tr>
        <w:trPr>
          <w:cantSplit/>
        </w:trPr>
        <w:tc>
          <w:tcPr>
            <w:tcW w:type="dxa" w:w="4699"/>
            <w:vAlign w:val="center"/>
            <w:tcMar>
              <w:top w:w="25" w:type="dxa"/>
              <w:start w:w="70" w:type="dxa"/>
              <w:bottom w:w="25" w:type="dxa"/>
              <w:end w:w="70" w:type="dxa"/>
            </w:tcMar>
          </w:tcPr>
          <w:p>
            <w:pPr>
              <w:pStyle w:val="TableText"/>
              <w:keepLines/>
            </w:pPr>
            <w:hyperlink w:anchor="thogopt_section_1018">
              <w:r>
                <w:rPr>
                  <w:sz w:val="16"/>
                  <w:color w:val="1F4E79"/>
                  <w:b/>
                </w:rPr>
                <w:t>5 Mathematical and training-step contract</w:t>
              </w:r>
            </w:hyperlink>
          </w:p>
        </w:tc>
        <w:tc>
          <w:tcPr>
            <w:tcW w:type="dxa" w:w="4699"/>
            <w:vAlign w:val="center"/>
            <w:tcMar>
              <w:top w:w="25" w:type="dxa"/>
              <w:start w:w="70" w:type="dxa"/>
              <w:bottom w:w="25" w:type="dxa"/>
              <w:end w:w="70" w:type="dxa"/>
            </w:tcMar>
          </w:tcPr>
          <w:p>
            <w:pPr>
              <w:pStyle w:val="TableText"/>
              <w:keepLines/>
              <w:ind w:left="100"/>
            </w:pPr>
            <w:hyperlink w:anchor="thogopt_section_1045">
              <w:r>
                <w:rPr>
                  <w:sz w:val="16"/>
                  <w:color w:val="203040"/>
                </w:rPr>
                <w:t>11.2 Required numerical and lifecycle tests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19">
              <w:r>
                <w:rPr>
                  <w:sz w:val="16"/>
                  <w:color w:val="203040"/>
                </w:rPr>
                <w:t>5.1 The gradient that enters the histories</w:t>
              </w:r>
            </w:hyperlink>
          </w:p>
        </w:tc>
        <w:tc>
          <w:tcPr>
            <w:tcW w:type="dxa" w:w="4699"/>
            <w:vAlign w:val="center"/>
            <w:tcMar>
              <w:top w:w="25" w:type="dxa"/>
              <w:start w:w="70" w:type="dxa"/>
              <w:bottom w:w="25" w:type="dxa"/>
              <w:end w:w="70" w:type="dxa"/>
            </w:tcMar>
          </w:tcPr>
          <w:p>
            <w:pPr>
              <w:pStyle w:val="TableText"/>
              <w:keepLines/>
              <w:ind w:left="100"/>
            </w:pPr>
            <w:hyperlink w:anchor="thogopt_section_1046">
              <w:r>
                <w:rPr>
                  <w:sz w:val="16"/>
                  <w:color w:val="203040"/>
                </w:rPr>
                <w:t>11.3 Instrumentation acceptance</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20">
              <w:r>
                <w:rPr>
                  <w:sz w:val="16"/>
                  <w:color w:val="203040"/>
                </w:rPr>
                <w:t>5.2 Compact first- and second-moment updates</w:t>
              </w:r>
            </w:hyperlink>
          </w:p>
        </w:tc>
        <w:tc>
          <w:tcPr>
            <w:tcW w:type="dxa" w:w="4699"/>
            <w:vAlign w:val="center"/>
            <w:tcMar>
              <w:top w:w="25" w:type="dxa"/>
              <w:start w:w="70" w:type="dxa"/>
              <w:bottom w:w="25" w:type="dxa"/>
              <w:end w:w="70" w:type="dxa"/>
            </w:tcMar>
          </w:tcPr>
          <w:p>
            <w:pPr>
              <w:pStyle w:val="TableText"/>
              <w:keepLines/>
            </w:pPr>
            <w:hyperlink w:anchor="thogopt_section_1047">
              <w:r>
                <w:rPr>
                  <w:sz w:val="16"/>
                  <w:color w:val="1F4E79"/>
                  <w:b/>
                </w:rPr>
                <w:t>12 Experimental evaluation and practical viability</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21">
              <w:r>
                <w:rPr>
                  <w:sz w:val="16"/>
                  <w:color w:val="203040"/>
                </w:rPr>
                <w:t>5.3 Scaling, weight decay and update projection</w:t>
              </w:r>
            </w:hyperlink>
          </w:p>
        </w:tc>
        <w:tc>
          <w:tcPr>
            <w:tcW w:type="dxa" w:w="4699"/>
            <w:vAlign w:val="center"/>
            <w:tcMar>
              <w:top w:w="25" w:type="dxa"/>
              <w:start w:w="70" w:type="dxa"/>
              <w:bottom w:w="25" w:type="dxa"/>
              <w:end w:w="70" w:type="dxa"/>
            </w:tcMar>
          </w:tcPr>
          <w:p>
            <w:pPr>
              <w:pStyle w:val="TableText"/>
              <w:keepLines/>
              <w:ind w:left="100"/>
            </w:pPr>
            <w:hyperlink w:anchor="thogopt_section_1048">
              <w:r>
                <w:rPr>
                  <w:sz w:val="16"/>
                  <w:color w:val="203040"/>
                </w:rPr>
                <w:t>12.1 Baselines and controlled comparisons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22">
              <w:r>
                <w:rPr>
                  <w:sz w:val="16"/>
                  <w:color w:val="203040"/>
                </w:rPr>
                <w:t>5.4 Step counters, clipping and skipped updates</w:t>
              </w:r>
            </w:hyperlink>
          </w:p>
        </w:tc>
        <w:tc>
          <w:tcPr>
            <w:tcW w:type="dxa" w:w="4699"/>
            <w:vAlign w:val="center"/>
            <w:tcMar>
              <w:top w:w="25" w:type="dxa"/>
              <w:start w:w="70" w:type="dxa"/>
              <w:bottom w:w="25" w:type="dxa"/>
              <w:end w:w="70" w:type="dxa"/>
            </w:tcMar>
          </w:tcPr>
          <w:p>
            <w:pPr>
              <w:pStyle w:val="TableText"/>
              <w:keepLines/>
              <w:ind w:left="100"/>
            </w:pPr>
            <w:hyperlink w:anchor="thogopt_section_1049">
              <w:r>
                <w:rPr>
                  <w:sz w:val="16"/>
                  <w:color w:val="203040"/>
                </w:rPr>
                <w:t>12.2 Measurements and interpretation</w:t>
              </w:r>
            </w:hyperlink>
          </w:p>
        </w:tc>
      </w:tr>
      <w:tr>
        <w:trPr>
          <w:cantSplit/>
        </w:trPr>
        <w:tc>
          <w:tcPr>
            <w:tcW w:type="dxa" w:w="4699"/>
            <w:vAlign w:val="center"/>
            <w:tcMar>
              <w:top w:w="25" w:type="dxa"/>
              <w:start w:w="70" w:type="dxa"/>
              <w:bottom w:w="25" w:type="dxa"/>
              <w:end w:w="70" w:type="dxa"/>
            </w:tcMar>
          </w:tcPr>
          <w:p>
            <w:pPr>
              <w:pStyle w:val="TableText"/>
              <w:keepLines/>
            </w:pPr>
            <w:hyperlink w:anchor="thogopt_section_1023">
              <w:r>
                <w:rPr>
                  <w:sz w:val="16"/>
                  <w:color w:val="1F4E79"/>
                  <w:b/>
                </w:rPr>
                <w:t>6 Numerical representation and stability</w:t>
              </w:r>
            </w:hyperlink>
          </w:p>
        </w:tc>
        <w:tc>
          <w:tcPr>
            <w:tcW w:type="dxa" w:w="4699"/>
            <w:vAlign w:val="center"/>
            <w:tcMar>
              <w:top w:w="25" w:type="dxa"/>
              <w:start w:w="70" w:type="dxa"/>
              <w:bottom w:w="25" w:type="dxa"/>
              <w:end w:w="70" w:type="dxa"/>
            </w:tcMar>
          </w:tcPr>
          <w:p>
            <w:pPr>
              <w:pStyle w:val="TableText"/>
              <w:keepLines/>
            </w:pPr>
            <w:hyperlink w:anchor="thogopt_section_1050">
              <w:r>
                <w:rPr>
                  <w:sz w:val="16"/>
                  <w:color w:val="1F4E79"/>
                  <w:b/>
                </w:rPr>
                <w:t>13 Implementation sequence and completion criteria</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24">
              <w:r>
                <w:rPr>
                  <w:sz w:val="16"/>
                  <w:color w:val="203040"/>
                </w:rPr>
                <w:t>6.1 Basis construction and fitting</w:t>
              </w:r>
            </w:hyperlink>
          </w:p>
        </w:tc>
        <w:tc>
          <w:tcPr>
            <w:tcW w:type="dxa" w:w="4699"/>
            <w:vAlign w:val="center"/>
            <w:tcMar>
              <w:top w:w="25" w:type="dxa"/>
              <w:start w:w="70" w:type="dxa"/>
              <w:bottom w:w="25" w:type="dxa"/>
              <w:end w:w="70" w:type="dxa"/>
            </w:tcMar>
          </w:tcPr>
          <w:p>
            <w:pPr>
              <w:pStyle w:val="TableText"/>
              <w:keepLines/>
              <w:ind w:left="100"/>
            </w:pPr>
            <w:hyperlink w:anchor="thogopt_section_1051">
              <w:r>
                <w:rPr>
                  <w:sz w:val="16"/>
                  <w:color w:val="203040"/>
                </w:rPr>
                <w:t>13.1 Reference implementation and production integration</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25">
              <w:r>
                <w:rPr>
                  <w:sz w:val="16"/>
                  <w:color w:val="203040"/>
                </w:rPr>
                <w:t>6.2 Non-negative second moments</w:t>
              </w:r>
            </w:hyperlink>
          </w:p>
        </w:tc>
        <w:tc>
          <w:tcPr>
            <w:tcW w:type="dxa" w:w="4699"/>
            <w:vAlign w:val="center"/>
            <w:tcMar>
              <w:top w:w="25" w:type="dxa"/>
              <w:start w:w="70" w:type="dxa"/>
              <w:bottom w:w="25" w:type="dxa"/>
              <w:end w:w="70" w:type="dxa"/>
            </w:tcMar>
          </w:tcPr>
          <w:p>
            <w:pPr>
              <w:pStyle w:val="TableText"/>
              <w:keepLines/>
              <w:ind w:left="100"/>
            </w:pPr>
            <w:hyperlink w:anchor="thogopt_section_1052">
              <w:r>
                <w:rPr>
                  <w:sz w:val="16"/>
                  <w:color w:val="203040"/>
                </w:rPr>
                <w:t>13.2 Deliverables</w:t>
              </w:r>
            </w:hyperlink>
          </w:p>
        </w:tc>
      </w:tr>
      <w:tr>
        <w:trPr>
          <w:cantSplit/>
        </w:trPr>
        <w:tc>
          <w:tcPr>
            <w:tcW w:type="dxa" w:w="4699"/>
            <w:vAlign w:val="center"/>
            <w:tcMar>
              <w:top w:w="25" w:type="dxa"/>
              <w:start w:w="70" w:type="dxa"/>
              <w:bottom w:w="25" w:type="dxa"/>
              <w:end w:w="70" w:type="dxa"/>
            </w:tcMar>
          </w:tcPr>
          <w:p>
            <w:pPr>
              <w:pStyle w:val="TableText"/>
              <w:keepLines/>
              <w:ind w:left="100"/>
            </w:pPr>
            <w:hyperlink w:anchor="thogopt_section_1026">
              <w:r>
                <w:rPr>
                  <w:sz w:val="16"/>
                  <w:color w:val="203040"/>
                </w:rPr>
                <w:t>6.3 Precision and error reporting</w:t>
              </w:r>
            </w:hyperlink>
          </w:p>
        </w:tc>
        <w:tc>
          <w:tcPr>
            <w:tcW w:type="dxa" w:w="4699"/>
            <w:vAlign w:val="center"/>
            <w:tcMar>
              <w:top w:w="25" w:type="dxa"/>
              <w:start w:w="70" w:type="dxa"/>
              <w:bottom w:w="25" w:type="dxa"/>
              <w:end w:w="70" w:type="dxa"/>
            </w:tcMar>
          </w:tcPr>
          <w:p>
            <w:pPr>
              <w:pStyle w:val="TableText"/>
              <w:keepLines/>
            </w:pPr>
            <w:hyperlink w:anchor="thogopt_section_1053">
              <w:r>
                <w:rPr>
                  <w:sz w:val="16"/>
                  <w:color w:val="1F4E79"/>
                  <w:b/>
                </w:rPr>
                <w:t>Appendix A - Required state and capture metadata</w:t>
              </w:r>
            </w:hyperlink>
          </w:p>
        </w:tc>
      </w:tr>
      <w:tr>
        <w:trPr>
          <w:cantSplit/>
        </w:trPr>
        <w:tc>
          <w:tcPr>
            <w:tcW w:type="dxa" w:w="4699"/>
            <w:vAlign w:val="center"/>
            <w:tcMar>
              <w:top w:w="25" w:type="dxa"/>
              <w:start w:w="70" w:type="dxa"/>
              <w:bottom w:w="25" w:type="dxa"/>
              <w:end w:w="70" w:type="dxa"/>
            </w:tcMar>
          </w:tcPr>
          <w:p>
            <w:pPr>
              <w:pStyle w:val="TableText"/>
              <w:keepLines/>
            </w:pPr>
            <w:hyperlink w:anchor="thogopt_section_1027">
              <w:r>
                <w:rPr>
                  <w:sz w:val="16"/>
                  <w:color w:val="1F4E79"/>
                  <w:b/>
                </w:rPr>
                <w:t>7 Memory, execution cost and integration</w:t>
              </w:r>
            </w:hyperlink>
          </w:p>
        </w:tc>
        <w:tc>
          <w:tcPr>
            <w:tcW w:type="dxa" w:w="4699"/>
            <w:vAlign w:val="center"/>
            <w:tcMar>
              <w:top w:w="25" w:type="dxa"/>
              <w:start w:w="70" w:type="dxa"/>
              <w:bottom w:w="25" w:type="dxa"/>
              <w:end w:w="70" w:type="dxa"/>
            </w:tcMar>
          </w:tcPr>
          <w:p>
            <w:pPr>
              <w:pStyle w:val="TableText"/>
              <w:keepLines/>
            </w:pPr>
            <w:hyperlink w:anchor="thogopt_section_1054">
              <w:r>
                <w:rPr>
                  <w:sz w:val="16"/>
                  <w:color w:val="1F4E79"/>
                  <w:b/>
                </w:rPr>
                <w:t>Appendix B - Technical references</w:t>
              </w:r>
            </w:hyperlink>
          </w:p>
        </w:tc>
      </w:tr>
    </w:tbl>
    <w:p>
      <w:r>
        <w:br w:type="page"/>
      </w:r>
    </w:p>
    <w:p>
      <w:pPr>
        <w:pStyle w:val="Heading1"/>
      </w:pPr>
      <w:bookmarkStart w:id="1001" w:name="thogopt_section_1001"/>
      <w:r>
        <w:t>1 Problem statement and intended outcome</w:t>
      </w:r>
      <w:bookmarkEnd w:id="1001"/>
    </w:p>
    <w:p>
      <w:pPr>
        <w:pStyle w:val="Heading2"/>
      </w:pPr>
      <w:bookmarkStart w:id="1002" w:name="thogopt_section_1002"/>
      <w:r>
        <w:t>1.1 Why SGD parity is necessary but insufficient</w:t>
      </w:r>
      <w:bookmarkEnd w:id="1002"/>
    </w:p>
    <w:p>
      <w:pPr>
        <w:widowControl/>
      </w:pPr>
      <w:r>
        <w:t>THOG keeps a compact set of learned coefficients and materialises layer weights when they are needed. This makes depth substantially cheaper in persistent parameter storage. For the architecture to be practically useful, that saving must coexist with an optimizer that trains the resulting model effectively.</w:t>
      </w:r>
    </w:p>
    <w:p>
      <w:pPr>
        <w:widowControl/>
      </w:pPr>
      <w:r>
        <w:t>The existing matched SGD comparisons are encouraging: materialised THOG weights and their DENSE counterparts have shown near equality over training. This is evidence that the parameter mapping and gradient path can preserve the intended optimisation trajectory under the tested conditions. It is not evidence that coefficient-wise AdamW is equivalent to layer-wise AdamW.</w:t>
      </w:r>
    </w:p>
    <w:p>
      <w:pPr>
        <w:widowControl/>
      </w:pPr>
      <w:r>
        <w:t>SGD parity alone does not meet the project objective. THOG needs access to AdamW-equivalent optimisation benefits while retaining compact native state. The purpose of thogopt is to close that gap, rather than to make SGD parity the endpoint of the investigation. Equivalent optimisation means exact agreement where the representation permits it and competitive training effectiveness in the intended compressed regime.</w:t>
      </w:r>
    </w:p>
    <w:p>
      <w:pPr>
        <w:pStyle w:val="Requirement"/>
        <w:keepLines/>
        <w:widowControl/>
      </w:pPr>
      <w:r>
        <w:rPr>
          <w:b/>
          <w:color w:val="1F4E79"/>
        </w:rPr>
        <w:t>THO-PUR-001</w:t>
      </w:r>
      <w:r>
        <w:rPr>
          <w:color w:val="000000"/>
        </w:rPr>
        <w:t xml:space="preserve">  THOG2 shall provide an optimizer named thogopt.</w:t>
      </w:r>
    </w:p>
    <w:p>
      <w:pPr>
        <w:pStyle w:val="Requirement"/>
        <w:keepLines/>
        <w:widowControl/>
      </w:pPr>
      <w:r>
        <w:rPr>
          <w:b/>
          <w:color w:val="1F4E79"/>
        </w:rPr>
        <w:t>THO-PUR-002</w:t>
      </w:r>
      <w:r>
        <w:rPr>
          <w:color w:val="000000"/>
        </w:rPr>
        <w:t xml:space="preserve">  thogopt shall retain the learned weight parameters in THOG's native compact representation.</w:t>
      </w:r>
    </w:p>
    <w:p>
      <w:pPr>
        <w:pStyle w:val="Requirement"/>
        <w:keepLines/>
        <w:widowControl/>
      </w:pPr>
      <w:r>
        <w:rPr>
          <w:b/>
          <w:color w:val="1F4E79"/>
        </w:rPr>
        <w:t>THO-PUR-003</w:t>
      </w:r>
      <w:r>
        <w:rPr>
          <w:color w:val="000000"/>
        </w:rPr>
        <w:t xml:space="preserve">  The primary production use case for thogopt shall be P &lt; L.</w:t>
      </w:r>
    </w:p>
    <w:p>
      <w:pPr>
        <w:pStyle w:val="Requirement"/>
        <w:keepLines/>
        <w:widowControl/>
      </w:pPr>
      <w:r>
        <w:rPr>
          <w:b/>
          <w:color w:val="1F4E79"/>
        </w:rPr>
        <w:t>THO-PUR-004</w:t>
      </w:r>
      <w:r>
        <w:rPr>
          <w:color w:val="000000"/>
        </w:rPr>
        <w:t xml:space="preserve">  The P = L configuration shall serve as an optimizer-equivalence test case.</w:t>
      </w:r>
    </w:p>
    <w:p>
      <w:pPr>
        <w:pStyle w:val="Heading2"/>
      </w:pPr>
      <w:bookmarkStart w:id="1003" w:name="thogopt_section_1003"/>
      <w:r>
        <w:t>1.2 Why coefficient-wise AdamW changes the problem</w:t>
      </w:r>
      <w:bookmarkEnd w:id="1003"/>
    </w:p>
    <w:p>
      <w:pPr>
        <w:widowControl/>
      </w:pPr>
      <w:r>
        <w:t>A coefficient controls a pattern of weights across layers. Its gradient combines contributions from those layers. Momentum is a linear average, so averaging and a fixed linear transformation can commute. Adam's element-wise squaring, square root and division do not commute with mixing coordinates. Normalising a combination of layer gradients therefore differs from normalising those gradients individually before combining their updates.</w:t>
      </w:r>
    </w:p>
    <w:p>
      <w:pPr>
        <w:widowControl/>
      </w:pPr>
      <w:r>
        <w:t>With a fixed orthonormal change of coordinates, momentum SGD preserves the corresponding trajectory; Adam generally does not. This explains a mechanism for the observed divergence without proving that every divergent AdamW run has worse loss. Basis sensitivity has also been observed in transformer experiments [3].</w:t>
      </w:r>
    </w:p>
    <w:p>
      <w:pPr>
        <w:widowControl/>
      </w:pPr>
      <w:r>
        <w:t>The missing information cannot generally be recovered from the existing per-coefficient squared-gradient averages. Those averages omit historical cross-terms. thogopt must obtain the raw layer gradients while they are available, before the coefficient reduction discards information.</w:t>
      </w:r>
    </w:p>
    <w:p>
      <w:pPr>
        <w:pStyle w:val="Requirement"/>
        <w:keepLines/>
        <w:widowControl/>
      </w:pPr>
      <w:r>
        <w:rPr>
          <w:b/>
          <w:color w:val="1F4E79"/>
        </w:rPr>
        <w:t>THO-PUR-005</w:t>
      </w:r>
      <w:r>
        <w:rPr>
          <w:color w:val="000000"/>
        </w:rPr>
        <w:t xml:space="preserve">  thogopt shall construct its histories from gradients with respect to materialised layer parameters.</w:t>
      </w:r>
    </w:p>
    <w:p>
      <w:pPr>
        <w:pStyle w:val="Requirement"/>
        <w:keepLines/>
        <w:widowControl/>
      </w:pPr>
      <w:r>
        <w:rPr>
          <w:b/>
          <w:color w:val="1F4E79"/>
        </w:rPr>
        <w:t>THO-PUR-006</w:t>
      </w:r>
      <w:r>
        <w:rPr>
          <w:color w:val="000000"/>
        </w:rPr>
        <w:t xml:space="preserve">  thogopt shall apply adaptive scaling in materialised layer coordinates.</w:t>
      </w:r>
    </w:p>
    <w:p>
      <w:pPr>
        <w:pStyle w:val="Requirement"/>
        <w:keepLines/>
        <w:widowControl/>
      </w:pPr>
      <w:r>
        <w:rPr>
          <w:b/>
          <w:color w:val="1F4E79"/>
        </w:rPr>
        <w:t>THO-PUR-007</w:t>
      </w:r>
      <w:r>
        <w:rPr>
          <w:color w:val="000000"/>
        </w:rPr>
        <w:t xml:space="preserve">  thogopt shall project the resulting layer-space update into the permitted weight-coefficient space.</w:t>
      </w:r>
    </w:p>
    <w:p>
      <w:pPr>
        <w:pStyle w:val="Heading2"/>
      </w:pPr>
      <w:bookmarkStart w:id="1004" w:name="thogopt_section_1004"/>
      <w:r>
        <w:t>1.3 How the proposed enhancement addresses the problem</w:t>
      </w:r>
      <w:bookmarkEnd w:id="1004"/>
    </w:p>
    <w:p>
      <w:pPr>
        <w:widowControl/>
      </w:pPr>
      <w:r>
        <w:t>For each coupling coordinate, thogopt keeps two compact curves across depth: an exponentially averaged gradient and an exponentially averaged squared gradient. It reconstructs their values at the actual layers, performs the AdamW calculation there, and fits the resulting update back into the model's coefficient representation. No auxiliary learned model is introduced; history compression is deterministic numerical fitting.</w:t>
      </w:r>
    </w:p>
    <w:p>
      <w:pPr>
        <w:widowControl/>
      </w:pPr>
      <w:r>
        <w:t>The weight coefficients and the two history representations have separate purposes. A low-order weight curve does not imply that its raw gradients or their histories have the same order. History sizes are therefore independently configurable. The automatic values P and 2P - 1 are initial budgets for this raw-gradient design, not assertions that the histories are exact.</w:t>
      </w:r>
    </w:p>
    <w:p>
      <w:pPr>
        <w:widowControl/>
      </w:pPr>
      <w:r>
        <w:t>Instra will expose the reconstructed histories, the scaling actually used, and their differences from AdamW references. A reference driven by the same gradients isolates history approximation. Separate DENSE and THOG runs provide the broader comparison of weights, loss, throughput and memory.</w:t>
      </w:r>
    </w:p>
    <w:p>
      <w:pPr>
        <w:pStyle w:val="Requirement"/>
        <w:keepLines/>
        <w:widowControl/>
      </w:pPr>
      <w:r>
        <w:rPr>
          <w:b/>
          <w:color w:val="1F4E79"/>
        </w:rPr>
        <w:t>THO-PUR-008</w:t>
      </w:r>
      <w:r>
        <w:rPr>
          <w:color w:val="000000"/>
        </w:rPr>
        <w:t xml:space="preserve">  thogopt shall expose independent momentum-history and scaling-history coefficient counts.</w:t>
      </w:r>
    </w:p>
    <w:p>
      <w:pPr>
        <w:pStyle w:val="Requirement"/>
        <w:keepLines/>
        <w:widowControl/>
      </w:pPr>
      <w:r>
        <w:rPr>
          <w:b/>
          <w:color w:val="1F4E79"/>
        </w:rPr>
        <w:t>THO-PUR-009</w:t>
      </w:r>
      <w:r>
        <w:rPr>
          <w:color w:val="000000"/>
        </w:rPr>
        <w:t xml:space="preserve">  Instra shall support direct comparison of reconstructed thogopt histories with recorded AdamW reference values.</w:t>
      </w:r>
    </w:p>
    <w:p>
      <w:pPr>
        <w:pStyle w:val="Heading1"/>
      </w:pPr>
      <w:bookmarkStart w:id="1005" w:name="thogopt_section_1005"/>
      <w:r>
        <w:t>2 AdamW in working terms</w:t>
      </w:r>
      <w:bookmarkEnd w:id="1005"/>
    </w:p>
    <w:p>
      <w:pPr>
        <w:pStyle w:val="Heading2"/>
      </w:pPr>
      <w:bookmarkStart w:id="1006" w:name="thogopt_section_1006"/>
      <w:r>
        <w:t>2.1 The gradient and momentum</w:t>
      </w:r>
      <w:bookmarkEnd w:id="1006"/>
    </w:p>
    <w:p>
      <w:pPr>
        <w:widowControl/>
      </w:pPr>
      <w:r>
        <w:t>For each trainable scalar, backpropagation produces a partial derivative of the current loss. Together, those derivatives form the gradient vector. Ordinary SGD multiplies that vector by a learning rate and moves in the opposite direction. Adam retains a decaying average of each gradient component, so a succession of consistent gradients reinforces movement while alternating signs partly cancel [1, 4].</w:t>
      </w:r>
    </w:p>
    <w:p>
      <w:pPr>
        <w:pStyle w:val="Equation"/>
        <w:keepLines/>
        <w:widowControl/>
      </w:pPr>
      <w:r>
        <w:t>m_t = beta_1 * m_(t-1) + (1 - beta_1) * g_t</w:t>
      </w:r>
    </w:p>
    <w:p>
      <w:pPr>
        <w:widowControl/>
      </w:pPr>
      <w:r>
        <w:t>Here m is the first-moment history, g is the current optimizer-step gradient, and beta_1 controls forgetting. The average is updated once per successful optimizer step, not once per gradient-accumulation microbatch.</w:t>
      </w:r>
    </w:p>
    <w:p>
      <w:pPr>
        <w:pStyle w:val="Heading2"/>
      </w:pPr>
      <w:bookmarkStart w:id="1007" w:name="thogopt_section_1007"/>
      <w:r>
        <w:t>2.2 Adaptive scaling and the second history</w:t>
      </w:r>
      <w:bookmarkEnd w:id="1007"/>
    </w:p>
    <w:p>
      <w:pPr>
        <w:widowControl/>
      </w:pPr>
      <w:r>
        <w:t>Adam also averages the square of each gradient component. It divides the momentum by the square root of that average, with a small stabilising term added. Each component is thereby measured relative to its own recent gradient scale. This is a coordinate-wise operation; it does not infer correlations between separate parameters [1, 4].</w:t>
      </w:r>
    </w:p>
    <w:p>
      <w:pPr>
        <w:pStyle w:val="Equation"/>
        <w:keepLines/>
        <w:widowControl/>
      </w:pPr>
      <w:r>
        <w:t>v_t = beta_2 * v_(t-1) + (1 - beta_2) * g_t^2</w:t>
      </w:r>
    </w:p>
    <w:p>
      <w:pPr>
        <w:widowControl/>
      </w:pPr>
      <w:r>
        <w:t>The second moment v is an average of squared gradients, not a centred variance, not the square of momentum, and not a stored RMS value. The square root is taken when the update is evaluated. beta_2 independently controls the memory of this history.</w:t>
      </w:r>
    </w:p>
    <w:p>
      <w:pPr>
        <w:pStyle w:val="Heading2"/>
      </w:pPr>
      <w:bookmarkStart w:id="1008" w:name="thogopt_section_1008"/>
      <w:r>
        <w:t>2.3 Bias correction, epsilon and the W</w:t>
      </w:r>
      <w:bookmarkEnd w:id="1008"/>
    </w:p>
    <w:p>
      <w:pPr>
        <w:widowControl/>
      </w:pPr>
      <w:r>
        <w:t>Both histories start at zero. Bias correction removes the resulting initial attenuation. Epsilon is added to the RMS denominator to stabilise division. AdamW additionally applies weight decay separately from the gradient-based update [4].</w:t>
      </w:r>
    </w:p>
    <w:p>
      <w:pPr>
        <w:pStyle w:val="Equation"/>
        <w:keepNext/>
        <w:keepLines/>
        <w:widowControl/>
      </w:pPr>
      <w:r>
        <w:t>m_hat_t = m_t / (1 - beta_1^t)</w:t>
      </w:r>
    </w:p>
    <w:p>
      <w:pPr>
        <w:pStyle w:val="Equation"/>
        <w:keepNext/>
        <w:keepLines/>
        <w:widowControl/>
      </w:pPr>
      <w:r>
        <w:t>v_hat_t = v_t / (1 - beta_2^t)</w:t>
      </w:r>
    </w:p>
    <w:p>
      <w:pPr>
        <w:pStyle w:val="Equation"/>
        <w:keepNext/>
        <w:keepLines/>
        <w:widowControl/>
      </w:pPr>
      <w:r>
        <w:t>theta_t = (1 - eta_t * lambda) * theta_(t-1)</w:t>
      </w:r>
    </w:p>
    <w:p>
      <w:pPr>
        <w:pStyle w:val="Equation"/>
        <w:keepLines/>
        <w:widowControl/>
      </w:pPr>
      <w:r>
        <w:t xml:space="preserve">          - eta_t * m_hat_t / (sqrt(v_hat_t) + epsilon)</w:t>
      </w:r>
    </w:p>
    <w:p>
      <w:pPr>
        <w:widowControl/>
      </w:pPr>
      <w:r>
        <w:t>The W denotes decoupled weight decay. An L2 penalty and direct weight shrinkage coincide under ordinary SGD with matching conventions, but not under Adam. Putting the penalty into Adam's gradient also puts it into the moment histories and adaptive scaling. AdamW instead shrinks eligible parameters directly, preserving the intended separation [2].</w:t>
      </w:r>
    </w:p>
    <w:p>
      <w:pPr>
        <w:pStyle w:val="Heading2"/>
      </w:pPr>
      <w:bookmarkStart w:id="1009" w:name="thogopt_section_1009"/>
      <w:r>
        <w:t>2.4 What thogopt retains from AdamW</w:t>
      </w:r>
      <w:bookmarkEnd w:id="1009"/>
    </w:p>
    <w:p>
      <w:pPr>
        <w:pStyle w:val="Requirement"/>
        <w:keepLines/>
        <w:widowControl/>
      </w:pPr>
      <w:r>
        <w:rPr>
          <w:b/>
          <w:color w:val="1F4E79"/>
        </w:rPr>
        <w:t>THO-ADAM-001</w:t>
      </w:r>
      <w:r>
        <w:rPr>
          <w:color w:val="000000"/>
        </w:rPr>
        <w:t xml:space="preserve">  thogopt shall retain the first-moment exponential average controlled by beta_1.</w:t>
      </w:r>
    </w:p>
    <w:p>
      <w:pPr>
        <w:pStyle w:val="Requirement"/>
        <w:keepLines/>
        <w:widowControl/>
      </w:pPr>
      <w:r>
        <w:rPr>
          <w:b/>
          <w:color w:val="1F4E79"/>
        </w:rPr>
        <w:t>THO-ADAM-002</w:t>
      </w:r>
      <w:r>
        <w:rPr>
          <w:color w:val="000000"/>
        </w:rPr>
        <w:t xml:space="preserve">  thogopt shall retain the squared-gradient exponential average controlled by beta_2.</w:t>
      </w:r>
    </w:p>
    <w:p>
      <w:pPr>
        <w:pStyle w:val="Requirement"/>
        <w:keepLines/>
        <w:widowControl/>
      </w:pPr>
      <w:r>
        <w:rPr>
          <w:b/>
          <w:color w:val="1F4E79"/>
        </w:rPr>
        <w:t>THO-ADAM-003</w:t>
      </w:r>
      <w:r>
        <w:rPr>
          <w:color w:val="000000"/>
        </w:rPr>
        <w:t xml:space="preserve">  thogopt shall apply startup bias correction to both moment estimates.</w:t>
      </w:r>
    </w:p>
    <w:p>
      <w:pPr>
        <w:pStyle w:val="Requirement"/>
        <w:keepLines/>
        <w:widowControl/>
      </w:pPr>
      <w:r>
        <w:rPr>
          <w:b/>
          <w:color w:val="1F4E79"/>
        </w:rPr>
        <w:t>THO-ADAM-004</w:t>
      </w:r>
      <w:r>
        <w:rPr>
          <w:color w:val="000000"/>
        </w:rPr>
        <w:t xml:space="preserve">  thogopt shall add epsilon after taking the square root of the corrected second moment.</w:t>
      </w:r>
    </w:p>
    <w:p>
      <w:pPr>
        <w:pStyle w:val="Requirement"/>
        <w:keepLines/>
        <w:widowControl/>
      </w:pPr>
      <w:r>
        <w:rPr>
          <w:b/>
          <w:color w:val="1F4E79"/>
        </w:rPr>
        <w:t>THO-ADAM-005</w:t>
      </w:r>
      <w:r>
        <w:rPr>
          <w:color w:val="000000"/>
        </w:rPr>
        <w:t xml:space="preserve">  thogopt shall apply decoupled weight decay to the existing eligible parameter groups.</w:t>
      </w:r>
    </w:p>
    <w:p>
      <w:pPr>
        <w:pStyle w:val="Requirement"/>
        <w:keepLines/>
        <w:widowControl/>
      </w:pPr>
      <w:r>
        <w:rPr>
          <w:b/>
          <w:color w:val="1F4E79"/>
        </w:rPr>
        <w:t>THO-ADAM-006</w:t>
      </w:r>
      <w:r>
        <w:rPr>
          <w:color w:val="000000"/>
        </w:rPr>
        <w:t xml:space="preserve">  thogopt shall use the learning rate supplied by the existing training schedule.</w:t>
      </w:r>
    </w:p>
    <w:p>
      <w:pPr>
        <w:pStyle w:val="Requirement"/>
        <w:keepLines/>
        <w:widowControl/>
      </w:pPr>
      <w:r>
        <w:rPr>
          <w:b/>
          <w:color w:val="1F4E79"/>
        </w:rPr>
        <w:t>THO-ADAM-007</w:t>
      </w:r>
      <w:r>
        <w:rPr>
          <w:color w:val="000000"/>
        </w:rPr>
        <w:t xml:space="preserve">  thogopt shall leave gradient clipping under the control of the existing training configuration.</w:t>
      </w:r>
    </w:p>
    <w:p>
      <w:pPr>
        <w:pStyle w:val="Requirement"/>
        <w:keepLines/>
        <w:widowControl/>
      </w:pPr>
      <w:r>
        <w:rPr>
          <w:b/>
          <w:color w:val="1F4E79"/>
        </w:rPr>
        <w:t>THO-ADAM-008</w:t>
      </w:r>
      <w:r>
        <w:rPr>
          <w:color w:val="000000"/>
        </w:rPr>
        <w:t xml:space="preserve">  The initial implementation shall reject AMSGrad for thogopt.</w:t>
      </w:r>
    </w:p>
    <w:p>
      <w:pPr>
        <w:widowControl/>
      </w:pPr>
      <w:r>
        <w:t>AMSGrad is a separate optional variant. Its pointwise running maximum does not in general remain a fixed-degree polynomial. Excluding it keeps the initial history contract focused on standard AdamW. Warmup, learning-rate scheduling and mixed-precision loss scaling remain surrounding training mechanisms rather than new thogopt inventions.</w:t>
      </w:r>
    </w:p>
    <w:p>
      <w:pPr>
        <w:pStyle w:val="Heading1"/>
      </w:pPr>
      <w:bookmarkStart w:id="1010" w:name="thogopt_section_1010"/>
      <w:r>
        <w:t>3 Scope, terminology and equivalence</w:t>
      </w:r>
      <w:bookmarkEnd w:id="1010"/>
    </w:p>
    <w:p>
      <w:pPr>
        <w:pStyle w:val="Heading2"/>
      </w:pPr>
      <w:bookmarkStart w:id="1011" w:name="thogopt_section_1011"/>
      <w:r>
        <w:t>3.1 Initial supported scope</w:t>
      </w:r>
      <w:bookmarkEnd w:id="1011"/>
    </w:p>
    <w:p>
      <w:pPr>
        <w:widowControl/>
      </w:pPr>
      <w:r>
        <w:t>The first implementation targets the fixed-depth Chebyshev path. It covers each parameter family that the active model already materialises through that path, including compressed biases or normalisation parameters when those are enabled. Parameters that remain ordinary learned tensors continue to use standard AdamW within the same logical training step.</w:t>
      </w:r>
    </w:p>
    <w:p>
      <w:pPr>
        <w:pStyle w:val="Requirement"/>
        <w:keepLines/>
        <w:widowControl/>
      </w:pPr>
      <w:r>
        <w:rPr>
          <w:b/>
          <w:color w:val="1F4E79"/>
        </w:rPr>
        <w:t>THO-SCOPE-001</w:t>
      </w:r>
      <w:r>
        <w:rPr>
          <w:color w:val="000000"/>
        </w:rPr>
        <w:t xml:space="preserve">  The initial implementation shall support a fixed Chebyshev basis with full column rank and 1 &lt;= P &lt;= L.</w:t>
      </w:r>
    </w:p>
    <w:p>
      <w:pPr>
        <w:pStyle w:val="Requirement"/>
        <w:keepLines/>
        <w:widowControl/>
      </w:pPr>
      <w:r>
        <w:rPr>
          <w:b/>
          <w:color w:val="1F4E79"/>
        </w:rPr>
        <w:t>THO-SCOPE-002</w:t>
      </w:r>
      <w:r>
        <w:rPr>
          <w:color w:val="000000"/>
        </w:rPr>
        <w:t xml:space="preserve">  Every active parameter family supported by the selected Chebyshev materialiser shall have a declared optimizer ownership path.</w:t>
      </w:r>
    </w:p>
    <w:p>
      <w:pPr>
        <w:pStyle w:val="Requirement"/>
        <w:keepLines/>
        <w:widowControl/>
      </w:pPr>
      <w:r>
        <w:rPr>
          <w:b/>
          <w:color w:val="1F4E79"/>
        </w:rPr>
        <w:t>THO-SCOPE-003</w:t>
      </w:r>
      <w:r>
        <w:rPr>
          <w:color w:val="000000"/>
        </w:rPr>
        <w:t xml:space="preserve">  Non-compressed trainable parameters shall retain standard AdamW behaviour.</w:t>
      </w:r>
    </w:p>
    <w:p>
      <w:pPr>
        <w:pStyle w:val="Requirement"/>
        <w:keepLines/>
        <w:widowControl/>
      </w:pPr>
      <w:r>
        <w:rPr>
          <w:b/>
          <w:color w:val="1F4E79"/>
        </w:rPr>
        <w:t>THO-SCOPE-004</w:t>
      </w:r>
      <w:r>
        <w:rPr>
          <w:color w:val="000000"/>
        </w:rPr>
        <w:t xml:space="preserve">  A parameter shall receive at most one optimizer update per successful training step.</w:t>
      </w:r>
    </w:p>
    <w:p>
      <w:pPr>
        <w:pStyle w:val="Requirement"/>
        <w:keepLines/>
        <w:widowControl/>
      </w:pPr>
      <w:r>
        <w:rPr>
          <w:b/>
          <w:color w:val="1F4E79"/>
        </w:rPr>
        <w:t>THO-SCOPE-005</w:t>
      </w:r>
      <w:r>
        <w:rPr>
          <w:color w:val="000000"/>
        </w:rPr>
        <w:t xml:space="preserve">  An unsupported materialiser shall cause a descriptive startup error when thogopt is selected.</w:t>
      </w:r>
    </w:p>
    <w:p>
      <w:pPr>
        <w:pStyle w:val="Requirement"/>
        <w:keepLines/>
        <w:widowControl/>
      </w:pPr>
      <w:r>
        <w:rPr>
          <w:b/>
          <w:color w:val="1F4E79"/>
        </w:rPr>
        <w:t>THO-SCOPE-006</w:t>
      </w:r>
      <w:r>
        <w:rPr>
          <w:color w:val="000000"/>
        </w:rPr>
        <w:t xml:space="preserve">  An enabled mechanism that changes depth coordinates or the weight basis during training shall cause a descriptive startup error in the initial thogopt implementation.</w:t>
      </w:r>
    </w:p>
    <w:p>
      <w:pPr>
        <w:pStyle w:val="Requirement"/>
        <w:keepLines/>
        <w:widowControl/>
      </w:pPr>
      <w:r>
        <w:rPr>
          <w:b/>
          <w:color w:val="1F4E79"/>
        </w:rPr>
        <w:t>THO-SCOPE-007</w:t>
      </w:r>
      <w:r>
        <w:rPr>
          <w:color w:val="000000"/>
        </w:rPr>
        <w:t xml:space="preserve">  Selecting an existing optimizer shall preserve its existing behaviour.</w:t>
      </w:r>
    </w:p>
    <w:p>
      <w:pPr>
        <w:pStyle w:val="Heading2"/>
      </w:pPr>
      <w:bookmarkStart w:id="1012" w:name="thogopt_section_1012"/>
      <w:r>
        <w:t>3.2 Symbols and data organisation</w:t>
      </w:r>
      <w:bookmarkEnd w:id="1012"/>
    </w:p>
    <w:tbl>
      <w:tblPr>
        <w:jc w:val="left"/>
        <w:tblLook w:firstColumn="1" w:firstRow="1" w:lastColumn="0" w:lastRow="0" w:noHBand="0" w:noVBand="1" w:val="04A0"/>
        <w:tblW w:w="9398" w:type="dxa"/>
        <w:tblInd w:w="110" w:type="dxa"/>
        <w:tblLayout w:type="fixed"/>
        <w:tblBorders>
          <w:top w:val="single" w:sz="4" w:color="C7C7C7"/>
          <w:left w:val="single" w:sz="4" w:color="C7C7C7"/>
          <w:bottom w:val="single" w:sz="4" w:color="C7C7C7"/>
          <w:right w:val="single" w:sz="4" w:color="C7C7C7"/>
          <w:insideH w:val="single" w:sz="4" w:color="C7C7C7"/>
          <w:insideV w:val="single" w:sz="4" w:color="C7C7C7"/>
        </w:tblBorders>
      </w:tblPr>
      <w:tblGrid>
        <w:gridCol w:w="1900"/>
        <w:gridCol w:w="7498"/>
      </w:tblGrid>
      <w:tr>
        <w:trPr>
          <w:cantSplit/>
          <w:tblHeader/>
        </w:trPr>
        <w:tc>
          <w:tcPr>
            <w:tcW w:type="dxa" w:w="1900"/>
            <w:vAlign w:val="center"/>
            <w:tcMar>
              <w:top w:w="95" w:type="dxa"/>
              <w:start w:w="110" w:type="dxa"/>
              <w:bottom w:w="95" w:type="dxa"/>
              <w:end w:w="110" w:type="dxa"/>
            </w:tcMar>
            <w:shd w:val="clear" w:fill="D9EAF7"/>
          </w:tcPr>
          <w:p>
            <w:pPr>
              <w:pStyle w:val="TableText"/>
              <w:keepLines/>
            </w:pPr>
            <w:r>
              <w:rPr>
                <w:b/>
                <w:color w:val="203040"/>
                <w:sz w:val="18"/>
              </w:rPr>
              <w:t>Symbol</w:t>
            </w:r>
          </w:p>
        </w:tc>
        <w:tc>
          <w:tcPr>
            <w:tcW w:type="dxa" w:w="7498"/>
            <w:vAlign w:val="center"/>
            <w:tcMar>
              <w:top w:w="95" w:type="dxa"/>
              <w:start w:w="110" w:type="dxa"/>
              <w:bottom w:w="95" w:type="dxa"/>
              <w:end w:w="110" w:type="dxa"/>
            </w:tcMar>
            <w:shd w:val="clear" w:fill="D9EAF7"/>
          </w:tcPr>
          <w:p>
            <w:pPr>
              <w:pStyle w:val="TableText"/>
              <w:keepLines/>
            </w:pPr>
            <w:r>
              <w:rPr>
                <w:b/>
                <w:color w:val="203040"/>
                <w:sz w:val="18"/>
              </w:rPr>
              <w:t>Meaning</w:t>
            </w:r>
          </w:p>
        </w:tc>
      </w:tr>
      <w:tr>
        <w:trPr>
          <w:cantSplit/>
        </w:trPr>
        <w:tc>
          <w:tcPr>
            <w:tcW w:type="dxa" w:w="1900"/>
            <w:vAlign w:val="center"/>
            <w:tcMar>
              <w:top w:w="95" w:type="dxa"/>
              <w:start w:w="110" w:type="dxa"/>
              <w:bottom w:w="95" w:type="dxa"/>
              <w:end w:w="110" w:type="dxa"/>
            </w:tcMar>
          </w:tcPr>
          <w:p>
            <w:pPr>
              <w:pStyle w:val="TableText"/>
              <w:keepLines/>
            </w:pPr>
            <w:r>
              <w:rPr>
                <w:b w:val="0"/>
                <w:color w:val="203040"/>
                <w:sz w:val="18"/>
              </w:rPr>
              <w:t>L</w:t>
            </w:r>
          </w:p>
        </w:tc>
        <w:tc>
          <w:tcPr>
            <w:tcW w:type="dxa" w:w="7498"/>
            <w:vAlign w:val="center"/>
            <w:tcMar>
              <w:top w:w="95" w:type="dxa"/>
              <w:start w:w="110" w:type="dxa"/>
              <w:bottom w:w="95" w:type="dxa"/>
              <w:end w:w="110" w:type="dxa"/>
            </w:tcMar>
          </w:tcPr>
          <w:p>
            <w:pPr>
              <w:pStyle w:val="TableText"/>
              <w:keepLines/>
            </w:pPr>
            <w:r>
              <w:rPr>
                <w:b w:val="0"/>
                <w:color w:val="203040"/>
                <w:sz w:val="18"/>
              </w:rPr>
              <w:t>Number of actual model layers in the covered depth group.</w:t>
            </w:r>
          </w:p>
        </w:tc>
      </w:tr>
      <w:tr>
        <w:trPr>
          <w:cantSplit/>
        </w:trPr>
        <w:tc>
          <w:tcPr>
            <w:tcW w:type="dxa" w:w="1900"/>
            <w:vAlign w:val="center"/>
            <w:tcMar>
              <w:top w:w="95" w:type="dxa"/>
              <w:start w:w="110" w:type="dxa"/>
              <w:bottom w:w="95" w:type="dxa"/>
              <w:end w:w="110" w:type="dxa"/>
            </w:tcMar>
            <w:shd w:val="clear" w:fill="F2F2F2"/>
          </w:tcPr>
          <w:p>
            <w:pPr>
              <w:pStyle w:val="TableText"/>
              <w:keepLines/>
            </w:pPr>
            <w:r>
              <w:rPr>
                <w:b w:val="0"/>
                <w:color w:val="203040"/>
                <w:sz w:val="18"/>
              </w:rPr>
              <w:t>P</w:t>
            </w:r>
          </w:p>
        </w:tc>
        <w:tc>
          <w:tcPr>
            <w:tcW w:type="dxa" w:w="7498"/>
            <w:vAlign w:val="center"/>
            <w:tcMar>
              <w:top w:w="95" w:type="dxa"/>
              <w:start w:w="110" w:type="dxa"/>
              <w:bottom w:w="95" w:type="dxa"/>
              <w:end w:w="110" w:type="dxa"/>
            </w:tcMar>
            <w:shd w:val="clear" w:fill="F2F2F2"/>
          </w:tcPr>
          <w:p>
            <w:pPr>
              <w:pStyle w:val="TableText"/>
              <w:keepLines/>
            </w:pPr>
            <w:r>
              <w:rPr>
                <w:b w:val="0"/>
                <w:color w:val="203040"/>
                <w:sz w:val="18"/>
              </w:rPr>
              <w:t>Number of weight coefficients for that depth group.</w:t>
            </w:r>
          </w:p>
        </w:tc>
      </w:tr>
      <w:tr>
        <w:trPr>
          <w:cantSplit/>
        </w:trPr>
        <w:tc>
          <w:tcPr>
            <w:tcW w:type="dxa" w:w="1900"/>
            <w:vAlign w:val="center"/>
            <w:tcMar>
              <w:top w:w="95" w:type="dxa"/>
              <w:start w:w="110" w:type="dxa"/>
              <w:bottom w:w="95" w:type="dxa"/>
              <w:end w:w="110" w:type="dxa"/>
            </w:tcMar>
          </w:tcPr>
          <w:p>
            <w:pPr>
              <w:pStyle w:val="TableText"/>
              <w:keepLines/>
            </w:pPr>
            <w:r>
              <w:rPr>
                <w:b w:val="0"/>
                <w:color w:val="203040"/>
                <w:sz w:val="18"/>
              </w:rPr>
              <w:t>N</w:t>
            </w:r>
          </w:p>
        </w:tc>
        <w:tc>
          <w:tcPr>
            <w:tcW w:type="dxa" w:w="7498"/>
            <w:vAlign w:val="center"/>
            <w:tcMar>
              <w:top w:w="95" w:type="dxa"/>
              <w:start w:w="110" w:type="dxa"/>
              <w:bottom w:w="95" w:type="dxa"/>
              <w:end w:w="110" w:type="dxa"/>
            </w:tcMar>
          </w:tcPr>
          <w:p>
            <w:pPr>
              <w:pStyle w:val="TableText"/>
              <w:keepLines/>
            </w:pPr>
            <w:r>
              <w:rPr>
                <w:b w:val="0"/>
                <w:color w:val="203040"/>
                <w:sz w:val="18"/>
              </w:rPr>
              <w:t>Number of scalar coupling coordinates in one parameter family.</w:t>
            </w:r>
          </w:p>
        </w:tc>
      </w:tr>
      <w:tr>
        <w:trPr>
          <w:cantSplit/>
        </w:trPr>
        <w:tc>
          <w:tcPr>
            <w:tcW w:type="dxa" w:w="1900"/>
            <w:vAlign w:val="center"/>
            <w:tcMar>
              <w:top w:w="95" w:type="dxa"/>
              <w:start w:w="110" w:type="dxa"/>
              <w:bottom w:w="95" w:type="dxa"/>
              <w:end w:w="110" w:type="dxa"/>
            </w:tcMar>
            <w:shd w:val="clear" w:fill="F2F2F2"/>
          </w:tcPr>
          <w:p>
            <w:pPr>
              <w:pStyle w:val="TableText"/>
              <w:keepLines/>
            </w:pPr>
            <w:r>
              <w:rPr>
                <w:b w:val="0"/>
                <w:color w:val="203040"/>
                <w:sz w:val="18"/>
              </w:rPr>
              <w:t>H_m, H_v</w:t>
            </w:r>
          </w:p>
        </w:tc>
        <w:tc>
          <w:tcPr>
            <w:tcW w:type="dxa" w:w="7498"/>
            <w:vAlign w:val="center"/>
            <w:tcMar>
              <w:top w:w="95" w:type="dxa"/>
              <w:start w:w="110" w:type="dxa"/>
              <w:bottom w:w="95" w:type="dxa"/>
              <w:end w:w="110" w:type="dxa"/>
            </w:tcMar>
            <w:shd w:val="clear" w:fill="F2F2F2"/>
          </w:tcPr>
          <w:p>
            <w:pPr>
              <w:pStyle w:val="TableText"/>
              <w:keepLines/>
            </w:pPr>
            <w:r>
              <w:rPr>
                <w:b w:val="0"/>
                <w:color w:val="203040"/>
                <w:sz w:val="18"/>
              </w:rPr>
              <w:t>Effective coefficient counts for momentum and scaling histories.</w:t>
            </w:r>
          </w:p>
        </w:tc>
      </w:tr>
      <w:tr>
        <w:trPr>
          <w:cantSplit/>
        </w:trPr>
        <w:tc>
          <w:tcPr>
            <w:tcW w:type="dxa" w:w="1900"/>
            <w:vAlign w:val="center"/>
            <w:tcMar>
              <w:top w:w="95" w:type="dxa"/>
              <w:start w:w="110" w:type="dxa"/>
              <w:bottom w:w="95" w:type="dxa"/>
              <w:end w:w="110" w:type="dxa"/>
            </w:tcMar>
          </w:tcPr>
          <w:p>
            <w:pPr>
              <w:pStyle w:val="TableText"/>
              <w:keepLines/>
            </w:pPr>
            <w:r>
              <w:rPr>
                <w:b w:val="0"/>
                <w:color w:val="203040"/>
                <w:sz w:val="18"/>
              </w:rPr>
              <w:t>B, B_plus</w:t>
            </w:r>
          </w:p>
        </w:tc>
        <w:tc>
          <w:tcPr>
            <w:tcW w:type="dxa" w:w="7498"/>
            <w:vAlign w:val="center"/>
            <w:tcMar>
              <w:top w:w="95" w:type="dxa"/>
              <w:start w:w="110" w:type="dxa"/>
              <w:bottom w:w="95" w:type="dxa"/>
              <w:end w:w="110" w:type="dxa"/>
            </w:tcMar>
          </w:tcPr>
          <w:p>
            <w:pPr>
              <w:pStyle w:val="TableText"/>
              <w:keepLines/>
            </w:pPr>
            <w:r>
              <w:rPr>
                <w:b w:val="0"/>
                <w:color w:val="203040"/>
                <w:sz w:val="18"/>
              </w:rPr>
              <w:t>Weight materialisation matrix and its Moore-Penrose pseudoinverse.</w:t>
            </w:r>
          </w:p>
        </w:tc>
      </w:tr>
      <w:tr>
        <w:trPr>
          <w:cantSplit/>
        </w:trPr>
        <w:tc>
          <w:tcPr>
            <w:tcW w:type="dxa" w:w="1900"/>
            <w:vAlign w:val="center"/>
            <w:tcMar>
              <w:top w:w="95" w:type="dxa"/>
              <w:start w:w="110" w:type="dxa"/>
              <w:bottom w:w="95" w:type="dxa"/>
              <w:end w:w="110" w:type="dxa"/>
            </w:tcMar>
            <w:shd w:val="clear" w:fill="F2F2F2"/>
          </w:tcPr>
          <w:p>
            <w:pPr>
              <w:pStyle w:val="TableText"/>
              <w:keepLines/>
            </w:pPr>
            <w:r>
              <w:rPr>
                <w:b w:val="0"/>
                <w:color w:val="203040"/>
                <w:sz w:val="18"/>
              </w:rPr>
              <w:t>Q_m, Q_v</w:t>
            </w:r>
          </w:p>
        </w:tc>
        <w:tc>
          <w:tcPr>
            <w:tcW w:type="dxa" w:w="7498"/>
            <w:vAlign w:val="center"/>
            <w:tcMar>
              <w:top w:w="95" w:type="dxa"/>
              <w:start w:w="110" w:type="dxa"/>
              <w:bottom w:w="95" w:type="dxa"/>
              <w:end w:w="110" w:type="dxa"/>
            </w:tcMar>
            <w:shd w:val="clear" w:fill="F2F2F2"/>
          </w:tcPr>
          <w:p>
            <w:pPr>
              <w:pStyle w:val="TableText"/>
              <w:keepLines/>
            </w:pPr>
            <w:r>
              <w:rPr>
                <w:b w:val="0"/>
                <w:color w:val="203040"/>
                <w:sz w:val="18"/>
              </w:rPr>
              <w:t>Stable history basis matrices sampled at the actual layer depths.</w:t>
            </w:r>
          </w:p>
        </w:tc>
      </w:tr>
      <w:tr>
        <w:trPr>
          <w:cantSplit/>
        </w:trPr>
        <w:tc>
          <w:tcPr>
            <w:tcW w:type="dxa" w:w="1900"/>
            <w:vAlign w:val="center"/>
            <w:tcMar>
              <w:top w:w="95" w:type="dxa"/>
              <w:start w:w="110" w:type="dxa"/>
              <w:bottom w:w="95" w:type="dxa"/>
              <w:end w:w="110" w:type="dxa"/>
            </w:tcMar>
          </w:tcPr>
          <w:p>
            <w:pPr>
              <w:pStyle w:val="TableText"/>
              <w:keepLines/>
            </w:pPr>
            <w:r>
              <w:rPr>
                <w:b w:val="0"/>
                <w:color w:val="203040"/>
                <w:sz w:val="18"/>
              </w:rPr>
              <w:t>C, A_m, A_v</w:t>
            </w:r>
          </w:p>
        </w:tc>
        <w:tc>
          <w:tcPr>
            <w:tcW w:type="dxa" w:w="7498"/>
            <w:vAlign w:val="center"/>
            <w:tcMar>
              <w:top w:w="95" w:type="dxa"/>
              <w:start w:w="110" w:type="dxa"/>
              <w:bottom w:w="95" w:type="dxa"/>
              <w:end w:w="110" w:type="dxa"/>
            </w:tcMar>
          </w:tcPr>
          <w:p>
            <w:pPr>
              <w:pStyle w:val="TableText"/>
              <w:keepLines/>
            </w:pPr>
            <w:r>
              <w:rPr>
                <w:b w:val="0"/>
                <w:color w:val="203040"/>
                <w:sz w:val="18"/>
              </w:rPr>
              <w:t>Weight coefficients and the two history coefficient tensors.</w:t>
            </w:r>
          </w:p>
        </w:tc>
      </w:tr>
      <w:tr>
        <w:trPr>
          <w:cantSplit/>
        </w:trPr>
        <w:tc>
          <w:tcPr>
            <w:tcW w:type="dxa" w:w="1900"/>
            <w:vAlign w:val="center"/>
            <w:tcMar>
              <w:top w:w="95" w:type="dxa"/>
              <w:start w:w="110" w:type="dxa"/>
              <w:bottom w:w="95" w:type="dxa"/>
              <w:end w:w="110" w:type="dxa"/>
            </w:tcMar>
            <w:shd w:val="clear" w:fill="F2F2F2"/>
          </w:tcPr>
          <w:p>
            <w:pPr>
              <w:pStyle w:val="TableText"/>
              <w:keepLines/>
            </w:pPr>
            <w:r>
              <w:rPr>
                <w:b w:val="0"/>
                <w:color w:val="203040"/>
                <w:sz w:val="18"/>
              </w:rPr>
              <w:t>G_t</w:t>
            </w:r>
          </w:p>
        </w:tc>
        <w:tc>
          <w:tcPr>
            <w:tcW w:type="dxa" w:w="7498"/>
            <w:vAlign w:val="center"/>
            <w:tcMar>
              <w:top w:w="95" w:type="dxa"/>
              <w:start w:w="110" w:type="dxa"/>
              <w:bottom w:w="95" w:type="dxa"/>
              <w:end w:w="110" w:type="dxa"/>
            </w:tcMar>
            <w:shd w:val="clear" w:fill="F2F2F2"/>
          </w:tcPr>
          <w:p>
            <w:pPr>
              <w:pStyle w:val="TableText"/>
              <w:keepLines/>
            </w:pPr>
            <w:r>
              <w:rPr>
                <w:b w:val="0"/>
                <w:color w:val="203040"/>
                <w:sz w:val="18"/>
              </w:rPr>
              <w:t>Unscaled, accumulated, reduced and clipped raw layer gradient for step t.</w:t>
            </w:r>
          </w:p>
        </w:tc>
      </w:tr>
      <w:tr>
        <w:trPr>
          <w:cantSplit/>
        </w:trPr>
        <w:tc>
          <w:tcPr>
            <w:tcW w:type="dxa" w:w="1900"/>
            <w:vAlign w:val="center"/>
            <w:tcMar>
              <w:top w:w="95" w:type="dxa"/>
              <w:start w:w="110" w:type="dxa"/>
              <w:bottom w:w="95" w:type="dxa"/>
              <w:end w:w="110" w:type="dxa"/>
            </w:tcMar>
          </w:tcPr>
          <w:p>
            <w:pPr>
              <w:pStyle w:val="TableText"/>
              <w:keepLines/>
            </w:pPr>
            <w:r>
              <w:rPr>
                <w:b w:val="0"/>
                <w:color w:val="203040"/>
                <w:sz w:val="18"/>
              </w:rPr>
              <w:t>M_t, V_t</w:t>
            </w:r>
          </w:p>
        </w:tc>
        <w:tc>
          <w:tcPr>
            <w:tcW w:type="dxa" w:w="7498"/>
            <w:vAlign w:val="center"/>
            <w:tcMar>
              <w:top w:w="95" w:type="dxa"/>
              <w:start w:w="110" w:type="dxa"/>
              <w:bottom w:w="95" w:type="dxa"/>
              <w:end w:w="110" w:type="dxa"/>
            </w:tcMar>
          </w:tcPr>
          <w:p>
            <w:pPr>
              <w:pStyle w:val="TableText"/>
              <w:keepLines/>
            </w:pPr>
            <w:r>
              <w:rPr>
                <w:b w:val="0"/>
                <w:color w:val="203040"/>
                <w:sz w:val="18"/>
              </w:rPr>
              <w:t>Materialised first- and second-moment estimates across layers.</w:t>
            </w:r>
          </w:p>
        </w:tc>
      </w:tr>
      <w:tr>
        <w:trPr>
          <w:cantSplit/>
        </w:trPr>
        <w:tc>
          <w:tcPr>
            <w:tcW w:type="dxa" w:w="1900"/>
            <w:vAlign w:val="center"/>
            <w:tcMar>
              <w:top w:w="95" w:type="dxa"/>
              <w:start w:w="110" w:type="dxa"/>
              <w:bottom w:w="95" w:type="dxa"/>
              <w:end w:w="110" w:type="dxa"/>
            </w:tcMar>
            <w:shd w:val="clear" w:fill="F2F2F2"/>
          </w:tcPr>
          <w:p>
            <w:pPr>
              <w:pStyle w:val="TableText"/>
              <w:keepLines/>
            </w:pPr>
            <w:r>
              <w:rPr>
                <w:b w:val="0"/>
                <w:color w:val="203040"/>
                <w:sz w:val="18"/>
              </w:rPr>
              <w:t>t</w:t>
            </w:r>
          </w:p>
        </w:tc>
        <w:tc>
          <w:tcPr>
            <w:tcW w:type="dxa" w:w="7498"/>
            <w:vAlign w:val="center"/>
            <w:tcMar>
              <w:top w:w="95" w:type="dxa"/>
              <w:start w:w="110" w:type="dxa"/>
              <w:bottom w:w="95" w:type="dxa"/>
              <w:end w:w="110" w:type="dxa"/>
            </w:tcMar>
            <w:shd w:val="clear" w:fill="F2F2F2"/>
          </w:tcPr>
          <w:p>
            <w:pPr>
              <w:pStyle w:val="TableText"/>
              <w:keepLines/>
            </w:pPr>
            <w:r>
              <w:rPr>
                <w:b w:val="0"/>
                <w:color w:val="203040"/>
                <w:sz w:val="18"/>
              </w:rPr>
              <w:t>Count of committed updates for the relevant optimizer-state group.</w:t>
            </w:r>
          </w:p>
        </w:tc>
      </w:tr>
    </w:tbl>
    <w:p>
      <w:pPr>
        <w:widowControl/>
        <w:spacing w:after="40"/>
      </w:pPr>
    </w:p>
    <w:p>
      <w:pPr>
        <w:widowControl/>
      </w:pPr>
      <w:r>
        <w:t>For one parameter family, the layer tensors are stacked along a leading depth axis and their remaining semantic coordinates form N columns. A column identifies one coupling coordinate across layers. This organisation preserves the existing matrix/head/row/column conventions used by THOG and Instra.</w:t>
      </w:r>
    </w:p>
    <w:p>
      <w:pPr>
        <w:pStyle w:val="Requirement"/>
        <w:keepLines/>
        <w:widowControl/>
      </w:pPr>
      <w:r>
        <w:rPr>
          <w:b/>
          <w:color w:val="1F4E79"/>
        </w:rPr>
        <w:t>THO-MAP-001</w:t>
      </w:r>
      <w:r>
        <w:rPr>
          <w:color w:val="000000"/>
        </w:rPr>
        <w:t xml:space="preserve">  The optimizer shall preserve the materialiser's semantic ordering of all non-depth tensor axes.</w:t>
      </w:r>
    </w:p>
    <w:p>
      <w:pPr>
        <w:pStyle w:val="Requirement"/>
        <w:keepLines/>
        <w:widowControl/>
      </w:pPr>
      <w:r>
        <w:rPr>
          <w:b/>
          <w:color w:val="1F4E79"/>
        </w:rPr>
        <w:t>THO-MAP-002</w:t>
      </w:r>
      <w:r>
        <w:rPr>
          <w:color w:val="000000"/>
        </w:rPr>
        <w:t xml:space="preserve">  The optimizer shall obtain B from the active production weight materialiser.</w:t>
      </w:r>
    </w:p>
    <w:p>
      <w:pPr>
        <w:pStyle w:val="Requirement"/>
        <w:keepLines/>
        <w:widowControl/>
      </w:pPr>
      <w:r>
        <w:rPr>
          <w:b/>
          <w:color w:val="1F4E79"/>
        </w:rPr>
        <w:t>THO-MAP-003</w:t>
      </w:r>
      <w:r>
        <w:rPr>
          <w:color w:val="000000"/>
        </w:rPr>
        <w:t xml:space="preserve">  The update projection shall use B_plus rather than assuming B_plus equals B transpose.</w:t>
      </w:r>
    </w:p>
    <w:p>
      <w:pPr>
        <w:pStyle w:val="Heading2"/>
      </w:pPr>
      <w:bookmarkStart w:id="1013" w:name="thogopt_section_1013"/>
      <w:r>
        <w:t>3.3 Three distinct comparisons</w:t>
      </w:r>
      <w:bookmarkEnd w:id="1013"/>
    </w:p>
    <w:tbl>
      <w:tblPr>
        <w:jc w:val="left"/>
        <w:tblLook w:firstColumn="1" w:firstRow="1" w:lastColumn="0" w:lastRow="0" w:noHBand="0" w:noVBand="1" w:val="04A0"/>
        <w:tblW w:w="9398" w:type="dxa"/>
        <w:tblInd w:w="110" w:type="dxa"/>
        <w:tblLayout w:type="fixed"/>
        <w:tblBorders>
          <w:top w:val="single" w:sz="4" w:color="C7C7C7"/>
          <w:left w:val="single" w:sz="4" w:color="C7C7C7"/>
          <w:bottom w:val="single" w:sz="4" w:color="C7C7C7"/>
          <w:right w:val="single" w:sz="4" w:color="C7C7C7"/>
          <w:insideH w:val="single" w:sz="4" w:color="C7C7C7"/>
          <w:insideV w:val="single" w:sz="4" w:color="C7C7C7"/>
        </w:tblBorders>
      </w:tblPr>
      <w:tblGrid>
        <w:gridCol w:w="3100"/>
        <w:gridCol w:w="6298"/>
      </w:tblGrid>
      <w:tr>
        <w:trPr>
          <w:cantSplit/>
          <w:tblHeader/>
        </w:trPr>
        <w:tc>
          <w:tcPr>
            <w:tcW w:type="dxa" w:w="3100"/>
            <w:vAlign w:val="center"/>
            <w:tcMar>
              <w:top w:w="95" w:type="dxa"/>
              <w:start w:w="110" w:type="dxa"/>
              <w:bottom w:w="95" w:type="dxa"/>
              <w:end w:w="110" w:type="dxa"/>
            </w:tcMar>
            <w:shd w:val="clear" w:fill="D9EAF7"/>
          </w:tcPr>
          <w:p>
            <w:pPr>
              <w:pStyle w:val="TableText"/>
              <w:keepLines/>
            </w:pPr>
            <w:r>
              <w:rPr>
                <w:b/>
                <w:color w:val="203040"/>
                <w:sz w:val="18"/>
              </w:rPr>
              <w:t>Comparison</w:t>
            </w:r>
          </w:p>
        </w:tc>
        <w:tc>
          <w:tcPr>
            <w:tcW w:type="dxa" w:w="6298"/>
            <w:vAlign w:val="center"/>
            <w:tcMar>
              <w:top w:w="95" w:type="dxa"/>
              <w:start w:w="110" w:type="dxa"/>
              <w:bottom w:w="95" w:type="dxa"/>
              <w:end w:w="110" w:type="dxa"/>
            </w:tcMar>
            <w:shd w:val="clear" w:fill="D9EAF7"/>
          </w:tcPr>
          <w:p>
            <w:pPr>
              <w:pStyle w:val="TableText"/>
              <w:keepLines/>
            </w:pPr>
            <w:r>
              <w:rPr>
                <w:b/>
                <w:color w:val="203040"/>
                <w:sz w:val="18"/>
              </w:rPr>
              <w:t>What it establishes</w:t>
            </w:r>
          </w:p>
        </w:tc>
      </w:tr>
      <w:tr>
        <w:trPr>
          <w:cantSplit/>
        </w:trPr>
        <w:tc>
          <w:tcPr>
            <w:tcW w:type="dxa" w:w="3100"/>
            <w:vAlign w:val="center"/>
            <w:tcMar>
              <w:top w:w="95" w:type="dxa"/>
              <w:start w:w="110" w:type="dxa"/>
              <w:bottom w:w="95" w:type="dxa"/>
              <w:end w:w="110" w:type="dxa"/>
            </w:tcMar>
          </w:tcPr>
          <w:p>
            <w:pPr>
              <w:pStyle w:val="TableText"/>
              <w:keepLines/>
            </w:pPr>
            <w:r>
              <w:rPr>
                <w:b w:val="0"/>
                <w:color w:val="203040"/>
                <w:sz w:val="18"/>
              </w:rPr>
              <w:t>Same-gradient reference</w:t>
            </w:r>
          </w:p>
        </w:tc>
        <w:tc>
          <w:tcPr>
            <w:tcW w:type="dxa" w:w="6298"/>
            <w:vAlign w:val="center"/>
            <w:tcMar>
              <w:top w:w="95" w:type="dxa"/>
              <w:start w:w="110" w:type="dxa"/>
              <w:bottom w:w="95" w:type="dxa"/>
              <w:end w:w="110" w:type="dxa"/>
            </w:tcMar>
          </w:tcPr>
          <w:p>
            <w:pPr>
              <w:pStyle w:val="TableText"/>
              <w:keepLines/>
            </w:pPr>
            <w:r>
              <w:rPr>
                <w:b w:val="0"/>
                <w:color w:val="203040"/>
                <w:sz w:val="18"/>
              </w:rPr>
              <w:t>Moment and update accuracy on the identical gradient sequence.</w:t>
            </w:r>
          </w:p>
        </w:tc>
      </w:tr>
      <w:tr>
        <w:trPr>
          <w:cantSplit/>
        </w:trPr>
        <w:tc>
          <w:tcPr>
            <w:tcW w:type="dxa" w:w="3100"/>
            <w:vAlign w:val="center"/>
            <w:tcMar>
              <w:top w:w="95" w:type="dxa"/>
              <w:start w:w="110" w:type="dxa"/>
              <w:bottom w:w="95" w:type="dxa"/>
              <w:end w:w="110" w:type="dxa"/>
            </w:tcMar>
            <w:shd w:val="clear" w:fill="F2F2F2"/>
          </w:tcPr>
          <w:p>
            <w:pPr>
              <w:pStyle w:val="TableText"/>
              <w:keepLines/>
            </w:pPr>
            <w:r>
              <w:rPr>
                <w:b w:val="0"/>
                <w:color w:val="203040"/>
                <w:sz w:val="18"/>
              </w:rPr>
              <w:t>Full-capacity parity</w:t>
            </w:r>
          </w:p>
        </w:tc>
        <w:tc>
          <w:tcPr>
            <w:tcW w:type="dxa" w:w="6298"/>
            <w:vAlign w:val="center"/>
            <w:tcMar>
              <w:top w:w="95" w:type="dxa"/>
              <w:start w:w="110" w:type="dxa"/>
              <w:bottom w:w="95" w:type="dxa"/>
              <w:end w:w="110" w:type="dxa"/>
            </w:tcMar>
            <w:shd w:val="clear" w:fill="F2F2F2"/>
          </w:tcPr>
          <w:p>
            <w:pPr>
              <w:pStyle w:val="TableText"/>
              <w:keepLines/>
            </w:pPr>
            <w:r>
              <w:rPr>
                <w:b w:val="0"/>
                <w:color w:val="203040"/>
                <w:sz w:val="18"/>
              </w:rPr>
              <w:t>Dense AdamW equivalence when P = H_m = H_v = L.</w:t>
            </w:r>
          </w:p>
        </w:tc>
      </w:tr>
      <w:tr>
        <w:trPr>
          <w:cantSplit/>
        </w:trPr>
        <w:tc>
          <w:tcPr>
            <w:tcW w:type="dxa" w:w="3100"/>
            <w:vAlign w:val="center"/>
            <w:tcMar>
              <w:top w:w="95" w:type="dxa"/>
              <w:start w:w="110" w:type="dxa"/>
              <w:bottom w:w="95" w:type="dxa"/>
              <w:end w:w="110" w:type="dxa"/>
            </w:tcMar>
          </w:tcPr>
          <w:p>
            <w:pPr>
              <w:pStyle w:val="TableText"/>
              <w:keepLines/>
            </w:pPr>
            <w:r>
              <w:rPr>
                <w:b w:val="0"/>
                <w:color w:val="203040"/>
                <w:sz w:val="18"/>
              </w:rPr>
              <w:t>Compressed training</w:t>
            </w:r>
          </w:p>
        </w:tc>
        <w:tc>
          <w:tcPr>
            <w:tcW w:type="dxa" w:w="6298"/>
            <w:vAlign w:val="center"/>
            <w:tcMar>
              <w:top w:w="95" w:type="dxa"/>
              <w:start w:w="110" w:type="dxa"/>
              <w:bottom w:w="95" w:type="dxa"/>
              <w:end w:w="110" w:type="dxa"/>
            </w:tcMar>
          </w:tcPr>
          <w:p>
            <w:pPr>
              <w:pStyle w:val="TableText"/>
              <w:keepLines/>
            </w:pPr>
            <w:r>
              <w:rPr>
                <w:b w:val="0"/>
                <w:color w:val="203040"/>
                <w:sz w:val="18"/>
              </w:rPr>
              <w:t>Loss, time and memory performance when P &lt; L and histories may also be compressed.</w:t>
            </w:r>
          </w:p>
        </w:tc>
      </w:tr>
    </w:tbl>
    <w:p>
      <w:pPr>
        <w:widowControl/>
        <w:spacing w:after="40"/>
      </w:pPr>
    </w:p>
    <w:p>
      <w:pPr>
        <w:pStyle w:val="Requirement"/>
        <w:keepLines/>
        <w:widowControl/>
      </w:pPr>
      <w:r>
        <w:rPr>
          <w:b/>
          <w:color w:val="1F4E79"/>
        </w:rPr>
        <w:t>THO-EQ-001</w:t>
      </w:r>
      <w:r>
        <w:rPr>
          <w:color w:val="000000"/>
        </w:rPr>
        <w:t xml:space="preserve">  A claim of dense AdamW trajectory equivalence shall require a full-rank weight representation.</w:t>
      </w:r>
    </w:p>
    <w:p>
      <w:pPr>
        <w:pStyle w:val="Requirement"/>
        <w:keepLines/>
        <w:widowControl/>
      </w:pPr>
      <w:r>
        <w:rPr>
          <w:b/>
          <w:color w:val="1F4E79"/>
        </w:rPr>
        <w:t>THO-EQ-002</w:t>
      </w:r>
      <w:r>
        <w:rPr>
          <w:color w:val="000000"/>
        </w:rPr>
        <w:t xml:space="preserve">  A claim of exact history representation shall require lossless history capacity at the actual layer positions.</w:t>
      </w:r>
    </w:p>
    <w:p>
      <w:pPr>
        <w:pStyle w:val="Requirement"/>
        <w:keepLines/>
        <w:widowControl/>
      </w:pPr>
      <w:r>
        <w:rPr>
          <w:b/>
          <w:color w:val="1F4E79"/>
        </w:rPr>
        <w:t>THO-EQ-003</w:t>
      </w:r>
      <w:r>
        <w:rPr>
          <w:color w:val="000000"/>
        </w:rPr>
        <w:t xml:space="preserve">  Comparisons at P &lt; L shall distinguish history approximation from the projection of the proposed update.</w:t>
      </w:r>
    </w:p>
    <w:p>
      <w:pPr>
        <w:widowControl/>
      </w:pPr>
      <w:r>
        <w:t>With H_m = H_v = L and P &lt; L, thogopt has exact layer-history capacity but still projects the final update into the allowed weight space. Its matching oracle is AdamW evaluated along that constrained run and projected after scaling. An ordinary DENSE run is free to leave that space and is therefore a different experiment.</w:t>
      </w:r>
    </w:p>
    <w:p>
      <w:pPr>
        <w:pStyle w:val="Heading1"/>
      </w:pPr>
      <w:bookmarkStart w:id="1014" w:name="thogopt_section_1014"/>
      <w:r>
        <w:t>4 Independent history controls</w:t>
      </w:r>
      <w:bookmarkEnd w:id="1014"/>
    </w:p>
    <w:p>
      <w:pPr>
        <w:pStyle w:val="Heading2"/>
      </w:pPr>
      <w:bookmarkStart w:id="1015" w:name="thogopt_section_1015"/>
      <w:r>
        <w:t>4.1 New optimizer settings</w:t>
      </w:r>
      <w:bookmarkEnd w:id="1015"/>
    </w:p>
    <w:tbl>
      <w:tblPr>
        <w:jc w:val="left"/>
        <w:tblLook w:firstColumn="1" w:firstRow="1" w:lastColumn="0" w:lastRow="0" w:noHBand="0" w:noVBand="1" w:val="04A0"/>
        <w:tblW w:w="9398" w:type="dxa"/>
        <w:tblInd w:w="110" w:type="dxa"/>
        <w:tblLayout w:type="fixed"/>
        <w:tblBorders>
          <w:top w:val="single" w:sz="4" w:color="C7C7C7"/>
          <w:left w:val="single" w:sz="4" w:color="C7C7C7"/>
          <w:bottom w:val="single" w:sz="4" w:color="C7C7C7"/>
          <w:right w:val="single" w:sz="4" w:color="C7C7C7"/>
          <w:insideH w:val="single" w:sz="4" w:color="C7C7C7"/>
          <w:insideV w:val="single" w:sz="4" w:color="C7C7C7"/>
        </w:tblBorders>
      </w:tblPr>
      <w:tblGrid>
        <w:gridCol w:w="5800"/>
        <w:gridCol w:w="1250"/>
        <w:gridCol w:w="2348"/>
      </w:tblGrid>
      <w:tr>
        <w:trPr>
          <w:cantSplit/>
          <w:tblHeader/>
        </w:trPr>
        <w:tc>
          <w:tcPr>
            <w:tcW w:type="dxa" w:w="5800"/>
            <w:vAlign w:val="center"/>
            <w:tcMar>
              <w:top w:w="95" w:type="dxa"/>
              <w:start w:w="110" w:type="dxa"/>
              <w:bottom w:w="95" w:type="dxa"/>
              <w:end w:w="110" w:type="dxa"/>
            </w:tcMar>
            <w:shd w:val="clear" w:fill="D9EAF7"/>
          </w:tcPr>
          <w:p>
            <w:pPr>
              <w:pStyle w:val="TableText"/>
              <w:keepLines/>
            </w:pPr>
            <w:r>
              <w:rPr>
                <w:b/>
                <w:color w:val="203040"/>
                <w:sz w:val="18"/>
              </w:rPr>
              <w:t>Hyperparameter</w:t>
            </w:r>
          </w:p>
        </w:tc>
        <w:tc>
          <w:tcPr>
            <w:tcW w:type="dxa" w:w="1250"/>
            <w:vAlign w:val="center"/>
            <w:tcMar>
              <w:top w:w="95" w:type="dxa"/>
              <w:start w:w="110" w:type="dxa"/>
              <w:bottom w:w="95" w:type="dxa"/>
              <w:end w:w="110" w:type="dxa"/>
            </w:tcMar>
            <w:shd w:val="clear" w:fill="D9EAF7"/>
          </w:tcPr>
          <w:p>
            <w:pPr>
              <w:pStyle w:val="TableText"/>
              <w:keepLines/>
            </w:pPr>
            <w:r>
              <w:rPr>
                <w:b/>
                <w:color w:val="203040"/>
                <w:sz w:val="18"/>
              </w:rPr>
              <w:t>Default</w:t>
            </w:r>
          </w:p>
        </w:tc>
        <w:tc>
          <w:tcPr>
            <w:tcW w:type="dxa" w:w="2348"/>
            <w:vAlign w:val="center"/>
            <w:tcMar>
              <w:top w:w="95" w:type="dxa"/>
              <w:start w:w="110" w:type="dxa"/>
              <w:bottom w:w="95" w:type="dxa"/>
              <w:end w:w="110" w:type="dxa"/>
            </w:tcMar>
            <w:shd w:val="clear" w:fill="D9EAF7"/>
          </w:tcPr>
          <w:p>
            <w:pPr>
              <w:pStyle w:val="TableText"/>
              <w:keepLines/>
            </w:pPr>
            <w:r>
              <w:rPr>
                <w:b/>
                <w:color w:val="203040"/>
                <w:sz w:val="18"/>
              </w:rPr>
              <w:t>Accepted values</w:t>
            </w:r>
          </w:p>
        </w:tc>
      </w:tr>
      <w:tr>
        <w:trPr>
          <w:cantSplit/>
        </w:trPr>
        <w:tc>
          <w:tcPr>
            <w:tcW w:type="dxa" w:w="5800"/>
            <w:vAlign w:val="center"/>
            <w:tcMar>
              <w:top w:w="95" w:type="dxa"/>
              <w:start w:w="110" w:type="dxa"/>
              <w:bottom w:w="95" w:type="dxa"/>
              <w:end w:w="110" w:type="dxa"/>
            </w:tcMar>
          </w:tcPr>
          <w:p>
            <w:pPr>
              <w:pStyle w:val="TableText"/>
              <w:keepLines/>
            </w:pPr>
            <w:r>
              <w:rPr>
                <w:b w:val="0"/>
                <w:color w:val="203040"/>
                <w:sz w:val="18"/>
              </w:rPr>
              <w:t>thogopt__momentum_history_coefficients</w:t>
            </w:r>
          </w:p>
        </w:tc>
        <w:tc>
          <w:tcPr>
            <w:tcW w:type="dxa" w:w="1250"/>
            <w:vAlign w:val="center"/>
            <w:tcMar>
              <w:top w:w="95" w:type="dxa"/>
              <w:start w:w="110" w:type="dxa"/>
              <w:bottom w:w="95" w:type="dxa"/>
              <w:end w:w="110" w:type="dxa"/>
            </w:tcMar>
          </w:tcPr>
          <w:p>
            <w:pPr>
              <w:pStyle w:val="TableText"/>
              <w:keepLines/>
            </w:pPr>
            <w:r>
              <w:rPr>
                <w:b w:val="0"/>
                <w:color w:val="203040"/>
                <w:sz w:val="18"/>
              </w:rPr>
              <w:t>auto</w:t>
            </w:r>
          </w:p>
        </w:tc>
        <w:tc>
          <w:tcPr>
            <w:tcW w:type="dxa" w:w="2348"/>
            <w:vAlign w:val="center"/>
            <w:tcMar>
              <w:top w:w="95" w:type="dxa"/>
              <w:start w:w="110" w:type="dxa"/>
              <w:bottom w:w="95" w:type="dxa"/>
              <w:end w:w="110" w:type="dxa"/>
            </w:tcMar>
          </w:tcPr>
          <w:p>
            <w:pPr>
              <w:pStyle w:val="TableText"/>
              <w:keepLines/>
            </w:pPr>
            <w:r>
              <w:rPr>
                <w:b w:val="0"/>
                <w:color w:val="203040"/>
                <w:sz w:val="18"/>
              </w:rPr>
              <w:t>auto or a positive integer</w:t>
            </w:r>
          </w:p>
        </w:tc>
      </w:tr>
      <w:tr>
        <w:trPr>
          <w:cantSplit/>
        </w:trPr>
        <w:tc>
          <w:tcPr>
            <w:tcW w:type="dxa" w:w="5800"/>
            <w:vAlign w:val="center"/>
            <w:tcMar>
              <w:top w:w="95" w:type="dxa"/>
              <w:start w:w="110" w:type="dxa"/>
              <w:bottom w:w="95" w:type="dxa"/>
              <w:end w:w="110" w:type="dxa"/>
            </w:tcMar>
            <w:shd w:val="clear" w:fill="F2F2F2"/>
          </w:tcPr>
          <w:p>
            <w:pPr>
              <w:pStyle w:val="TableText"/>
              <w:keepLines/>
            </w:pPr>
            <w:r>
              <w:rPr>
                <w:b w:val="0"/>
                <w:color w:val="203040"/>
                <w:sz w:val="18"/>
              </w:rPr>
              <w:t>thogopt__scaling_history_coefficients</w:t>
            </w:r>
          </w:p>
        </w:tc>
        <w:tc>
          <w:tcPr>
            <w:tcW w:type="dxa" w:w="1250"/>
            <w:vAlign w:val="center"/>
            <w:tcMar>
              <w:top w:w="95" w:type="dxa"/>
              <w:start w:w="110" w:type="dxa"/>
              <w:bottom w:w="95" w:type="dxa"/>
              <w:end w:w="110" w:type="dxa"/>
            </w:tcMar>
            <w:shd w:val="clear" w:fill="F2F2F2"/>
          </w:tcPr>
          <w:p>
            <w:pPr>
              <w:pStyle w:val="TableText"/>
              <w:keepLines/>
            </w:pPr>
            <w:r>
              <w:rPr>
                <w:b w:val="0"/>
                <w:color w:val="203040"/>
                <w:sz w:val="18"/>
              </w:rPr>
              <w:t>auto</w:t>
            </w:r>
          </w:p>
        </w:tc>
        <w:tc>
          <w:tcPr>
            <w:tcW w:type="dxa" w:w="2348"/>
            <w:vAlign w:val="center"/>
            <w:tcMar>
              <w:top w:w="95" w:type="dxa"/>
              <w:start w:w="110" w:type="dxa"/>
              <w:bottom w:w="95" w:type="dxa"/>
              <w:end w:w="110" w:type="dxa"/>
            </w:tcMar>
            <w:shd w:val="clear" w:fill="F2F2F2"/>
          </w:tcPr>
          <w:p>
            <w:pPr>
              <w:pStyle w:val="TableText"/>
              <w:keepLines/>
            </w:pPr>
            <w:r>
              <w:rPr>
                <w:b w:val="0"/>
                <w:color w:val="203040"/>
                <w:sz w:val="18"/>
              </w:rPr>
              <w:t>auto or a positive integer</w:t>
            </w:r>
          </w:p>
        </w:tc>
      </w:tr>
    </w:tbl>
    <w:p>
      <w:pPr>
        <w:widowControl/>
        <w:spacing w:after="40"/>
      </w:pPr>
    </w:p>
    <w:p>
      <w:pPr>
        <w:pStyle w:val="Requirement"/>
        <w:keepLines/>
        <w:widowControl/>
      </w:pPr>
      <w:r>
        <w:rPr>
          <w:b/>
          <w:color w:val="1F4E79"/>
        </w:rPr>
        <w:t>THO-CFG-001</w:t>
      </w:r>
      <w:r>
        <w:rPr>
          <w:color w:val="000000"/>
        </w:rPr>
        <w:t xml:space="preserve">  The existing optimizer selector shall accept the value thogopt.</w:t>
      </w:r>
    </w:p>
    <w:p>
      <w:pPr>
        <w:pStyle w:val="Requirement"/>
        <w:keepLines/>
        <w:widowControl/>
      </w:pPr>
      <w:r>
        <w:rPr>
          <w:b/>
          <w:color w:val="1F4E79"/>
        </w:rPr>
        <w:t>THO-CFG-002</w:t>
      </w:r>
      <w:r>
        <w:rPr>
          <w:color w:val="000000"/>
        </w:rPr>
        <w:t xml:space="preserve">  thogopt__momentum_history_coefficients shall accept auto or a positive integer.</w:t>
      </w:r>
    </w:p>
    <w:p>
      <w:pPr>
        <w:pStyle w:val="Requirement"/>
        <w:keepLines/>
        <w:widowControl/>
      </w:pPr>
      <w:r>
        <w:rPr>
          <w:b/>
          <w:color w:val="1F4E79"/>
        </w:rPr>
        <w:t>THO-CFG-003</w:t>
      </w:r>
      <w:r>
        <w:rPr>
          <w:color w:val="000000"/>
        </w:rPr>
        <w:t xml:space="preserve">  thogopt__scaling_history_coefficients shall accept auto or a positive integer.</w:t>
      </w:r>
    </w:p>
    <w:p>
      <w:pPr>
        <w:pStyle w:val="Requirement"/>
        <w:keepLines/>
        <w:widowControl/>
      </w:pPr>
      <w:r>
        <w:rPr>
          <w:b/>
          <w:color w:val="1F4E79"/>
        </w:rPr>
        <w:t>THO-CFG-004</w:t>
      </w:r>
      <w:r>
        <w:rPr>
          <w:color w:val="000000"/>
        </w:rPr>
        <w:t xml:space="preserve">  Both history-count settings shall default to auto.</w:t>
      </w:r>
    </w:p>
    <w:p>
      <w:pPr>
        <w:pStyle w:val="Requirement"/>
        <w:keepLines/>
        <w:widowControl/>
      </w:pPr>
      <w:r>
        <w:rPr>
          <w:b/>
          <w:color w:val="1F4E79"/>
        </w:rPr>
        <w:t>THO-CFG-005</w:t>
      </w:r>
      <w:r>
        <w:rPr>
          <w:color w:val="000000"/>
        </w:rPr>
        <w:t xml:space="preserve">  Momentum auto shall resolve to a nominal count of P for each covered depth group.</w:t>
      </w:r>
    </w:p>
    <w:p>
      <w:pPr>
        <w:pStyle w:val="Requirement"/>
        <w:keepLines/>
        <w:widowControl/>
      </w:pPr>
      <w:r>
        <w:rPr>
          <w:b/>
          <w:color w:val="1F4E79"/>
        </w:rPr>
        <w:t>THO-CFG-006</w:t>
      </w:r>
      <w:r>
        <w:rPr>
          <w:color w:val="000000"/>
        </w:rPr>
        <w:t xml:space="preserve">  Scaling auto shall resolve to a nominal count of 2P - 1 for each covered depth group.</w:t>
      </w:r>
    </w:p>
    <w:p>
      <w:pPr>
        <w:pStyle w:val="Requirement"/>
        <w:keepLines/>
        <w:widowControl/>
      </w:pPr>
      <w:r>
        <w:rPr>
          <w:b/>
          <w:color w:val="1F4E79"/>
        </w:rPr>
        <w:t>THO-CFG-007</w:t>
      </w:r>
      <w:r>
        <w:rPr>
          <w:color w:val="000000"/>
        </w:rPr>
        <w:t xml:space="preserve">  An automatic effective count shall be capped at L.</w:t>
      </w:r>
    </w:p>
    <w:p>
      <w:pPr>
        <w:pStyle w:val="Requirement"/>
        <w:keepLines/>
        <w:widowControl/>
      </w:pPr>
      <w:r>
        <w:rPr>
          <w:b/>
          <w:color w:val="1F4E79"/>
        </w:rPr>
        <w:t>THO-CFG-008</w:t>
      </w:r>
      <w:r>
        <w:rPr>
          <w:color w:val="000000"/>
        </w:rPr>
        <w:t xml:space="preserve">  An explicit count shall be accepted independently of the other history count when it lies between 1 and L inclusive.</w:t>
      </w:r>
    </w:p>
    <w:p>
      <w:pPr>
        <w:pStyle w:val="Requirement"/>
        <w:keepLines/>
        <w:widowControl/>
      </w:pPr>
      <w:r>
        <w:rPr>
          <w:b/>
          <w:color w:val="1F4E79"/>
        </w:rPr>
        <w:t>THO-CFG-009</w:t>
      </w:r>
      <w:r>
        <w:rPr>
          <w:color w:val="000000"/>
        </w:rPr>
        <w:t xml:space="preserve">  An explicit count greater than L shall produce a validation error explaining that only L layer samples are available.</w:t>
      </w:r>
    </w:p>
    <w:p>
      <w:pPr>
        <w:pStyle w:val="Requirement"/>
        <w:keepLines/>
        <w:widowControl/>
      </w:pPr>
      <w:r>
        <w:rPr>
          <w:b/>
          <w:color w:val="1F4E79"/>
        </w:rPr>
        <w:t>THO-CFG-010</w:t>
      </w:r>
      <w:r>
        <w:rPr>
          <w:color w:val="000000"/>
        </w:rPr>
        <w:t xml:space="preserve">  Changing an explicit history count shall not change the model's weight-coefficient count P.</w:t>
      </w:r>
    </w:p>
    <w:p>
      <w:pPr>
        <w:pStyle w:val="Requirement"/>
        <w:keepLines/>
        <w:widowControl/>
      </w:pPr>
      <w:r>
        <w:rPr>
          <w:b/>
          <w:color w:val="1F4E79"/>
        </w:rPr>
        <w:t>THO-CFG-011</w:t>
      </w:r>
      <w:r>
        <w:rPr>
          <w:color w:val="000000"/>
        </w:rPr>
        <w:t xml:space="preserve">  Changing the momentum-history count shall not alter scaling auto.</w:t>
      </w:r>
    </w:p>
    <w:p>
      <w:pPr>
        <w:pStyle w:val="Requirement"/>
        <w:keepLines/>
        <w:widowControl/>
      </w:pPr>
      <w:r>
        <w:rPr>
          <w:b/>
          <w:color w:val="1F4E79"/>
        </w:rPr>
        <w:t>THO-CFG-012</w:t>
      </w:r>
      <w:r>
        <w:rPr>
          <w:color w:val="000000"/>
        </w:rPr>
        <w:t xml:space="preserve">  Run metadata shall preserve the requested, nominal and effective history counts.</w:t>
      </w:r>
    </w:p>
    <w:p>
      <w:pPr>
        <w:widowControl/>
      </w:pPr>
      <w:r>
        <w:t>For P = 16 and L = 48, the automatic counts are 16 and 31. For P = L = 16, the scaling nominal count remains 31 but its effective count is 16. Explicit counts allow the history-fidelity experiment to vary independently of the weight representation. Counts control detail across depth; beta_1 and beta_2 control forgetting over training steps.</w:t>
      </w:r>
    </w:p>
    <w:p>
      <w:pPr>
        <w:pStyle w:val="Heading2"/>
      </w:pPr>
      <w:bookmarkStart w:id="1016" w:name="thogopt_section_1016"/>
      <w:r>
        <w:t>4.2 Why auto is a budget rather than an exactness claim</w:t>
      </w:r>
      <w:bookmarkEnd w:id="1016"/>
    </w:p>
    <w:p>
      <w:pPr>
        <w:widowControl/>
      </w:pPr>
      <w:r>
        <w:t>If a gradient were first forced into a P-coefficient polynomial, its average would fit into P coefficients and its square into 2P - 1. That algebra motivated the initial defaults. It does not describe the chosen raw-gradient input: arbitrary layer gradients can require all L values. The defaults therefore give a reproducible starting budget, while explicit counts determine empirically whether more history detail is worthwhile.</w:t>
      </w:r>
    </w:p>
    <w:p>
      <w:pPr>
        <w:pStyle w:val="Requirement"/>
        <w:keepLines/>
        <w:widowControl/>
      </w:pPr>
      <w:r>
        <w:rPr>
          <w:b/>
          <w:color w:val="1F4E79"/>
        </w:rPr>
        <w:t>THO-CFG-013</w:t>
      </w:r>
      <w:r>
        <w:rPr>
          <w:color w:val="000000"/>
        </w:rPr>
        <w:t xml:space="preserve">  Help text shall describe both automatic counts as approximation budgets for raw-gradient histories.</w:t>
      </w:r>
    </w:p>
    <w:p>
      <w:pPr>
        <w:pStyle w:val="Requirement"/>
        <w:keepLines/>
        <w:widowControl/>
      </w:pPr>
      <w:r>
        <w:rPr>
          <w:b/>
          <w:color w:val="1F4E79"/>
        </w:rPr>
        <w:t>THO-CFG-014</w:t>
      </w:r>
      <w:r>
        <w:rPr>
          <w:color w:val="000000"/>
        </w:rPr>
        <w:t xml:space="preserve">  The history input shall remain the raw layer gradient when either explicit count exceeds P.</w:t>
      </w:r>
    </w:p>
    <w:p>
      <w:pPr>
        <w:pStyle w:val="Requirement"/>
        <w:keepLines/>
        <w:widowControl/>
      </w:pPr>
      <w:r>
        <w:rPr>
          <w:b/>
          <w:color w:val="1F4E79"/>
        </w:rPr>
        <w:t>THO-CFG-015</w:t>
      </w:r>
      <w:r>
        <w:rPr>
          <w:color w:val="000000"/>
        </w:rPr>
        <w:t xml:space="preserve">  Increasing history capacity shall not be implemented by zero-padding a previously P-projected gradient.</w:t>
      </w:r>
    </w:p>
    <w:p>
      <w:pPr>
        <w:pStyle w:val="Requirement"/>
        <w:keepLines/>
        <w:widowControl/>
      </w:pPr>
      <w:r>
        <w:rPr>
          <w:b/>
          <w:color w:val="1F4E79"/>
        </w:rPr>
        <w:t>THO-CFG-016</w:t>
      </w:r>
      <w:r>
        <w:rPr>
          <w:color w:val="000000"/>
        </w:rPr>
        <w:t xml:space="preserve">  The resolved history counts shall be visible in Instra's run overview.</w:t>
      </w:r>
    </w:p>
    <w:p>
      <w:pPr>
        <w:pStyle w:val="Heading2"/>
      </w:pPr>
      <w:bookmarkStart w:id="1017" w:name="thogopt_section_1017"/>
      <w:r>
        <w:t>4.3 Reuse of existing controls</w:t>
      </w:r>
      <w:bookmarkEnd w:id="1017"/>
    </w:p>
    <w:p>
      <w:pPr>
        <w:pStyle w:val="Requirement"/>
        <w:keepLines/>
        <w:widowControl/>
      </w:pPr>
      <w:r>
        <w:rPr>
          <w:b/>
          <w:color w:val="1F4E79"/>
        </w:rPr>
        <w:t>THO-CFG-017</w:t>
      </w:r>
      <w:r>
        <w:rPr>
          <w:color w:val="000000"/>
        </w:rPr>
        <w:t xml:space="preserve">  thogopt shall reuse the existing learning-rate configuration.</w:t>
      </w:r>
    </w:p>
    <w:p>
      <w:pPr>
        <w:pStyle w:val="Requirement"/>
        <w:keepLines/>
        <w:widowControl/>
      </w:pPr>
      <w:r>
        <w:rPr>
          <w:b/>
          <w:color w:val="1F4E79"/>
        </w:rPr>
        <w:t>THO-CFG-018</w:t>
      </w:r>
      <w:r>
        <w:rPr>
          <w:color w:val="000000"/>
        </w:rPr>
        <w:t xml:space="preserve">  thogopt shall reuse the existing beta_1 and beta_2 configuration.</w:t>
      </w:r>
    </w:p>
    <w:p>
      <w:pPr>
        <w:pStyle w:val="Requirement"/>
        <w:keepLines/>
        <w:widowControl/>
      </w:pPr>
      <w:r>
        <w:rPr>
          <w:b/>
          <w:color w:val="1F4E79"/>
        </w:rPr>
        <w:t>THO-CFG-019</w:t>
      </w:r>
      <w:r>
        <w:rPr>
          <w:color w:val="000000"/>
        </w:rPr>
        <w:t xml:space="preserve">  thogopt shall reuse the existing epsilon configuration.</w:t>
      </w:r>
    </w:p>
    <w:p>
      <w:pPr>
        <w:pStyle w:val="Requirement"/>
        <w:keepLines/>
        <w:widowControl/>
      </w:pPr>
      <w:r>
        <w:rPr>
          <w:b/>
          <w:color w:val="1F4E79"/>
        </w:rPr>
        <w:t>THO-CFG-020</w:t>
      </w:r>
      <w:r>
        <w:rPr>
          <w:color w:val="000000"/>
        </w:rPr>
        <w:t xml:space="preserve">  thogopt shall reuse the existing weight-decay configuration.</w:t>
      </w:r>
    </w:p>
    <w:p>
      <w:pPr>
        <w:pStyle w:val="Requirement"/>
        <w:keepLines/>
        <w:widowControl/>
      </w:pPr>
      <w:r>
        <w:rPr>
          <w:b/>
          <w:color w:val="1F4E79"/>
        </w:rPr>
        <w:t>THO-CFG-021</w:t>
      </w:r>
      <w:r>
        <w:rPr>
          <w:color w:val="000000"/>
        </w:rPr>
        <w:t xml:space="preserve">  The two new history settings shall be registered in the existing command-line help system.</w:t>
      </w:r>
    </w:p>
    <w:p>
      <w:pPr>
        <w:pStyle w:val="Requirement"/>
        <w:keepLines/>
        <w:widowControl/>
      </w:pPr>
      <w:r>
        <w:rPr>
          <w:b/>
          <w:color w:val="1F4E79"/>
        </w:rPr>
        <w:t>THO-CFG-022</w:t>
      </w:r>
      <w:r>
        <w:rPr>
          <w:color w:val="000000"/>
        </w:rPr>
        <w:t xml:space="preserve">  The complete resolved thogopt configuration shall be retained with the runstring.</w:t>
      </w:r>
    </w:p>
    <w:p>
      <w:pPr>
        <w:pStyle w:val="Heading1"/>
      </w:pPr>
      <w:bookmarkStart w:id="1018" w:name="thogopt_section_1018"/>
      <w:r>
        <w:t>5 Mathematical and training-step contract</w:t>
      </w:r>
      <w:bookmarkEnd w:id="1018"/>
    </w:p>
    <w:p>
      <w:pPr>
        <w:pStyle w:val="Heading2"/>
      </w:pPr>
      <w:bookmarkStart w:id="1019" w:name="thogopt_section_1019"/>
      <w:r>
        <w:t>5.1 The gradient that enters the histories</w:t>
      </w:r>
      <w:bookmarkEnd w:id="1019"/>
    </w:p>
    <w:p>
      <w:pPr>
        <w:widowControl/>
      </w:pPr>
      <w:r>
        <w:t>Raw means differentiated with respect to each materialised layer parameter before reduction into coefficient gradients. It does not mean a loss-scaled microbatch gradient. The input G_t is the same effective gradient that a matching dense AdamW step would consume after the configured accumulation, distributed reduction, loss unscaling and clipping.</w:t>
      </w:r>
    </w:p>
    <w:p>
      <w:pPr>
        <w:pStyle w:val="Requirement"/>
        <w:keepLines/>
        <w:widowControl/>
      </w:pPr>
      <w:r>
        <w:rPr>
          <w:b/>
          <w:color w:val="1F4E79"/>
        </w:rPr>
        <w:t>THO-GRAD-001</w:t>
      </w:r>
      <w:r>
        <w:rPr>
          <w:color w:val="000000"/>
        </w:rPr>
        <w:t xml:space="preserve">  The capture path shall observe layer gradients before their reduction into weight coefficients.</w:t>
      </w:r>
    </w:p>
    <w:p>
      <w:pPr>
        <w:pStyle w:val="Requirement"/>
        <w:keepLines/>
        <w:widowControl/>
      </w:pPr>
      <w:r>
        <w:rPr>
          <w:b/>
          <w:color w:val="1F4E79"/>
        </w:rPr>
        <w:t>THO-GRAD-002</w:t>
      </w:r>
      <w:r>
        <w:rPr>
          <w:color w:val="000000"/>
        </w:rPr>
        <w:t xml:space="preserve">  The capture path shall include every contribution to a reused materialised parameter.</w:t>
      </w:r>
    </w:p>
    <w:p>
      <w:pPr>
        <w:pStyle w:val="Requirement"/>
        <w:keepLines/>
        <w:widowControl/>
      </w:pPr>
      <w:r>
        <w:rPr>
          <w:b/>
          <w:color w:val="1F4E79"/>
        </w:rPr>
        <w:t>THO-GRAD-003</w:t>
      </w:r>
      <w:r>
        <w:rPr>
          <w:color w:val="000000"/>
        </w:rPr>
        <w:t xml:space="preserve">  Gradient accumulation shall reproduce the configured full optimizer-step gradient at each layer coordinate.</w:t>
      </w:r>
    </w:p>
    <w:p>
      <w:pPr>
        <w:pStyle w:val="Requirement"/>
        <w:keepLines/>
        <w:widowControl/>
      </w:pPr>
      <w:r>
        <w:rPr>
          <w:b/>
          <w:color w:val="1F4E79"/>
        </w:rPr>
        <w:t>THO-GRAD-004</w:t>
      </w:r>
      <w:r>
        <w:rPr>
          <w:color w:val="000000"/>
        </w:rPr>
        <w:t xml:space="preserve">  The second-history update shall square the completed optimizer-step gradient.</w:t>
      </w:r>
    </w:p>
    <w:p>
      <w:pPr>
        <w:pStyle w:val="Requirement"/>
        <w:keepLines/>
        <w:widowControl/>
      </w:pPr>
      <w:r>
        <w:rPr>
          <w:b/>
          <w:color w:val="1F4E79"/>
        </w:rPr>
        <w:t>THO-GRAD-005</w:t>
      </w:r>
      <w:r>
        <w:rPr>
          <w:color w:val="000000"/>
        </w:rPr>
        <w:t xml:space="preserve">  The second-history update shall not substitute a sum or average of squared microbatch gradients.</w:t>
      </w:r>
    </w:p>
    <w:p>
      <w:pPr>
        <w:pStyle w:val="Requirement"/>
        <w:keepLines/>
        <w:widowControl/>
      </w:pPr>
      <w:r>
        <w:rPr>
          <w:b/>
          <w:color w:val="1F4E79"/>
        </w:rPr>
        <w:t>THO-GRAD-006</w:t>
      </w:r>
      <w:r>
        <w:rPr>
          <w:color w:val="000000"/>
        </w:rPr>
        <w:t xml:space="preserve">  Distributed training shall aggregate each raw layer gradient across ranks before its square is formed.</w:t>
      </w:r>
    </w:p>
    <w:p>
      <w:pPr>
        <w:pStyle w:val="Requirement"/>
        <w:keepLines/>
        <w:widowControl/>
      </w:pPr>
      <w:r>
        <w:rPr>
          <w:b/>
          <w:color w:val="1F4E79"/>
        </w:rPr>
        <w:t>THO-GRAD-007</w:t>
      </w:r>
      <w:r>
        <w:rPr>
          <w:color w:val="000000"/>
        </w:rPr>
        <w:t xml:space="preserve">  Mixed-precision loss scaling shall be removed before either history is updated.</w:t>
      </w:r>
    </w:p>
    <w:p>
      <w:pPr>
        <w:pStyle w:val="Requirement"/>
        <w:keepLines/>
        <w:widowControl/>
      </w:pPr>
      <w:r>
        <w:rPr>
          <w:b/>
          <w:color w:val="1F4E79"/>
        </w:rPr>
        <w:t>THO-GRAD-008</w:t>
      </w:r>
      <w:r>
        <w:rPr>
          <w:color w:val="000000"/>
        </w:rPr>
        <w:t xml:space="preserve">  The configured clipping transform shall be applied before either history is updated.</w:t>
      </w:r>
    </w:p>
    <w:p>
      <w:pPr>
        <w:pStyle w:val="Requirement"/>
        <w:keepLines/>
        <w:widowControl/>
      </w:pPr>
      <w:r>
        <w:rPr>
          <w:b/>
          <w:color w:val="1F4E79"/>
        </w:rPr>
        <w:t>THO-GRAD-009</w:t>
      </w:r>
      <w:r>
        <w:rPr>
          <w:color w:val="000000"/>
        </w:rPr>
        <w:t xml:space="preserve">  The reference diagnostic shall consume the same post-processing gradient as thogopt.</w:t>
      </w:r>
    </w:p>
    <w:p>
      <w:pPr>
        <w:pStyle w:val="Requirement"/>
        <w:keepLines/>
        <w:widowControl/>
      </w:pPr>
      <w:r>
        <w:rPr>
          <w:b/>
          <w:color w:val="1F4E79"/>
        </w:rPr>
        <w:t>THO-GRAD-010</w:t>
      </w:r>
      <w:r>
        <w:rPr>
          <w:color w:val="000000"/>
        </w:rPr>
        <w:t xml:space="preserve">  Activation-checkpoint recomputation shall not duplicate a gradient contribution.</w:t>
      </w:r>
    </w:p>
    <w:p>
      <w:pPr>
        <w:widowControl/>
      </w:pPr>
      <w:r>
        <w:t>This ordering matters. In general, the square of an accumulated or all-reduced gradient differs from the accumulated or all-reduced squares. A compact implementation may stage or recompute raw contributions, but it may not change that arithmetic to save memory.</w:t>
      </w:r>
    </w:p>
    <w:p>
      <w:pPr>
        <w:pStyle w:val="Heading2"/>
      </w:pPr>
      <w:bookmarkStart w:id="1020" w:name="thogopt_section_1020"/>
      <w:r>
        <w:t>5.2 Compact first- and second-moment updates</w:t>
      </w:r>
      <w:bookmarkEnd w:id="1020"/>
    </w:p>
    <w:p>
      <w:pPr>
        <w:widowControl/>
      </w:pPr>
      <w:r>
        <w:t>Let Q_m and Q_v contain H_m and H_v stable polynomial basis columns at the L actual layer positions. Let F_m be the corresponding least-squares analysis map. The first moment has a linear coefficient recurrence. The second moment is fitted from a target constructed in layer space, after the raw gradient has been squared.</w:t>
      </w:r>
    </w:p>
    <w:p>
      <w:pPr>
        <w:pStyle w:val="Equation"/>
        <w:keepNext/>
        <w:keepLines/>
        <w:widowControl/>
      </w:pPr>
      <w:r>
        <w:t>A_m,t = beta_1 * A_m,t-1 + (1 - beta_1) * F_m(G_t)</w:t>
      </w:r>
    </w:p>
    <w:p>
      <w:pPr>
        <w:pStyle w:val="Equation"/>
        <w:keepNext/>
        <w:keepLines/>
        <w:widowControl/>
      </w:pPr>
      <w:r>
        <w:t>V_target,t = beta_2 * (Q_v A_v,t-1) + (1 - beta_2) * G_t^2</w:t>
      </w:r>
    </w:p>
    <w:p>
      <w:pPr>
        <w:pStyle w:val="Equation"/>
        <w:keepNext/>
        <w:keepLines/>
        <w:widowControl/>
      </w:pPr>
      <w:r>
        <w:t>A_v,t = fit_nonnegative(Q_v, V_target,t)</w:t>
      </w:r>
    </w:p>
    <w:p>
      <w:pPr>
        <w:pStyle w:val="Equation"/>
        <w:keepLines/>
        <w:widowControl/>
      </w:pPr>
      <w:r>
        <w:t>M_t = Q_m A_m,t;    V_t = Q_v A_v,t</w:t>
      </w:r>
    </w:p>
    <w:p>
      <w:pPr>
        <w:widowControl/>
      </w:pPr>
      <w:r>
        <w:t>The reference definition of fit_nonnegative is a least-squares polynomial fit constrained to be non-negative at the actual layer positions. It is a numerical fit, not an auxiliary learned model. Section 6 defines its numerical contract. Without an active non-negativity constraint, a fixed linear fitting map commutes with the exponential average; with an active constraint, the recurrence above is the authoritative behaviour.</w:t>
      </w:r>
    </w:p>
    <w:p>
      <w:pPr>
        <w:pStyle w:val="Requirement"/>
        <w:keepLines/>
        <w:widowControl/>
      </w:pPr>
      <w:r>
        <w:rPr>
          <w:b/>
          <w:color w:val="1F4E79"/>
        </w:rPr>
        <w:t>THO-HIST-001</w:t>
      </w:r>
      <w:r>
        <w:rPr>
          <w:color w:val="000000"/>
        </w:rPr>
        <w:t xml:space="preserve">  Each covered family shall retain a first-moment coefficient tensor with shape H_m by N.</w:t>
      </w:r>
    </w:p>
    <w:p>
      <w:pPr>
        <w:pStyle w:val="Requirement"/>
        <w:keepLines/>
        <w:widowControl/>
      </w:pPr>
      <w:r>
        <w:rPr>
          <w:b/>
          <w:color w:val="1F4E79"/>
        </w:rPr>
        <w:t>THO-HIST-002</w:t>
      </w:r>
      <w:r>
        <w:rPr>
          <w:color w:val="000000"/>
        </w:rPr>
        <w:t xml:space="preserve">  Each covered family shall retain a second-moment coefficient tensor with shape H_v by N.</w:t>
      </w:r>
    </w:p>
    <w:p>
      <w:pPr>
        <w:pStyle w:val="Requirement"/>
        <w:keepLines/>
        <w:widowControl/>
      </w:pPr>
      <w:r>
        <w:rPr>
          <w:b/>
          <w:color w:val="1F4E79"/>
        </w:rPr>
        <w:t>THO-HIST-003</w:t>
      </w:r>
      <w:r>
        <w:rPr>
          <w:color w:val="000000"/>
        </w:rPr>
        <w:t xml:space="preserve">  The first-moment update shall implement the recurrence in section 5.2.</w:t>
      </w:r>
    </w:p>
    <w:p>
      <w:pPr>
        <w:pStyle w:val="Requirement"/>
        <w:keepLines/>
        <w:widowControl/>
      </w:pPr>
      <w:r>
        <w:rPr>
          <w:b/>
          <w:color w:val="1F4E79"/>
        </w:rPr>
        <w:t>THO-HIST-004</w:t>
      </w:r>
      <w:r>
        <w:rPr>
          <w:color w:val="000000"/>
        </w:rPr>
        <w:t xml:space="preserve">  The second-moment target shall be constructed from reconstructed previous second moments and the squared current raw gradient.</w:t>
      </w:r>
    </w:p>
    <w:p>
      <w:pPr>
        <w:pStyle w:val="Requirement"/>
        <w:keepLines/>
        <w:widowControl/>
      </w:pPr>
      <w:r>
        <w:rPr>
          <w:b/>
          <w:color w:val="1F4E79"/>
        </w:rPr>
        <w:t>THO-HIST-005</w:t>
      </w:r>
      <w:r>
        <w:rPr>
          <w:color w:val="000000"/>
        </w:rPr>
        <w:t xml:space="preserve">  The scaling-history fitter shall implement the non-negative least-squares contract in section 6.</w:t>
      </w:r>
    </w:p>
    <w:p>
      <w:pPr>
        <w:pStyle w:val="Requirement"/>
        <w:keepLines/>
        <w:widowControl/>
      </w:pPr>
      <w:r>
        <w:rPr>
          <w:b/>
          <w:color w:val="1F4E79"/>
        </w:rPr>
        <w:t>THO-HIST-006</w:t>
      </w:r>
      <w:r>
        <w:rPr>
          <w:color w:val="000000"/>
        </w:rPr>
        <w:t xml:space="preserve">  Neither history shall be derived from the other history.</w:t>
      </w:r>
    </w:p>
    <w:p>
      <w:pPr>
        <w:pStyle w:val="Requirement"/>
        <w:keepLines/>
        <w:widowControl/>
      </w:pPr>
      <w:r>
        <w:rPr>
          <w:b/>
          <w:color w:val="1F4E79"/>
        </w:rPr>
        <w:t>THO-HIST-007</w:t>
      </w:r>
      <w:r>
        <w:rPr>
          <w:color w:val="000000"/>
        </w:rPr>
        <w:t xml:space="preserve">  New optimizer histories shall initialise to zero.</w:t>
      </w:r>
    </w:p>
    <w:p>
      <w:pPr>
        <w:pStyle w:val="Requirement"/>
        <w:keepLines/>
        <w:widowControl/>
      </w:pPr>
      <w:r>
        <w:rPr>
          <w:b/>
          <w:color w:val="1F4E79"/>
        </w:rPr>
        <w:t>THO-HIST-008</w:t>
      </w:r>
      <w:r>
        <w:rPr>
          <w:color w:val="000000"/>
        </w:rPr>
        <w:t xml:space="preserve">  The history representation shall contain no trainable auxiliary parameters.</w:t>
      </w:r>
    </w:p>
    <w:p>
      <w:pPr>
        <w:pStyle w:val="Heading2"/>
      </w:pPr>
      <w:bookmarkStart w:id="1021" w:name="thogopt_section_1021"/>
      <w:r>
        <w:t>5.3 Scaling, weight decay and update projection</w:t>
      </w:r>
      <w:bookmarkEnd w:id="1021"/>
    </w:p>
    <w:p>
      <w:pPr>
        <w:pStyle w:val="Equation"/>
        <w:keepNext/>
        <w:keepLines/>
        <w:widowControl/>
      </w:pPr>
      <w:r>
        <w:t>M_hat_t = M_t / (1 - beta_1^t)</w:t>
      </w:r>
    </w:p>
    <w:p>
      <w:pPr>
        <w:pStyle w:val="Equation"/>
        <w:keepNext/>
        <w:keepLines/>
        <w:widowControl/>
      </w:pPr>
      <w:r>
        <w:t>V_hat_t = V_t / (1 - beta_2^t)</w:t>
      </w:r>
    </w:p>
    <w:p>
      <w:pPr>
        <w:pStyle w:val="Equation"/>
        <w:keepNext/>
        <w:keepLines/>
        <w:widowControl/>
      </w:pPr>
      <w:r>
        <w:t>S_t = 1 / (sqrt(V_hat_t) + epsilon)</w:t>
      </w:r>
    </w:p>
    <w:p>
      <w:pPr>
        <w:pStyle w:val="Equation"/>
        <w:keepNext/>
        <w:keepLines/>
        <w:widowControl/>
      </w:pPr>
      <w:r>
        <w:t>U_t = -eta_t * M_hat_t * S_t</w:t>
      </w:r>
    </w:p>
    <w:p>
      <w:pPr>
        <w:pStyle w:val="Equation"/>
        <w:keepLines/>
        <w:widowControl/>
      </w:pPr>
      <w:r>
        <w:t>C_t = (1 - eta_t * lambda) * C_t-1 + B_plus U_t</w:t>
      </w:r>
    </w:p>
    <w:p>
      <w:pPr>
        <w:widowControl/>
      </w:pPr>
      <w:r>
        <w:t>Multiplication, squaring, square root and division are element-wise where applied to layer tensors. U_t is the adaptive layer-space update before projection and excludes weight decay. B B_plus U_t is the adaptive update the weight representation can realise. Multiplying coefficients uniformly by the decay factor produces the same uniform shrinkage of their materialised weights under a fixed linear basis.</w:t>
      </w:r>
    </w:p>
    <w:p>
      <w:pPr>
        <w:pStyle w:val="Requirement"/>
        <w:keepLines/>
        <w:widowControl/>
      </w:pPr>
      <w:r>
        <w:rPr>
          <w:b/>
          <w:color w:val="1F4E79"/>
        </w:rPr>
        <w:t>THO-STEP-001</w:t>
      </w:r>
      <w:r>
        <w:rPr>
          <w:color w:val="000000"/>
        </w:rPr>
        <w:t xml:space="preserve">  Adaptive scaling shall be evaluated at the actual layer positions.</w:t>
      </w:r>
    </w:p>
    <w:p>
      <w:pPr>
        <w:pStyle w:val="Requirement"/>
        <w:keepLines/>
        <w:widowControl/>
      </w:pPr>
      <w:r>
        <w:rPr>
          <w:b/>
          <w:color w:val="1F4E79"/>
        </w:rPr>
        <w:t>THO-STEP-002</w:t>
      </w:r>
      <w:r>
        <w:rPr>
          <w:color w:val="000000"/>
        </w:rPr>
        <w:t xml:space="preserve">  The scaling denominator shall use the reconstructed second moment rather than independently squared coefficient values.</w:t>
      </w:r>
    </w:p>
    <w:p>
      <w:pPr>
        <w:pStyle w:val="Requirement"/>
        <w:keepLines/>
        <w:widowControl/>
      </w:pPr>
      <w:r>
        <w:rPr>
          <w:b/>
          <w:color w:val="1F4E79"/>
        </w:rPr>
        <w:t>THO-STEP-003</w:t>
      </w:r>
      <w:r>
        <w:rPr>
          <w:color w:val="000000"/>
        </w:rPr>
        <w:t xml:space="preserve">  The optimizer shall project U_t only after the AdamW element-wise division.</w:t>
      </w:r>
    </w:p>
    <w:p>
      <w:pPr>
        <w:pStyle w:val="Requirement"/>
        <w:keepLines/>
        <w:widowControl/>
      </w:pPr>
      <w:r>
        <w:rPr>
          <w:b/>
          <w:color w:val="1F4E79"/>
        </w:rPr>
        <w:t>THO-STEP-004</w:t>
      </w:r>
      <w:r>
        <w:rPr>
          <w:color w:val="000000"/>
        </w:rPr>
        <w:t xml:space="preserve">  Weight decay shall be applied once per eligible parameter per committed step.</w:t>
      </w:r>
    </w:p>
    <w:p>
      <w:pPr>
        <w:pStyle w:val="Requirement"/>
        <w:keepLines/>
        <w:widowControl/>
      </w:pPr>
      <w:r>
        <w:rPr>
          <w:b/>
          <w:color w:val="1F4E79"/>
        </w:rPr>
        <w:t>THO-STEP-005</w:t>
      </w:r>
      <w:r>
        <w:rPr>
          <w:color w:val="000000"/>
        </w:rPr>
        <w:t xml:space="preserve">  The projected update shall be expressed in the same coefficient convention used by the production materialiser.</w:t>
      </w:r>
    </w:p>
    <w:p>
      <w:pPr>
        <w:pStyle w:val="Requirement"/>
        <w:keepLines/>
        <w:widowControl/>
      </w:pPr>
      <w:r>
        <w:rPr>
          <w:b/>
          <w:color w:val="1F4E79"/>
        </w:rPr>
        <w:t>THO-STEP-006</w:t>
      </w:r>
      <w:r>
        <w:rPr>
          <w:color w:val="000000"/>
        </w:rPr>
        <w:t xml:space="preserve">  Uncompressed parameter groups shall observe the same logical optimizer step as compressed groups.</w:t>
      </w:r>
    </w:p>
    <w:p>
      <w:pPr>
        <w:pStyle w:val="Heading2"/>
      </w:pPr>
      <w:bookmarkStart w:id="1022" w:name="thogopt_section_1022"/>
      <w:r>
        <w:t>5.4 Step counters, clipping and skipped updates</w:t>
      </w:r>
      <w:bookmarkEnd w:id="1022"/>
    </w:p>
    <w:p>
      <w:pPr>
        <w:widowControl/>
      </w:pPr>
      <w:r>
        <w:t>For thogopt's norm clipping, the canonical norm is measured on raw layer gradients of covered families together with gradients of ordinary parameters. A physical coordinate is counted once; its coefficient-gradient counterpart is not counted again. This provides a comparable clipping operation to the dense reference. Existing optimizers retain their existing clipping semantics.</w:t>
      </w:r>
    </w:p>
    <w:p>
      <w:pPr>
        <w:pStyle w:val="Requirement"/>
        <w:keepLines/>
        <w:widowControl/>
      </w:pPr>
      <w:r>
        <w:rPr>
          <w:b/>
          <w:color w:val="1F4E79"/>
        </w:rPr>
        <w:t>THO-STEP-007</w:t>
      </w:r>
      <w:r>
        <w:rPr>
          <w:color w:val="000000"/>
        </w:rPr>
        <w:t xml:space="preserve">  Norm clipping for thogopt shall use the physical-coordinate gradient norm defined in section 5.4.</w:t>
      </w:r>
    </w:p>
    <w:p>
      <w:pPr>
        <w:pStyle w:val="Requirement"/>
        <w:keepLines/>
        <w:widowControl/>
      </w:pPr>
      <w:r>
        <w:rPr>
          <w:b/>
          <w:color w:val="1F4E79"/>
        </w:rPr>
        <w:t>THO-STEP-008</w:t>
      </w:r>
      <w:r>
        <w:rPr>
          <w:color w:val="000000"/>
        </w:rPr>
        <w:t xml:space="preserve">  The optimizer shall maintain a committed-update counter for each independently advancing state group.</w:t>
      </w:r>
    </w:p>
    <w:p>
      <w:pPr>
        <w:pStyle w:val="Requirement"/>
        <w:keepLines/>
        <w:widowControl/>
      </w:pPr>
      <w:r>
        <w:rPr>
          <w:b/>
          <w:color w:val="1F4E79"/>
        </w:rPr>
        <w:t>THO-STEP-009</w:t>
      </w:r>
      <w:r>
        <w:rPr>
          <w:color w:val="000000"/>
        </w:rPr>
        <w:t xml:space="preserve">  A rejected update shall leave parameters, moment histories and their counters unchanged.</w:t>
      </w:r>
    </w:p>
    <w:p>
      <w:pPr>
        <w:pStyle w:val="Requirement"/>
        <w:keepLines/>
        <w:widowControl/>
      </w:pPr>
      <w:r>
        <w:rPr>
          <w:b/>
          <w:color w:val="1F4E79"/>
        </w:rPr>
        <w:t>THO-STEP-010</w:t>
      </w:r>
      <w:r>
        <w:rPr>
          <w:color w:val="000000"/>
        </w:rPr>
        <w:t xml:space="preserve">  A successful update shall commit parameters, moment histories and their counters as one logical transaction.</w:t>
      </w:r>
    </w:p>
    <w:p>
      <w:pPr>
        <w:pStyle w:val="Requirement"/>
        <w:keepLines/>
        <w:widowControl/>
      </w:pPr>
      <w:r>
        <w:rPr>
          <w:b/>
          <w:color w:val="1F4E79"/>
        </w:rPr>
        <w:t>THO-STEP-011</w:t>
      </w:r>
      <w:r>
        <w:rPr>
          <w:color w:val="000000"/>
        </w:rPr>
        <w:t xml:space="preserve">  A skipped update shall follow the existing configured non-finite policy.</w:t>
      </w:r>
    </w:p>
    <w:p>
      <w:pPr>
        <w:pStyle w:val="Requirement"/>
        <w:keepLines/>
        <w:widowControl/>
      </w:pPr>
      <w:r>
        <w:rPr>
          <w:b/>
          <w:color w:val="1F4E79"/>
        </w:rPr>
        <w:t>THO-STEP-012</w:t>
      </w:r>
      <w:r>
        <w:rPr>
          <w:color w:val="000000"/>
        </w:rPr>
        <w:t xml:space="preserve">  An absent gradient shall follow PyTorch AdamW's skip semantics for that parameter.</w:t>
      </w:r>
    </w:p>
    <w:p>
      <w:pPr>
        <w:pStyle w:val="Requirement"/>
        <w:keepLines/>
        <w:widowControl/>
      </w:pPr>
      <w:r>
        <w:rPr>
          <w:b/>
          <w:color w:val="1F4E79"/>
        </w:rPr>
        <w:t>THO-STEP-013</w:t>
      </w:r>
      <w:r>
        <w:rPr>
          <w:color w:val="000000"/>
        </w:rPr>
        <w:t xml:space="preserve">  A present zero gradient shall remain distinguishable from an absent gradient.</w:t>
      </w:r>
    </w:p>
    <w:p>
      <w:pPr>
        <w:pStyle w:val="Requirement"/>
        <w:keepLines/>
        <w:widowControl/>
      </w:pPr>
      <w:r>
        <w:rPr>
          <w:b/>
          <w:color w:val="1F4E79"/>
        </w:rPr>
        <w:t>THO-STEP-014</w:t>
      </w:r>
      <w:r>
        <w:rPr>
          <w:color w:val="000000"/>
        </w:rPr>
        <w:t xml:space="preserve">  Mixed missing and present layer contributions within one compressed family shall be rejected unless an explicitly tested family-level convention is available.</w:t>
      </w:r>
    </w:p>
    <w:p>
      <w:pPr>
        <w:pStyle w:val="Heading1"/>
      </w:pPr>
      <w:bookmarkStart w:id="1023" w:name="thogopt_section_1023"/>
      <w:r>
        <w:t>6 Numerical representation and stability</w:t>
      </w:r>
      <w:bookmarkEnd w:id="1023"/>
    </w:p>
    <w:p>
      <w:pPr>
        <w:pStyle w:val="Heading2"/>
      </w:pPr>
      <w:bookmarkStart w:id="1024" w:name="thogopt_section_1024"/>
      <w:r>
        <w:t>6.1 Basis construction and fitting</w:t>
      </w:r>
      <w:bookmarkEnd w:id="1024"/>
    </w:p>
    <w:p>
      <w:pPr>
        <w:widowControl/>
      </w:pPr>
      <w:r>
        <w:t>High-order Chebyshev evaluation at a finite layer grid can be poorly conditioned if coefficient conventions are handled naively. The history basis is therefore a numerical representation in its own right, with its own order and analysis map. It is not obtained by truncating or extending the model's P-column basis without rebuilding the required transform.</w:t>
      </w:r>
    </w:p>
    <w:p>
      <w:pPr>
        <w:pStyle w:val="Requirement"/>
        <w:keepLines/>
        <w:widowControl/>
      </w:pPr>
      <w:r>
        <w:rPr>
          <w:b/>
          <w:color w:val="1F4E79"/>
        </w:rPr>
        <w:t>THO-NUM-001</w:t>
      </w:r>
      <w:r>
        <w:rPr>
          <w:color w:val="000000"/>
        </w:rPr>
        <w:t xml:space="preserve">  Each history basis shall use the actual model layer coordinates.</w:t>
      </w:r>
    </w:p>
    <w:p>
      <w:pPr>
        <w:pStyle w:val="Requirement"/>
        <w:keepLines/>
        <w:widowControl/>
      </w:pPr>
      <w:r>
        <w:rPr>
          <w:b/>
          <w:color w:val="1F4E79"/>
        </w:rPr>
        <w:t>THO-NUM-002</w:t>
      </w:r>
      <w:r>
        <w:rPr>
          <w:color w:val="000000"/>
        </w:rPr>
        <w:t xml:space="preserve">  Each history basis shall be constructed for its own effective coefficient count.</w:t>
      </w:r>
    </w:p>
    <w:p>
      <w:pPr>
        <w:pStyle w:val="Requirement"/>
        <w:keepLines/>
        <w:widowControl/>
      </w:pPr>
      <w:r>
        <w:rPr>
          <w:b/>
          <w:color w:val="1F4E79"/>
        </w:rPr>
        <w:t>THO-NUM-003</w:t>
      </w:r>
      <w:r>
        <w:rPr>
          <w:color w:val="000000"/>
        </w:rPr>
        <w:t xml:space="preserve">  History analysis shall use a numerically stable factorisation rather than an explicit normal-equation inverse.</w:t>
      </w:r>
    </w:p>
    <w:p>
      <w:pPr>
        <w:pStyle w:val="Requirement"/>
        <w:keepLines/>
        <w:widowControl/>
      </w:pPr>
      <w:r>
        <w:rPr>
          <w:b/>
          <w:color w:val="1F4E79"/>
        </w:rPr>
        <w:t>THO-NUM-004</w:t>
      </w:r>
      <w:r>
        <w:rPr>
          <w:color w:val="000000"/>
        </w:rPr>
        <w:t xml:space="preserve">  History fitting shall not introduce a derivative-energy or polynomial-order regularisation penalty.</w:t>
      </w:r>
    </w:p>
    <w:p>
      <w:pPr>
        <w:pStyle w:val="Requirement"/>
        <w:keepLines/>
        <w:widowControl/>
      </w:pPr>
      <w:r>
        <w:rPr>
          <w:b/>
          <w:color w:val="1F4E79"/>
        </w:rPr>
        <w:t>THO-NUM-005</w:t>
      </w:r>
      <w:r>
        <w:rPr>
          <w:color w:val="000000"/>
        </w:rPr>
        <w:t xml:space="preserve">  Basis rank and conditioning diagnostics shall be evaluated before training.</w:t>
      </w:r>
    </w:p>
    <w:p>
      <w:pPr>
        <w:pStyle w:val="Requirement"/>
        <w:keepLines/>
        <w:widowControl/>
      </w:pPr>
      <w:r>
        <w:rPr>
          <w:b/>
          <w:color w:val="1F4E79"/>
        </w:rPr>
        <w:t>THO-NUM-006</w:t>
      </w:r>
      <w:r>
        <w:rPr>
          <w:color w:val="000000"/>
        </w:rPr>
        <w:t xml:space="preserve">  A rank-deficient requested history representation shall cause startup validation to fail.</w:t>
      </w:r>
    </w:p>
    <w:p>
      <w:pPr>
        <w:pStyle w:val="Requirement"/>
        <w:keepLines/>
        <w:widowControl/>
      </w:pPr>
      <w:r>
        <w:rPr>
          <w:b/>
          <w:color w:val="1F4E79"/>
        </w:rPr>
        <w:t>THO-NUM-007</w:t>
      </w:r>
      <w:r>
        <w:rPr>
          <w:color w:val="000000"/>
        </w:rPr>
        <w:t xml:space="preserve">  History basis identity shall include the layer coordinates, normalisation convention and effective order.</w:t>
      </w:r>
    </w:p>
    <w:p>
      <w:pPr>
        <w:pStyle w:val="Requirement"/>
        <w:keepLines/>
        <w:widowControl/>
      </w:pPr>
      <w:r>
        <w:rPr>
          <w:b/>
          <w:color w:val="1F4E79"/>
        </w:rPr>
        <w:t>THO-NUM-008</w:t>
      </w:r>
      <w:r>
        <w:rPr>
          <w:color w:val="000000"/>
        </w:rPr>
        <w:t xml:space="preserve">  When H_m or H_v equals L, its representation shall reproduce arbitrary corresponding layer samples within the full-capacity tolerance.</w:t>
      </w:r>
    </w:p>
    <w:p>
      <w:pPr>
        <w:pStyle w:val="Requirement"/>
        <w:keepLines/>
        <w:widowControl/>
      </w:pPr>
      <w:r>
        <w:rPr>
          <w:b/>
          <w:color w:val="1F4E79"/>
        </w:rPr>
        <w:t>THO-NUM-009</w:t>
      </w:r>
      <w:r>
        <w:rPr>
          <w:color w:val="000000"/>
        </w:rPr>
        <w:t xml:space="preserve">  A lossless direct-sample storage optimisation shall preserve the requested history semantics.</w:t>
      </w:r>
    </w:p>
    <w:p>
      <w:pPr>
        <w:pStyle w:val="Heading2"/>
      </w:pPr>
      <w:bookmarkStart w:id="1025" w:name="thogopt_section_1025"/>
      <w:r>
        <w:t>6.2 Non-negative second moments</w:t>
      </w:r>
      <w:bookmarkEnd w:id="1025"/>
    </w:p>
    <w:p>
      <w:pPr>
        <w:pStyle w:val="Equation"/>
        <w:keepNext/>
        <w:keepLines/>
        <w:widowControl/>
      </w:pPr>
      <w:r>
        <w:t>fit_nonnegative(Q, y) = argmin_a ||Q a - y||_2^2</w:t>
      </w:r>
    </w:p>
    <w:p>
      <w:pPr>
        <w:pStyle w:val="Equation"/>
        <w:keepLines/>
        <w:widowControl/>
      </w:pPr>
      <w:r>
        <w:t xml:space="preserve">                         subject to Q a &gt;= 0 at actual layers</w:t>
      </w:r>
    </w:p>
    <w:p>
      <w:pPr>
        <w:widowControl/>
      </w:pPr>
      <w:r>
        <w:t>The constraint is applied separately to each coupling column. With a full-column-rank basis, the least-squares objective is strictly convex and the fitted coefficients are uniquely determined. A constant non-negative polynomial is feasible. At full layer capacity, a non-negative target can be reproduced without approximation. Between-layer plotting does not define the optimizer denominator; only actual layer evaluations do.</w:t>
      </w:r>
    </w:p>
    <w:p>
      <w:pPr>
        <w:pStyle w:val="Requirement"/>
        <w:keepLines/>
        <w:widowControl/>
      </w:pPr>
      <w:r>
        <w:rPr>
          <w:b/>
          <w:color w:val="1F4E79"/>
        </w:rPr>
        <w:t>THO-NUM-010</w:t>
      </w:r>
      <w:r>
        <w:rPr>
          <w:color w:val="000000"/>
        </w:rPr>
        <w:t xml:space="preserve">  The scaling-history fit shall minimise unweighted squared error over the actual layer positions subject to non-negative reconstructed values there.</w:t>
      </w:r>
    </w:p>
    <w:p>
      <w:pPr>
        <w:pStyle w:val="Requirement"/>
        <w:keepLines/>
        <w:widowControl/>
      </w:pPr>
      <w:r>
        <w:rPr>
          <w:b/>
          <w:color w:val="1F4E79"/>
        </w:rPr>
        <w:t>THO-NUM-011</w:t>
      </w:r>
      <w:r>
        <w:rPr>
          <w:color w:val="000000"/>
        </w:rPr>
        <w:t xml:space="preserve">  A production fitting algorithm shall agree with the reference constrained fit within the numerical acceptance tolerance.</w:t>
      </w:r>
    </w:p>
    <w:p>
      <w:pPr>
        <w:pStyle w:val="Requirement"/>
        <w:keepLines/>
        <w:widowControl/>
      </w:pPr>
      <w:r>
        <w:rPr>
          <w:b/>
          <w:color w:val="1F4E79"/>
        </w:rPr>
        <w:t>THO-NUM-012</w:t>
      </w:r>
      <w:r>
        <w:rPr>
          <w:color w:val="000000"/>
        </w:rPr>
        <w:t xml:space="preserve">  The fitter shall expose the number of coupling columns for which non-negativity constraints affect the solution.</w:t>
      </w:r>
    </w:p>
    <w:p>
      <w:pPr>
        <w:pStyle w:val="Requirement"/>
        <w:keepLines/>
        <w:widowControl/>
      </w:pPr>
      <w:r>
        <w:rPr>
          <w:b/>
          <w:color w:val="1F4E79"/>
        </w:rPr>
        <w:t>THO-NUM-013</w:t>
      </w:r>
      <w:r>
        <w:rPr>
          <w:color w:val="000000"/>
        </w:rPr>
        <w:t xml:space="preserve">  The optimizer shall detect materially negative reconstructed second moments before division.</w:t>
      </w:r>
    </w:p>
    <w:p>
      <w:pPr>
        <w:pStyle w:val="Requirement"/>
        <w:keepLines/>
        <w:widowControl/>
      </w:pPr>
      <w:r>
        <w:rPr>
          <w:b/>
          <w:color w:val="1F4E79"/>
        </w:rPr>
        <w:t>THO-NUM-014</w:t>
      </w:r>
      <w:r>
        <w:rPr>
          <w:color w:val="000000"/>
        </w:rPr>
        <w:t xml:space="preserve">  A materially negative reconstructed second moment shall fail the attempted update rather than be silently clamped.</w:t>
      </w:r>
    </w:p>
    <w:p>
      <w:pPr>
        <w:pStyle w:val="Requirement"/>
        <w:keepLines/>
        <w:widowControl/>
      </w:pPr>
      <w:r>
        <w:rPr>
          <w:b/>
          <w:color w:val="1F4E79"/>
        </w:rPr>
        <w:t>THO-NUM-015</w:t>
      </w:r>
      <w:r>
        <w:rPr>
          <w:color w:val="000000"/>
        </w:rPr>
        <w:t xml:space="preserve">  Any correction of a roundoff-sized negative value shall use a documented scale-dependent tolerance.</w:t>
      </w:r>
    </w:p>
    <w:p>
      <w:pPr>
        <w:pStyle w:val="Requirement"/>
        <w:keepLines/>
        <w:widowControl/>
      </w:pPr>
      <w:r>
        <w:rPr>
          <w:b/>
          <w:color w:val="1F4E79"/>
        </w:rPr>
        <w:t>THO-NUM-016</w:t>
      </w:r>
      <w:r>
        <w:rPr>
          <w:color w:val="000000"/>
        </w:rPr>
        <w:t xml:space="preserve">  The count and maximum magnitude of roundoff corrections shall be available to diagnostics.</w:t>
      </w:r>
    </w:p>
    <w:p>
      <w:pPr>
        <w:pStyle w:val="Requirement"/>
        <w:keepLines/>
        <w:widowControl/>
      </w:pPr>
      <w:r>
        <w:rPr>
          <w:b/>
          <w:color w:val="1F4E79"/>
        </w:rPr>
        <w:t>THO-NUM-017</w:t>
      </w:r>
      <w:r>
        <w:rPr>
          <w:color w:val="000000"/>
        </w:rPr>
        <w:t xml:space="preserve">  The optimizer shall distinguish polynomial fitting error from epsilon stabilisation.</w:t>
      </w:r>
    </w:p>
    <w:p>
      <w:pPr>
        <w:widowControl/>
      </w:pPr>
      <w:r>
        <w:t>An unconstrained fit followed by arbitrary clipping is not the specified optimizer. The positivity fit can be expensive, so its cost is a required benchmark result. A faster alternative would need an explicit specification revision rather than an undocumented substitution that changes the history being evaluated.</w:t>
      </w:r>
    </w:p>
    <w:p>
      <w:pPr>
        <w:pStyle w:val="Heading2"/>
      </w:pPr>
      <w:bookmarkStart w:id="1026" w:name="thogopt_section_1026"/>
      <w:r>
        <w:t>6.3 Precision and error reporting</w:t>
      </w:r>
      <w:bookmarkEnd w:id="1026"/>
    </w:p>
    <w:p>
      <w:pPr>
        <w:pStyle w:val="Requirement"/>
        <w:keepLines/>
        <w:widowControl/>
      </w:pPr>
      <w:r>
        <w:rPr>
          <w:b/>
          <w:color w:val="1F4E79"/>
        </w:rPr>
        <w:t>THO-NUM-018</w:t>
      </w:r>
      <w:r>
        <w:rPr>
          <w:color w:val="000000"/>
        </w:rPr>
        <w:t xml:space="preserve">  Persistent moment histories shall use at least FP32 precision.</w:t>
      </w:r>
    </w:p>
    <w:p>
      <w:pPr>
        <w:pStyle w:val="Requirement"/>
        <w:keepLines/>
        <w:widowControl/>
      </w:pPr>
      <w:r>
        <w:rPr>
          <w:b/>
          <w:color w:val="1F4E79"/>
        </w:rPr>
        <w:t>THO-NUM-019</w:t>
      </w:r>
      <w:r>
        <w:rPr>
          <w:color w:val="000000"/>
        </w:rPr>
        <w:t xml:space="preserve">  The correctness reference shall support FP64 arithmetic.</w:t>
      </w:r>
    </w:p>
    <w:p>
      <w:pPr>
        <w:pStyle w:val="Requirement"/>
        <w:keepLines/>
        <w:widowControl/>
      </w:pPr>
      <w:r>
        <w:rPr>
          <w:b/>
          <w:color w:val="1F4E79"/>
        </w:rPr>
        <w:t>THO-NUM-020</w:t>
      </w:r>
      <w:r>
        <w:rPr>
          <w:color w:val="000000"/>
        </w:rPr>
        <w:t xml:space="preserve">  The test suite shall include small denominators, alternating signs and sharply varying layer gradients.</w:t>
      </w:r>
    </w:p>
    <w:p>
      <w:pPr>
        <w:pStyle w:val="Requirement"/>
        <w:keepLines/>
        <w:widowControl/>
      </w:pPr>
      <w:r>
        <w:rPr>
          <w:b/>
          <w:color w:val="1F4E79"/>
        </w:rPr>
        <w:t>THO-NUM-021</w:t>
      </w:r>
      <w:r>
        <w:rPr>
          <w:color w:val="000000"/>
        </w:rPr>
        <w:t xml:space="preserve">  The test suite shall include the cancellation cases exposed by direct polynomial second-moment reconstruction.</w:t>
      </w:r>
    </w:p>
    <w:p>
      <w:pPr>
        <w:pStyle w:val="Requirement"/>
        <w:keepLines/>
        <w:widowControl/>
      </w:pPr>
      <w:r>
        <w:rPr>
          <w:b/>
          <w:color w:val="1F4E79"/>
        </w:rPr>
        <w:t>THO-NUM-022</w:t>
      </w:r>
      <w:r>
        <w:rPr>
          <w:color w:val="000000"/>
        </w:rPr>
        <w:t xml:space="preserve">  All fit, basis and update failures shall identify the affected run, step and parameter family.</w:t>
      </w:r>
    </w:p>
    <w:p>
      <w:pPr>
        <w:pStyle w:val="Requirement"/>
        <w:keepLines/>
        <w:widowControl/>
      </w:pPr>
      <w:r>
        <w:rPr>
          <w:b/>
          <w:color w:val="1F4E79"/>
        </w:rPr>
        <w:t>THO-NUM-023</w:t>
      </w:r>
      <w:r>
        <w:rPr>
          <w:color w:val="000000"/>
        </w:rPr>
        <w:t xml:space="preserve">  The optimizer shall reject non-finite candidate history or update values before committing the step.</w:t>
      </w:r>
    </w:p>
    <w:p>
      <w:pPr>
        <w:pStyle w:val="Heading1"/>
      </w:pPr>
      <w:bookmarkStart w:id="1027" w:name="thogopt_section_1027"/>
      <w:r>
        <w:t>7 Memory, execution cost and integration</w:t>
      </w:r>
      <w:bookmarkEnd w:id="1027"/>
    </w:p>
    <w:p>
      <w:pPr>
        <w:pStyle w:val="Heading2"/>
      </w:pPr>
      <w:bookmarkStart w:id="1028" w:name="thogopt_section_1028"/>
      <w:r>
        <w:t>7.1 Persistent state budget</w:t>
      </w:r>
      <w:bookmarkEnd w:id="1028"/>
    </w:p>
    <w:p>
      <w:pPr>
        <w:widowControl/>
      </w:pPr>
      <w:r>
        <w:t>For one family of N coupling coordinates, the two principal moment tensors contain (H_m + H_v)N values. Current coefficient AdamW contains 2PN moment values and dense AdamW contains 2LN. For P = 16, L = 48 and automatic histories, these are respectively 47N, 32N and 96N. This is a count of moment entries, not a promise about total training VRAM.</w:t>
      </w:r>
    </w:p>
    <w:p>
      <w:pPr>
        <w:pStyle w:val="Requirement"/>
        <w:keepLines/>
        <w:widowControl/>
      </w:pPr>
      <w:r>
        <w:rPr>
          <w:b/>
          <w:color w:val="1F4E79"/>
        </w:rPr>
        <w:t>THO-MEM-001</w:t>
      </w:r>
      <w:r>
        <w:rPr>
          <w:color w:val="000000"/>
        </w:rPr>
        <w:t xml:space="preserve">  Ordinary compressed thogopt execution shall retain only the configured moment representations as its persistent optimizer history for covered families.</w:t>
      </w:r>
    </w:p>
    <w:p>
      <w:pPr>
        <w:pStyle w:val="Requirement"/>
        <w:keepLines/>
        <w:widowControl/>
      </w:pPr>
      <w:r>
        <w:rPr>
          <w:b/>
          <w:color w:val="1F4E79"/>
        </w:rPr>
        <w:t>THO-MEM-002</w:t>
      </w:r>
      <w:r>
        <w:rPr>
          <w:color w:val="000000"/>
        </w:rPr>
        <w:t xml:space="preserve">  Compressed thogopt execution shall not retain a hidden full-layer replica of the moment tensors.</w:t>
      </w:r>
    </w:p>
    <w:p>
      <w:pPr>
        <w:pStyle w:val="Requirement"/>
        <w:keepLines/>
        <w:widowControl/>
      </w:pPr>
      <w:r>
        <w:rPr>
          <w:b/>
          <w:color w:val="1F4E79"/>
        </w:rPr>
        <w:t>THO-MEM-003</w:t>
      </w:r>
      <w:r>
        <w:rPr>
          <w:color w:val="000000"/>
        </w:rPr>
        <w:t xml:space="preserve">  Diagnostic reference state shall be accounted for separately from production optimizer state.</w:t>
      </w:r>
    </w:p>
    <w:p>
      <w:pPr>
        <w:pStyle w:val="Requirement"/>
        <w:keepLines/>
        <w:widowControl/>
      </w:pPr>
      <w:r>
        <w:rPr>
          <w:b/>
          <w:color w:val="1F4E79"/>
        </w:rPr>
        <w:t>THO-MEM-004</w:t>
      </w:r>
      <w:r>
        <w:rPr>
          <w:color w:val="000000"/>
        </w:rPr>
        <w:t xml:space="preserve">  Startup reporting shall estimate bytes for weight coefficients, both histories and shared basis data.</w:t>
      </w:r>
    </w:p>
    <w:p>
      <w:pPr>
        <w:pStyle w:val="Requirement"/>
        <w:keepLines/>
        <w:widowControl/>
      </w:pPr>
      <w:r>
        <w:rPr>
          <w:b/>
          <w:color w:val="1F4E79"/>
        </w:rPr>
        <w:t>THO-MEM-005</w:t>
      </w:r>
      <w:r>
        <w:rPr>
          <w:color w:val="000000"/>
        </w:rPr>
        <w:t xml:space="preserve">  Runtime reporting shall measure peak device memory during the optimizer step.</w:t>
      </w:r>
    </w:p>
    <w:p>
      <w:pPr>
        <w:pStyle w:val="Requirement"/>
        <w:keepLines/>
        <w:widowControl/>
      </w:pPr>
      <w:r>
        <w:rPr>
          <w:b/>
          <w:color w:val="1F4E79"/>
        </w:rPr>
        <w:t>THO-MEM-006</w:t>
      </w:r>
      <w:r>
        <w:rPr>
          <w:color w:val="000000"/>
        </w:rPr>
        <w:t xml:space="preserve">  Runtime reporting shall measure host memory used for gradient staging and diagnostics.</w:t>
      </w:r>
    </w:p>
    <w:p>
      <w:pPr>
        <w:pStyle w:val="Heading2"/>
      </w:pPr>
      <w:bookmarkStart w:id="1029" w:name="thogopt_section_1029"/>
      <w:r>
        <w:t>7.2 Raw-gradient accumulation and bounded workspaces</w:t>
      </w:r>
      <w:bookmarkEnd w:id="1029"/>
    </w:p>
    <w:p>
      <w:pPr>
        <w:widowControl/>
      </w:pPr>
      <w:r>
        <w:t>Capturing raw gradients introduces a real memory and data-movement obligation. In particular, gradient accumulation requires the sum at a layer coordinate before its square can be formed. Streaming microbatch squares into the history would be a different optimizer. Implementations may use bounded device tiles, explicit host staging or recomputation to preserve the required gradient sequence.</w:t>
      </w:r>
    </w:p>
    <w:p>
      <w:pPr>
        <w:pStyle w:val="Requirement"/>
        <w:keepLines/>
        <w:widowControl/>
      </w:pPr>
      <w:r>
        <w:rPr>
          <w:b/>
          <w:color w:val="1F4E79"/>
        </w:rPr>
        <w:t>THO-MEM-007</w:t>
      </w:r>
      <w:r>
        <w:rPr>
          <w:color w:val="000000"/>
        </w:rPr>
        <w:t xml:space="preserve">  The implementation shall document its raw-gradient accumulation strategy before integration is accepted.</w:t>
      </w:r>
    </w:p>
    <w:p>
      <w:pPr>
        <w:pStyle w:val="Requirement"/>
        <w:keepLines/>
        <w:widowControl/>
      </w:pPr>
      <w:r>
        <w:rPr>
          <w:b/>
          <w:color w:val="1F4E79"/>
        </w:rPr>
        <w:t>THO-MEM-008</w:t>
      </w:r>
      <w:r>
        <w:rPr>
          <w:color w:val="000000"/>
        </w:rPr>
        <w:t xml:space="preserve">  The strategy shall specify its peak device workspace bound.</w:t>
      </w:r>
    </w:p>
    <w:p>
      <w:pPr>
        <w:pStyle w:val="Requirement"/>
        <w:keepLines/>
        <w:widowControl/>
      </w:pPr>
      <w:r>
        <w:rPr>
          <w:b/>
          <w:color w:val="1F4E79"/>
        </w:rPr>
        <w:t>THO-MEM-009</w:t>
      </w:r>
      <w:r>
        <w:rPr>
          <w:color w:val="000000"/>
        </w:rPr>
        <w:t xml:space="preserve">  The strategy shall specify its host-storage requirement.</w:t>
      </w:r>
    </w:p>
    <w:p>
      <w:pPr>
        <w:pStyle w:val="Requirement"/>
        <w:keepLines/>
        <w:widowControl/>
      </w:pPr>
      <w:r>
        <w:rPr>
          <w:b/>
          <w:color w:val="1F4E79"/>
        </w:rPr>
        <w:t>THO-MEM-010</w:t>
      </w:r>
      <w:r>
        <w:rPr>
          <w:color w:val="000000"/>
        </w:rPr>
        <w:t xml:space="preserve">  A run shall validate the selected staging strategy against available configured resources before training.</w:t>
      </w:r>
    </w:p>
    <w:p>
      <w:pPr>
        <w:pStyle w:val="Requirement"/>
        <w:keepLines/>
        <w:widowControl/>
      </w:pPr>
      <w:r>
        <w:rPr>
          <w:b/>
          <w:color w:val="1F4E79"/>
        </w:rPr>
        <w:t>THO-MEM-011</w:t>
      </w:r>
      <w:r>
        <w:rPr>
          <w:color w:val="000000"/>
        </w:rPr>
        <w:t xml:space="preserve">  Materialised histories and updates shall be processed in bounded tiles or layer buffers.</w:t>
      </w:r>
    </w:p>
    <w:p>
      <w:pPr>
        <w:pStyle w:val="Requirement"/>
        <w:keepLines/>
        <w:widowControl/>
      </w:pPr>
      <w:r>
        <w:rPr>
          <w:b/>
          <w:color w:val="1F4E79"/>
        </w:rPr>
        <w:t>THO-MEM-012</w:t>
      </w:r>
      <w:r>
        <w:rPr>
          <w:color w:val="000000"/>
        </w:rPr>
        <w:t xml:space="preserve">  The implementation shall avoid a device allocation containing every covered layer's full history simultaneously in compressed mode.</w:t>
      </w:r>
    </w:p>
    <w:p>
      <w:pPr>
        <w:pStyle w:val="Requirement"/>
        <w:keepLines/>
        <w:widowControl/>
      </w:pPr>
      <w:r>
        <w:rPr>
          <w:b/>
          <w:color w:val="1F4E79"/>
        </w:rPr>
        <w:t>THO-MEM-013</w:t>
      </w:r>
      <w:r>
        <w:rPr>
          <w:color w:val="000000"/>
        </w:rPr>
        <w:t xml:space="preserve">  Gradient staging shall release data after the corresponding update transaction no longer needs it.</w:t>
      </w:r>
    </w:p>
    <w:p>
      <w:pPr>
        <w:pStyle w:val="Requirement"/>
        <w:keepLines/>
        <w:widowControl/>
      </w:pPr>
      <w:r>
        <w:rPr>
          <w:b/>
          <w:color w:val="1F4E79"/>
        </w:rPr>
        <w:t>THO-MEM-014</w:t>
      </w:r>
      <w:r>
        <w:rPr>
          <w:color w:val="000000"/>
        </w:rPr>
        <w:t xml:space="preserve">  Distributed reduction shall preserve the gradient semantics of section 5.1 under the selected staging strategy.</w:t>
      </w:r>
    </w:p>
    <w:p>
      <w:pPr>
        <w:pStyle w:val="Heading2"/>
      </w:pPr>
      <w:bookmarkStart w:id="1030" w:name="thogopt_section_1030"/>
      <w:r>
        <w:t>7.3 Measured cost rather than assumed savings</w:t>
      </w:r>
      <w:bookmarkEnd w:id="1030"/>
    </w:p>
    <w:p>
      <w:pPr>
        <w:pStyle w:val="Requirement"/>
        <w:keepLines/>
        <w:widowControl/>
      </w:pPr>
      <w:r>
        <w:rPr>
          <w:b/>
          <w:color w:val="1F4E79"/>
        </w:rPr>
        <w:t>THO-PERF-001</w:t>
      </w:r>
      <w:r>
        <w:rPr>
          <w:color w:val="000000"/>
        </w:rPr>
        <w:t xml:space="preserve">  Benchmark reporting shall separate forward/backward time from optimizer time.</w:t>
      </w:r>
    </w:p>
    <w:p>
      <w:pPr>
        <w:pStyle w:val="Requirement"/>
        <w:keepLines/>
        <w:widowControl/>
      </w:pPr>
      <w:r>
        <w:rPr>
          <w:b/>
          <w:color w:val="1F4E79"/>
        </w:rPr>
        <w:t>THO-PERF-002</w:t>
      </w:r>
      <w:r>
        <w:rPr>
          <w:color w:val="000000"/>
        </w:rPr>
        <w:t xml:space="preserve">  Benchmark reporting shall identify time spent fitting histories.</w:t>
      </w:r>
    </w:p>
    <w:p>
      <w:pPr>
        <w:pStyle w:val="Requirement"/>
        <w:keepLines/>
        <w:widowControl/>
      </w:pPr>
      <w:r>
        <w:rPr>
          <w:b/>
          <w:color w:val="1F4E79"/>
        </w:rPr>
        <w:t>THO-PERF-003</w:t>
      </w:r>
      <w:r>
        <w:rPr>
          <w:color w:val="000000"/>
        </w:rPr>
        <w:t xml:space="preserve">  Benchmark reporting shall identify time spent staging or recomputing raw gradients.</w:t>
      </w:r>
    </w:p>
    <w:p>
      <w:pPr>
        <w:pStyle w:val="Requirement"/>
        <w:keepLines/>
        <w:widowControl/>
      </w:pPr>
      <w:r>
        <w:rPr>
          <w:b/>
          <w:color w:val="1F4E79"/>
        </w:rPr>
        <w:t>THO-PERF-004</w:t>
      </w:r>
      <w:r>
        <w:rPr>
          <w:color w:val="000000"/>
        </w:rPr>
        <w:t xml:space="preserve">  Benchmark reporting shall include sustained tokens per second.</w:t>
      </w:r>
    </w:p>
    <w:p>
      <w:pPr>
        <w:pStyle w:val="Requirement"/>
        <w:keepLines/>
        <w:widowControl/>
      </w:pPr>
      <w:r>
        <w:rPr>
          <w:b/>
          <w:color w:val="1F4E79"/>
        </w:rPr>
        <w:t>THO-PERF-005</w:t>
      </w:r>
      <w:r>
        <w:rPr>
          <w:color w:val="000000"/>
        </w:rPr>
        <w:t xml:space="preserve">  Benchmark reporting shall identify the instrumentation capture configuration.</w:t>
      </w:r>
    </w:p>
    <w:p>
      <w:pPr>
        <w:pStyle w:val="Requirement"/>
        <w:keepLines/>
        <w:widowControl/>
      </w:pPr>
      <w:r>
        <w:rPr>
          <w:b/>
          <w:color w:val="1F4E79"/>
        </w:rPr>
        <w:t>THO-PERF-006</w:t>
      </w:r>
      <w:r>
        <w:rPr>
          <w:color w:val="000000"/>
        </w:rPr>
        <w:t xml:space="preserve">  Timing comparisons shall use equivalent workload and synchronisation conventions.</w:t>
      </w:r>
    </w:p>
    <w:p>
      <w:pPr>
        <w:pStyle w:val="Requirement"/>
        <w:keepLines/>
        <w:widowControl/>
      </w:pPr>
      <w:r>
        <w:rPr>
          <w:b/>
          <w:color w:val="1F4E79"/>
        </w:rPr>
        <w:t>THO-PERF-007</w:t>
      </w:r>
      <w:r>
        <w:rPr>
          <w:color w:val="000000"/>
        </w:rPr>
        <w:t xml:space="preserve">  Default compressed-mode acceptance shall require measured optimizer-state savings relative to dense AdamW for the declared P &lt; L benchmark.</w:t>
      </w:r>
    </w:p>
    <w:p>
      <w:pPr>
        <w:pStyle w:val="Heading1"/>
      </w:pPr>
      <w:bookmarkStart w:id="1031" w:name="thogopt_section_1031"/>
      <w:r>
        <w:t>8 Persistence, restart and compatibility</w:t>
      </w:r>
      <w:bookmarkEnd w:id="1031"/>
    </w:p>
    <w:p>
      <w:pPr>
        <w:pStyle w:val="Heading2"/>
      </w:pPr>
      <w:bookmarkStart w:id="1032" w:name="thogopt_section_1032"/>
      <w:r>
        <w:t>8.1 Checkpoint contents</w:t>
      </w:r>
      <w:bookmarkEnd w:id="1032"/>
    </w:p>
    <w:p>
      <w:pPr>
        <w:widowControl/>
      </w:pPr>
      <w:r>
        <w:t>A checkpoint must preserve the history meaning, not just tensors with compatible shapes. Restoring a different basis, layer grid or history order silently would change the optimizer. The existing run and snapshot infrastructure should remain the source of run identity and initialisation provenance.</w:t>
      </w:r>
    </w:p>
    <w:p>
      <w:pPr>
        <w:pStyle w:val="Requirement"/>
        <w:keepLines/>
        <w:widowControl/>
      </w:pPr>
      <w:r>
        <w:rPr>
          <w:b/>
          <w:color w:val="1F4E79"/>
        </w:rPr>
        <w:t>THO-SAVE-001</w:t>
      </w:r>
      <w:r>
        <w:rPr>
          <w:color w:val="000000"/>
        </w:rPr>
        <w:t xml:space="preserve">  A thogopt checkpoint shall include both history coefficient tensors.</w:t>
      </w:r>
    </w:p>
    <w:p>
      <w:pPr>
        <w:pStyle w:val="Requirement"/>
        <w:keepLines/>
        <w:widowControl/>
      </w:pPr>
      <w:r>
        <w:rPr>
          <w:b/>
          <w:color w:val="1F4E79"/>
        </w:rPr>
        <w:t>THO-SAVE-002</w:t>
      </w:r>
      <w:r>
        <w:rPr>
          <w:color w:val="000000"/>
        </w:rPr>
        <w:t xml:space="preserve">  A thogopt checkpoint shall include each committed-update counter.</w:t>
      </w:r>
    </w:p>
    <w:p>
      <w:pPr>
        <w:pStyle w:val="Requirement"/>
        <w:keepLines/>
        <w:widowControl/>
      </w:pPr>
      <w:r>
        <w:rPr>
          <w:b/>
          <w:color w:val="1F4E79"/>
        </w:rPr>
        <w:t>THO-SAVE-003</w:t>
      </w:r>
      <w:r>
        <w:rPr>
          <w:color w:val="000000"/>
        </w:rPr>
        <w:t xml:space="preserve">  A thogopt checkpoint shall include the requested and effective history settings.</w:t>
      </w:r>
    </w:p>
    <w:p>
      <w:pPr>
        <w:pStyle w:val="Requirement"/>
        <w:keepLines/>
        <w:widowControl/>
      </w:pPr>
      <w:r>
        <w:rPr>
          <w:b/>
          <w:color w:val="1F4E79"/>
        </w:rPr>
        <w:t>THO-SAVE-004</w:t>
      </w:r>
      <w:r>
        <w:rPr>
          <w:color w:val="000000"/>
        </w:rPr>
        <w:t xml:space="preserve">  A thogopt checkpoint shall include the history-basis identities.</w:t>
      </w:r>
    </w:p>
    <w:p>
      <w:pPr>
        <w:pStyle w:val="Requirement"/>
        <w:keepLines/>
        <w:widowControl/>
      </w:pPr>
      <w:r>
        <w:rPr>
          <w:b/>
          <w:color w:val="1F4E79"/>
        </w:rPr>
        <w:t>THO-SAVE-005</w:t>
      </w:r>
      <w:r>
        <w:rPr>
          <w:color w:val="000000"/>
        </w:rPr>
        <w:t xml:space="preserve">  A thogopt checkpoint shall include the numerical fitting convention and its schema version.</w:t>
      </w:r>
    </w:p>
    <w:p>
      <w:pPr>
        <w:pStyle w:val="Requirement"/>
        <w:keepLines/>
        <w:widowControl/>
      </w:pPr>
      <w:r>
        <w:rPr>
          <w:b/>
          <w:color w:val="1F4E79"/>
        </w:rPr>
        <w:t>THO-SAVE-006</w:t>
      </w:r>
      <w:r>
        <w:rPr>
          <w:color w:val="000000"/>
        </w:rPr>
        <w:t xml:space="preserve">  A checkpoint shall be taken at a completed optimizer-step boundary.</w:t>
      </w:r>
    </w:p>
    <w:p>
      <w:pPr>
        <w:pStyle w:val="Requirement"/>
        <w:keepLines/>
        <w:widowControl/>
      </w:pPr>
      <w:r>
        <w:rPr>
          <w:b/>
          <w:color w:val="1F4E79"/>
        </w:rPr>
        <w:t>THO-SAVE-007</w:t>
      </w:r>
      <w:r>
        <w:rPr>
          <w:color w:val="000000"/>
        </w:rPr>
        <w:t xml:space="preserve">  Resume validation shall reject incompatible history shapes or basis identities.</w:t>
      </w:r>
    </w:p>
    <w:p>
      <w:pPr>
        <w:pStyle w:val="Requirement"/>
        <w:keepLines/>
        <w:widowControl/>
      </w:pPr>
      <w:r>
        <w:rPr>
          <w:b/>
          <w:color w:val="1F4E79"/>
        </w:rPr>
        <w:t>THO-SAVE-008</w:t>
      </w:r>
      <w:r>
        <w:rPr>
          <w:color w:val="000000"/>
        </w:rPr>
        <w:t xml:space="preserve">  An unchanged-configuration resume shall reproduce uninterrupted thogopt execution within the declared tolerance.</w:t>
      </w:r>
    </w:p>
    <w:p>
      <w:pPr>
        <w:pStyle w:val="Heading2"/>
      </w:pPr>
      <w:bookmarkStart w:id="1033" w:name="thogopt_section_1033"/>
      <w:r>
        <w:t>8.2 Initialisation and optimizer changes</w:t>
      </w:r>
      <w:bookmarkEnd w:id="1033"/>
    </w:p>
    <w:p>
      <w:pPr>
        <w:pStyle w:val="Requirement"/>
        <w:keepLines/>
        <w:widowControl/>
      </w:pPr>
      <w:r>
        <w:rPr>
          <w:b/>
          <w:color w:val="1F4E79"/>
        </w:rPr>
        <w:t>THO-SAVE-009</w:t>
      </w:r>
      <w:r>
        <w:rPr>
          <w:color w:val="000000"/>
        </w:rPr>
        <w:t xml:space="preserve">  thogopt shall support the existing DENSE-snapshot model initialisation workflow.</w:t>
      </w:r>
    </w:p>
    <w:p>
      <w:pPr>
        <w:pStyle w:val="Requirement"/>
        <w:keepLines/>
        <w:widowControl/>
      </w:pPr>
      <w:r>
        <w:rPr>
          <w:b/>
          <w:color w:val="1F4E79"/>
        </w:rPr>
        <w:t>THO-SAVE-010</w:t>
      </w:r>
      <w:r>
        <w:rPr>
          <w:color w:val="000000"/>
        </w:rPr>
        <w:t xml:space="preserve">  A weights-only initialisation shall start new optimizer histories at zero.</w:t>
      </w:r>
    </w:p>
    <w:p>
      <w:pPr>
        <w:pStyle w:val="Requirement"/>
        <w:keepLines/>
        <w:widowControl/>
      </w:pPr>
      <w:r>
        <w:rPr>
          <w:b/>
          <w:color w:val="1F4E79"/>
        </w:rPr>
        <w:t>THO-SAVE-011</w:t>
      </w:r>
      <w:r>
        <w:rPr>
          <w:color w:val="000000"/>
        </w:rPr>
        <w:t xml:space="preserve">  A switch from coefficient AdamW to thogopt shall not claim recovery of missing raw layer second-moment history.</w:t>
      </w:r>
    </w:p>
    <w:p>
      <w:pPr>
        <w:pStyle w:val="Requirement"/>
        <w:keepLines/>
        <w:widowControl/>
      </w:pPr>
      <w:r>
        <w:rPr>
          <w:b/>
          <w:color w:val="1F4E79"/>
        </w:rPr>
        <w:t>THO-SAVE-012</w:t>
      </w:r>
      <w:r>
        <w:rPr>
          <w:color w:val="000000"/>
        </w:rPr>
        <w:t xml:space="preserve">  An optimizer-state reset shall be explicit in run metadata.</w:t>
      </w:r>
    </w:p>
    <w:p>
      <w:pPr>
        <w:pStyle w:val="Requirement"/>
        <w:keepLines/>
        <w:widowControl/>
      </w:pPr>
      <w:r>
        <w:rPr>
          <w:b/>
          <w:color w:val="1F4E79"/>
        </w:rPr>
        <w:t>THO-SAVE-013</w:t>
      </w:r>
      <w:r>
        <w:rPr>
          <w:color w:val="000000"/>
        </w:rPr>
        <w:t xml:space="preserve">  Changing either history size on an existing checkpoint shall require a fork or an explicit optimizer-state reset.</w:t>
      </w:r>
    </w:p>
    <w:p>
      <w:pPr>
        <w:pStyle w:val="Requirement"/>
        <w:keepLines/>
        <w:widowControl/>
      </w:pPr>
      <w:r>
        <w:rPr>
          <w:b/>
          <w:color w:val="1F4E79"/>
        </w:rPr>
        <w:t>THO-SAVE-014</w:t>
      </w:r>
      <w:r>
        <w:rPr>
          <w:color w:val="000000"/>
        </w:rPr>
        <w:t xml:space="preserve">  An ordinary resume shall reject a requested history-size change.</w:t>
      </w:r>
    </w:p>
    <w:p>
      <w:pPr>
        <w:pStyle w:val="Requirement"/>
        <w:keepLines/>
        <w:widowControl/>
      </w:pPr>
      <w:r>
        <w:rPr>
          <w:b/>
          <w:color w:val="1F4E79"/>
        </w:rPr>
        <w:t>THO-SAVE-015</w:t>
      </w:r>
      <w:r>
        <w:rPr>
          <w:color w:val="000000"/>
        </w:rPr>
        <w:t xml:space="preserve">  A fork that resets optimizer histories shall restart their bias-correction counters.</w:t>
      </w:r>
    </w:p>
    <w:p>
      <w:pPr>
        <w:pStyle w:val="Requirement"/>
        <w:keepLines/>
        <w:widowControl/>
      </w:pPr>
      <w:r>
        <w:rPr>
          <w:b/>
          <w:color w:val="1F4E79"/>
        </w:rPr>
        <w:t>THO-SAVE-016</w:t>
      </w:r>
      <w:r>
        <w:rPr>
          <w:color w:val="000000"/>
        </w:rPr>
        <w:t xml:space="preserve">  Existing checkpoints without thogopt state shall remain loadable through their existing compatible paths.</w:t>
      </w:r>
    </w:p>
    <w:p>
      <w:pPr>
        <w:pStyle w:val="Heading1"/>
      </w:pPr>
      <w:bookmarkStart w:id="1034" w:name="thogopt_section_1034"/>
      <w:r>
        <w:t>9 AdamW reference monitoring</w:t>
      </w:r>
      <w:bookmarkEnd w:id="1034"/>
    </w:p>
    <w:p>
      <w:pPr>
        <w:pStyle w:val="Heading2"/>
      </w:pPr>
      <w:bookmarkStart w:id="1035" w:name="thogopt_section_1035"/>
      <w:r>
        <w:t>9.1 Reference on the same gradient sequence</w:t>
      </w:r>
      <w:bookmarkEnd w:id="1035"/>
    </w:p>
    <w:p>
      <w:pPr>
        <w:widowControl/>
      </w:pPr>
      <w:r>
        <w:t>The controlled diagnostic maintains ordinary uncompressed AdamW moment values for selected coupling coordinates across all layers. It receives the same raw G_t values as thogopt, including the same accumulation, reduction and clipping. Its proposed updates are observed but never applied to the model. This gives a reference for approximation error along the actual thogopt trajectory.</w:t>
      </w:r>
    </w:p>
    <w:p>
      <w:pPr>
        <w:pStyle w:val="Requirement"/>
        <w:keepLines/>
        <w:widowControl/>
      </w:pPr>
      <w:r>
        <w:rPr>
          <w:b/>
          <w:color w:val="1F4E79"/>
        </w:rPr>
        <w:t>THO-REF-001</w:t>
      </w:r>
      <w:r>
        <w:rPr>
          <w:color w:val="000000"/>
        </w:rPr>
        <w:t xml:space="preserve">  Instrumentation shall support an uncompressed AdamW reference for the recorded coupling pairs.</w:t>
      </w:r>
    </w:p>
    <w:p>
      <w:pPr>
        <w:pStyle w:val="Requirement"/>
        <w:keepLines/>
        <w:widowControl/>
      </w:pPr>
      <w:r>
        <w:rPr>
          <w:b/>
          <w:color w:val="1F4E79"/>
        </w:rPr>
        <w:t>THO-REF-002</w:t>
      </w:r>
      <w:r>
        <w:rPr>
          <w:color w:val="000000"/>
        </w:rPr>
        <w:t xml:space="preserve">  The reference shall update on every committed optimizer step while it is active.</w:t>
      </w:r>
    </w:p>
    <w:p>
      <w:pPr>
        <w:pStyle w:val="Requirement"/>
        <w:keepLines/>
        <w:widowControl/>
      </w:pPr>
      <w:r>
        <w:rPr>
          <w:b/>
          <w:color w:val="1F4E79"/>
        </w:rPr>
        <w:t>THO-REF-003</w:t>
      </w:r>
      <w:r>
        <w:rPr>
          <w:color w:val="000000"/>
        </w:rPr>
        <w:t xml:space="preserve">  The reference shall use the same beta values, epsilon and step-counter origin as the compared thogopt histories.</w:t>
      </w:r>
    </w:p>
    <w:p>
      <w:pPr>
        <w:pStyle w:val="Requirement"/>
        <w:keepLines/>
        <w:widowControl/>
      </w:pPr>
      <w:r>
        <w:rPr>
          <w:b/>
          <w:color w:val="1F4E79"/>
        </w:rPr>
        <w:t>THO-REF-004</w:t>
      </w:r>
      <w:r>
        <w:rPr>
          <w:color w:val="000000"/>
        </w:rPr>
        <w:t xml:space="preserve">  The reference shall never modify training parameters.</w:t>
      </w:r>
    </w:p>
    <w:p>
      <w:pPr>
        <w:pStyle w:val="Requirement"/>
        <w:keepLines/>
        <w:widowControl/>
      </w:pPr>
      <w:r>
        <w:rPr>
          <w:b/>
          <w:color w:val="1F4E79"/>
        </w:rPr>
        <w:t>THO-REF-005</w:t>
      </w:r>
      <w:r>
        <w:rPr>
          <w:color w:val="000000"/>
        </w:rPr>
        <w:t xml:space="preserve">  The reference shall not influence thogopt fitting, clipping or step acceptance.</w:t>
      </w:r>
    </w:p>
    <w:p>
      <w:pPr>
        <w:pStyle w:val="Requirement"/>
        <w:keepLines/>
        <w:widowControl/>
      </w:pPr>
      <w:r>
        <w:rPr>
          <w:b/>
          <w:color w:val="1F4E79"/>
        </w:rPr>
        <w:t>THO-REF-006</w:t>
      </w:r>
      <w:r>
        <w:rPr>
          <w:color w:val="000000"/>
        </w:rPr>
        <w:t xml:space="preserve">  Reference capture shall retain the original matrix/head/row/column identity of each recorded pair.</w:t>
      </w:r>
    </w:p>
    <w:p>
      <w:pPr>
        <w:pStyle w:val="Requirement"/>
        <w:keepLines/>
        <w:widowControl/>
      </w:pPr>
      <w:r>
        <w:rPr>
          <w:b/>
          <w:color w:val="1F4E79"/>
        </w:rPr>
        <w:t>THO-REF-007</w:t>
      </w:r>
      <w:r>
        <w:rPr>
          <w:color w:val="000000"/>
        </w:rPr>
        <w:t xml:space="preserve">  A reference started after optimizer initialisation shall be labelled with its later history origin.</w:t>
      </w:r>
    </w:p>
    <w:p>
      <w:pPr>
        <w:pStyle w:val="Requirement"/>
        <w:keepLines/>
        <w:widowControl/>
      </w:pPr>
      <w:r>
        <w:rPr>
          <w:b/>
          <w:color w:val="1F4E79"/>
        </w:rPr>
        <w:t>THO-REF-008</w:t>
      </w:r>
      <w:r>
        <w:rPr>
          <w:color w:val="000000"/>
        </w:rPr>
        <w:t xml:space="preserve">  A reference with a different history origin shall not be labelled an exact reconstruction baseline.</w:t>
      </w:r>
    </w:p>
    <w:p>
      <w:pPr>
        <w:pStyle w:val="Requirement"/>
        <w:keepLines/>
        <w:widowControl/>
      </w:pPr>
      <w:r>
        <w:rPr>
          <w:b/>
          <w:color w:val="1F4E79"/>
        </w:rPr>
        <w:t>THO-REF-009</w:t>
      </w:r>
      <w:r>
        <w:rPr>
          <w:color w:val="000000"/>
        </w:rPr>
        <w:t xml:space="preserve">  Resume shall preserve active sampled reference histories when continuous reference comparison is requested.</w:t>
      </w:r>
    </w:p>
    <w:p>
      <w:pPr>
        <w:pStyle w:val="Heading2"/>
      </w:pPr>
      <w:bookmarkStart w:id="1036" w:name="thogopt_section_1036"/>
      <w:r>
        <w:t>9.2 Separate AdamW runs and available data</w:t>
      </w:r>
      <w:bookmarkEnd w:id="1036"/>
    </w:p>
    <w:p>
      <w:pPr>
        <w:widowControl/>
      </w:pPr>
      <w:r>
        <w:t>Actual dense AdamW first- and second-moment tensors are available in optimizer state [4]. They can be captured prospectively at the existing instrumentation cadence. A separate AdamW run supplies the values used along that run's own trajectory. Once its weights diverge from thogopt, differences include changed gradients as well as optimizer-history effects.</w:t>
      </w:r>
    </w:p>
    <w:p>
      <w:pPr>
        <w:pStyle w:val="Requirement"/>
        <w:keepLines/>
        <w:widowControl/>
      </w:pPr>
      <w:r>
        <w:rPr>
          <w:b/>
          <w:color w:val="1F4E79"/>
        </w:rPr>
        <w:t>THO-REF-010</w:t>
      </w:r>
      <w:r>
        <w:rPr>
          <w:color w:val="000000"/>
        </w:rPr>
        <w:t xml:space="preserve">  Dense AdamW instrumentation shall support capture of first- and second-moment values for the same recorded coupling pairs.</w:t>
      </w:r>
    </w:p>
    <w:p>
      <w:pPr>
        <w:pStyle w:val="Requirement"/>
        <w:keepLines/>
        <w:widowControl/>
      </w:pPr>
      <w:r>
        <w:rPr>
          <w:b/>
          <w:color w:val="1F4E79"/>
        </w:rPr>
        <w:t>THO-REF-011</w:t>
      </w:r>
      <w:r>
        <w:rPr>
          <w:color w:val="000000"/>
        </w:rPr>
        <w:t xml:space="preserve">  Every reference record shall identify whether it came from the same-gradient diagnostic or a separate training run.</w:t>
      </w:r>
    </w:p>
    <w:p>
      <w:pPr>
        <w:pStyle w:val="Requirement"/>
        <w:keepLines/>
        <w:widowControl/>
      </w:pPr>
      <w:r>
        <w:rPr>
          <w:b/>
          <w:color w:val="1F4E79"/>
        </w:rPr>
        <w:t>THO-REF-012</w:t>
      </w:r>
      <w:r>
        <w:rPr>
          <w:color w:val="000000"/>
        </w:rPr>
        <w:t xml:space="preserve">  A separate-run difference shall not be labelled solely as history-compression error.</w:t>
      </w:r>
    </w:p>
    <w:p>
      <w:pPr>
        <w:pStyle w:val="Requirement"/>
        <w:keepLines/>
        <w:widowControl/>
      </w:pPr>
      <w:r>
        <w:rPr>
          <w:b/>
          <w:color w:val="1F4E79"/>
        </w:rPr>
        <w:t>THO-REF-013</w:t>
      </w:r>
      <w:r>
        <w:rPr>
          <w:color w:val="000000"/>
        </w:rPr>
        <w:t xml:space="preserve">  Missing optimizer-history data from older runs shall be displayed as unavailable.</w:t>
      </w:r>
    </w:p>
    <w:p>
      <w:pPr>
        <w:pStyle w:val="Requirement"/>
        <w:keepLines/>
        <w:widowControl/>
      </w:pPr>
      <w:r>
        <w:rPr>
          <w:b/>
          <w:color w:val="1F4E79"/>
        </w:rPr>
        <w:t>THO-REF-014</w:t>
      </w:r>
      <w:r>
        <w:rPr>
          <w:color w:val="000000"/>
        </w:rPr>
        <w:t xml:space="preserve">  Instrumentation shall not infer dense layer second moments by materialising coefficient AdamW's diagonal second-moment tensor as if it were a weight tensor.</w:t>
      </w:r>
    </w:p>
    <w:p>
      <w:pPr>
        <w:pStyle w:val="Heading2"/>
      </w:pPr>
      <w:bookmarkStart w:id="1037" w:name="thogopt_section_1037"/>
      <w:r>
        <w:t>9.3 Quantities and differences</w:t>
      </w:r>
      <w:bookmarkEnd w:id="1037"/>
    </w:p>
    <w:tbl>
      <w:tblPr>
        <w:jc w:val="left"/>
        <w:tblLook w:firstColumn="1" w:firstRow="1" w:lastColumn="0" w:lastRow="0" w:noHBand="0" w:noVBand="1" w:val="04A0"/>
        <w:tblW w:w="9398" w:type="dxa"/>
        <w:tblInd w:w="110" w:type="dxa"/>
        <w:tblLayout w:type="fixed"/>
        <w:tblBorders>
          <w:top w:val="single" w:sz="4" w:color="C7C7C7"/>
          <w:left w:val="single" w:sz="4" w:color="C7C7C7"/>
          <w:bottom w:val="single" w:sz="4" w:color="C7C7C7"/>
          <w:right w:val="single" w:sz="4" w:color="C7C7C7"/>
          <w:insideH w:val="single" w:sz="4" w:color="C7C7C7"/>
          <w:insideV w:val="single" w:sz="4" w:color="C7C7C7"/>
        </w:tblBorders>
      </w:tblPr>
      <w:tblGrid>
        <w:gridCol w:w="3100"/>
        <w:gridCol w:w="6298"/>
      </w:tblGrid>
      <w:tr>
        <w:trPr>
          <w:cantSplit/>
          <w:tblHeader/>
        </w:trPr>
        <w:tc>
          <w:tcPr>
            <w:tcW w:type="dxa" w:w="3100"/>
            <w:vAlign w:val="center"/>
            <w:tcMar>
              <w:top w:w="95" w:type="dxa"/>
              <w:start w:w="110" w:type="dxa"/>
              <w:bottom w:w="95" w:type="dxa"/>
              <w:end w:w="110" w:type="dxa"/>
            </w:tcMar>
            <w:shd w:val="clear" w:fill="D9EAF7"/>
          </w:tcPr>
          <w:p>
            <w:pPr>
              <w:pStyle w:val="TableText"/>
              <w:keepLines/>
            </w:pPr>
            <w:r>
              <w:rPr>
                <w:b/>
                <w:color w:val="203040"/>
                <w:sz w:val="18"/>
              </w:rPr>
              <w:t>Quantity</w:t>
            </w:r>
          </w:p>
        </w:tc>
        <w:tc>
          <w:tcPr>
            <w:tcW w:type="dxa" w:w="6298"/>
            <w:vAlign w:val="center"/>
            <w:tcMar>
              <w:top w:w="95" w:type="dxa"/>
              <w:start w:w="110" w:type="dxa"/>
              <w:bottom w:w="95" w:type="dxa"/>
              <w:end w:w="110" w:type="dxa"/>
            </w:tcMar>
            <w:shd w:val="clear" w:fill="D9EAF7"/>
          </w:tcPr>
          <w:p>
            <w:pPr>
              <w:pStyle w:val="TableText"/>
              <w:keepLines/>
            </w:pPr>
            <w:r>
              <w:rPr>
                <w:b/>
                <w:color w:val="203040"/>
                <w:sz w:val="18"/>
              </w:rPr>
              <w:t>Definition or interpretation</w:t>
            </w:r>
          </w:p>
        </w:tc>
      </w:tr>
      <w:tr>
        <w:trPr>
          <w:cantSplit/>
        </w:trPr>
        <w:tc>
          <w:tcPr>
            <w:tcW w:type="dxa" w:w="3100"/>
            <w:vAlign w:val="center"/>
            <w:tcMar>
              <w:top w:w="95" w:type="dxa"/>
              <w:start w:w="110" w:type="dxa"/>
              <w:bottom w:w="95" w:type="dxa"/>
              <w:end w:w="110" w:type="dxa"/>
            </w:tcMar>
          </w:tcPr>
          <w:p>
            <w:pPr>
              <w:pStyle w:val="TableText"/>
              <w:keepLines/>
            </w:pPr>
            <w:r>
              <w:rPr>
                <w:b w:val="0"/>
                <w:color w:val="203040"/>
                <w:sz w:val="18"/>
              </w:rPr>
              <w:t>Uncorrected moments</w:t>
            </w:r>
          </w:p>
        </w:tc>
        <w:tc>
          <w:tcPr>
            <w:tcW w:type="dxa" w:w="6298"/>
            <w:vAlign w:val="center"/>
            <w:tcMar>
              <w:top w:w="95" w:type="dxa"/>
              <w:start w:w="110" w:type="dxa"/>
              <w:bottom w:w="95" w:type="dxa"/>
              <w:end w:w="110" w:type="dxa"/>
            </w:tcMar>
          </w:tcPr>
          <w:p>
            <w:pPr>
              <w:pStyle w:val="TableText"/>
              <w:keepLines/>
            </w:pPr>
            <w:r>
              <w:rPr>
                <w:b w:val="0"/>
                <w:color w:val="203040"/>
                <w:sz w:val="18"/>
              </w:rPr>
              <w:t>M_t and V_t before startup bias correction; stored compactly as A_m and A_v.</w:t>
            </w:r>
          </w:p>
        </w:tc>
      </w:tr>
      <w:tr>
        <w:trPr>
          <w:cantSplit/>
        </w:trPr>
        <w:tc>
          <w:tcPr>
            <w:tcW w:type="dxa" w:w="3100"/>
            <w:vAlign w:val="center"/>
            <w:tcMar>
              <w:top w:w="95" w:type="dxa"/>
              <w:start w:w="110" w:type="dxa"/>
              <w:bottom w:w="95" w:type="dxa"/>
              <w:end w:w="110" w:type="dxa"/>
            </w:tcMar>
            <w:shd w:val="clear" w:fill="F2F2F2"/>
          </w:tcPr>
          <w:p>
            <w:pPr>
              <w:pStyle w:val="TableText"/>
              <w:keepLines/>
            </w:pPr>
            <w:r>
              <w:rPr>
                <w:b w:val="0"/>
                <w:color w:val="203040"/>
                <w:sz w:val="18"/>
              </w:rPr>
              <w:t>Corrected moments</w:t>
            </w:r>
          </w:p>
        </w:tc>
        <w:tc>
          <w:tcPr>
            <w:tcW w:type="dxa" w:w="6298"/>
            <w:vAlign w:val="center"/>
            <w:tcMar>
              <w:top w:w="95" w:type="dxa"/>
              <w:start w:w="110" w:type="dxa"/>
              <w:bottom w:w="95" w:type="dxa"/>
              <w:end w:w="110" w:type="dxa"/>
            </w:tcMar>
            <w:shd w:val="clear" w:fill="F2F2F2"/>
          </w:tcPr>
          <w:p>
            <w:pPr>
              <w:pStyle w:val="TableText"/>
              <w:keepLines/>
            </w:pPr>
            <w:r>
              <w:rPr>
                <w:b w:val="0"/>
                <w:color w:val="203040"/>
                <w:sz w:val="18"/>
              </w:rPr>
              <w:t>M_hat_t and V_hat_t used by the optimizer.</w:t>
            </w:r>
          </w:p>
        </w:tc>
      </w:tr>
      <w:tr>
        <w:trPr>
          <w:cantSplit/>
        </w:trPr>
        <w:tc>
          <w:tcPr>
            <w:tcW w:type="dxa" w:w="3100"/>
            <w:vAlign w:val="center"/>
            <w:tcMar>
              <w:top w:w="95" w:type="dxa"/>
              <w:start w:w="110" w:type="dxa"/>
              <w:bottom w:w="95" w:type="dxa"/>
              <w:end w:w="110" w:type="dxa"/>
            </w:tcMar>
          </w:tcPr>
          <w:p>
            <w:pPr>
              <w:pStyle w:val="TableText"/>
              <w:keepLines/>
            </w:pPr>
            <w:r>
              <w:rPr>
                <w:b w:val="0"/>
                <w:color w:val="203040"/>
                <w:sz w:val="18"/>
              </w:rPr>
              <w:t>RMS</w:t>
            </w:r>
          </w:p>
        </w:tc>
        <w:tc>
          <w:tcPr>
            <w:tcW w:type="dxa" w:w="6298"/>
            <w:vAlign w:val="center"/>
            <w:tcMar>
              <w:top w:w="95" w:type="dxa"/>
              <w:start w:w="110" w:type="dxa"/>
              <w:bottom w:w="95" w:type="dxa"/>
              <w:end w:w="110" w:type="dxa"/>
            </w:tcMar>
          </w:tcPr>
          <w:p>
            <w:pPr>
              <w:pStyle w:val="TableText"/>
              <w:keepLines/>
            </w:pPr>
            <w:r>
              <w:rPr>
                <w:b w:val="0"/>
                <w:color w:val="203040"/>
                <w:sz w:val="18"/>
              </w:rPr>
              <w:t>sqrt(V_hat_t).</w:t>
            </w:r>
          </w:p>
        </w:tc>
      </w:tr>
      <w:tr>
        <w:trPr>
          <w:cantSplit/>
        </w:trPr>
        <w:tc>
          <w:tcPr>
            <w:tcW w:type="dxa" w:w="3100"/>
            <w:vAlign w:val="center"/>
            <w:tcMar>
              <w:top w:w="95" w:type="dxa"/>
              <w:start w:w="110" w:type="dxa"/>
              <w:bottom w:w="95" w:type="dxa"/>
              <w:end w:w="110" w:type="dxa"/>
            </w:tcMar>
            <w:shd w:val="clear" w:fill="F2F2F2"/>
          </w:tcPr>
          <w:p>
            <w:pPr>
              <w:pStyle w:val="TableText"/>
              <w:keepLines/>
            </w:pPr>
            <w:r>
              <w:rPr>
                <w:b w:val="0"/>
                <w:color w:val="203040"/>
                <w:sz w:val="18"/>
              </w:rPr>
              <w:t>Scaling factor</w:t>
            </w:r>
          </w:p>
        </w:tc>
        <w:tc>
          <w:tcPr>
            <w:tcW w:type="dxa" w:w="6298"/>
            <w:vAlign w:val="center"/>
            <w:tcMar>
              <w:top w:w="95" w:type="dxa"/>
              <w:start w:w="110" w:type="dxa"/>
              <w:bottom w:w="95" w:type="dxa"/>
              <w:end w:w="110" w:type="dxa"/>
            </w:tcMar>
            <w:shd w:val="clear" w:fill="F2F2F2"/>
          </w:tcPr>
          <w:p>
            <w:pPr>
              <w:pStyle w:val="TableText"/>
              <w:keepLines/>
            </w:pPr>
            <w:r>
              <w:rPr>
                <w:b w:val="0"/>
                <w:color w:val="203040"/>
                <w:sz w:val="18"/>
              </w:rPr>
              <w:t>1 / (sqrt(V_hat_t) + epsilon), excluding learning rate.</w:t>
            </w:r>
          </w:p>
        </w:tc>
      </w:tr>
      <w:tr>
        <w:trPr>
          <w:cantSplit/>
        </w:trPr>
        <w:tc>
          <w:tcPr>
            <w:tcW w:type="dxa" w:w="3100"/>
            <w:vAlign w:val="center"/>
            <w:tcMar>
              <w:top w:w="95" w:type="dxa"/>
              <w:start w:w="110" w:type="dxa"/>
              <w:bottom w:w="95" w:type="dxa"/>
              <w:end w:w="110" w:type="dxa"/>
            </w:tcMar>
          </w:tcPr>
          <w:p>
            <w:pPr>
              <w:pStyle w:val="TableText"/>
              <w:keepLines/>
            </w:pPr>
            <w:r>
              <w:rPr>
                <w:b w:val="0"/>
                <w:color w:val="203040"/>
                <w:sz w:val="18"/>
              </w:rPr>
              <w:t>Adaptive update</w:t>
            </w:r>
          </w:p>
        </w:tc>
        <w:tc>
          <w:tcPr>
            <w:tcW w:type="dxa" w:w="6298"/>
            <w:vAlign w:val="center"/>
            <w:tcMar>
              <w:top w:w="95" w:type="dxa"/>
              <w:start w:w="110" w:type="dxa"/>
              <w:bottom w:w="95" w:type="dxa"/>
              <w:end w:w="110" w:type="dxa"/>
            </w:tcMar>
          </w:tcPr>
          <w:p>
            <w:pPr>
              <w:pStyle w:val="TableText"/>
              <w:keepLines/>
            </w:pPr>
            <w:r>
              <w:rPr>
                <w:b w:val="0"/>
                <w:color w:val="203040"/>
                <w:sz w:val="18"/>
              </w:rPr>
              <w:t>U_t before projection and weight decay.</w:t>
            </w:r>
          </w:p>
        </w:tc>
      </w:tr>
      <w:tr>
        <w:trPr>
          <w:cantSplit/>
        </w:trPr>
        <w:tc>
          <w:tcPr>
            <w:tcW w:type="dxa" w:w="3100"/>
            <w:vAlign w:val="center"/>
            <w:tcMar>
              <w:top w:w="95" w:type="dxa"/>
              <w:start w:w="110" w:type="dxa"/>
              <w:bottom w:w="95" w:type="dxa"/>
              <w:end w:w="110" w:type="dxa"/>
            </w:tcMar>
            <w:shd w:val="clear" w:fill="F2F2F2"/>
          </w:tcPr>
          <w:p>
            <w:pPr>
              <w:pStyle w:val="TableText"/>
              <w:keepLines/>
            </w:pPr>
            <w:r>
              <w:rPr>
                <w:b w:val="0"/>
                <w:color w:val="203040"/>
                <w:sz w:val="18"/>
              </w:rPr>
              <w:t>Realised adaptive update</w:t>
            </w:r>
          </w:p>
        </w:tc>
        <w:tc>
          <w:tcPr>
            <w:tcW w:type="dxa" w:w="6298"/>
            <w:vAlign w:val="center"/>
            <w:tcMar>
              <w:top w:w="95" w:type="dxa"/>
              <w:start w:w="110" w:type="dxa"/>
              <w:bottom w:w="95" w:type="dxa"/>
              <w:end w:w="110" w:type="dxa"/>
            </w:tcMar>
            <w:shd w:val="clear" w:fill="F2F2F2"/>
          </w:tcPr>
          <w:p>
            <w:pPr>
              <w:pStyle w:val="TableText"/>
              <w:keepLines/>
            </w:pPr>
            <w:r>
              <w:rPr>
                <w:b w:val="0"/>
                <w:color w:val="203040"/>
                <w:sz w:val="18"/>
              </w:rPr>
              <w:t>B B_plus U_t after projection into the weight space.</w:t>
            </w:r>
          </w:p>
        </w:tc>
      </w:tr>
    </w:tbl>
    <w:p>
      <w:pPr>
        <w:widowControl/>
        <w:spacing w:after="40"/>
      </w:pPr>
    </w:p>
    <w:p>
      <w:pPr>
        <w:pStyle w:val="Requirement"/>
        <w:keepLines/>
        <w:widowControl/>
      </w:pPr>
      <w:r>
        <w:rPr>
          <w:b/>
          <w:color w:val="1F4E79"/>
        </w:rPr>
        <w:t>THO-REF-015</w:t>
      </w:r>
      <w:r>
        <w:rPr>
          <w:color w:val="000000"/>
        </w:rPr>
        <w:t xml:space="preserve">  Diagnostics shall compare like quantities with matching bias-correction conventions.</w:t>
      </w:r>
    </w:p>
    <w:p>
      <w:pPr>
        <w:pStyle w:val="Requirement"/>
        <w:keepLines/>
        <w:widowControl/>
      </w:pPr>
      <w:r>
        <w:rPr>
          <w:b/>
          <w:color w:val="1F4E79"/>
        </w:rPr>
        <w:t>THO-REF-016</w:t>
      </w:r>
      <w:r>
        <w:rPr>
          <w:color w:val="000000"/>
        </w:rPr>
        <w:t xml:space="preserve">  The signed difference shall be defined as thogopt value minus reference value.</w:t>
      </w:r>
    </w:p>
    <w:p>
      <w:pPr>
        <w:pStyle w:val="Requirement"/>
        <w:keepLines/>
        <w:widowControl/>
      </w:pPr>
      <w:r>
        <w:rPr>
          <w:b/>
          <w:color w:val="1F4E79"/>
        </w:rPr>
        <w:t>THO-REF-017</w:t>
      </w:r>
      <w:r>
        <w:rPr>
          <w:color w:val="000000"/>
        </w:rPr>
        <w:t xml:space="preserve">  Diagnostics shall expose maximum absolute reconstruction error.</w:t>
      </w:r>
    </w:p>
    <w:p>
      <w:pPr>
        <w:pStyle w:val="Requirement"/>
        <w:keepLines/>
        <w:widowControl/>
      </w:pPr>
      <w:r>
        <w:rPr>
          <w:b/>
          <w:color w:val="1F4E79"/>
        </w:rPr>
        <w:t>THO-REF-018</w:t>
      </w:r>
      <w:r>
        <w:rPr>
          <w:color w:val="000000"/>
        </w:rPr>
        <w:t xml:space="preserve">  Diagnostics shall expose root-mean-square reconstruction error.</w:t>
      </w:r>
    </w:p>
    <w:p>
      <w:pPr>
        <w:pStyle w:val="Requirement"/>
        <w:keepLines/>
        <w:widowControl/>
      </w:pPr>
      <w:r>
        <w:rPr>
          <w:b/>
          <w:color w:val="1F4E79"/>
        </w:rPr>
        <w:t>THO-REF-019</w:t>
      </w:r>
      <w:r>
        <w:rPr>
          <w:color w:val="000000"/>
        </w:rPr>
        <w:t xml:space="preserve">  Diagnostics shall expose the relative L2 error with an explicitly recorded denominator floor.</w:t>
      </w:r>
    </w:p>
    <w:p>
      <w:pPr>
        <w:pStyle w:val="Requirement"/>
        <w:keepLines/>
        <w:widowControl/>
      </w:pPr>
      <w:r>
        <w:rPr>
          <w:b/>
          <w:color w:val="1F4E79"/>
        </w:rPr>
        <w:t>THO-REF-020</w:t>
      </w:r>
      <w:r>
        <w:rPr>
          <w:color w:val="000000"/>
        </w:rPr>
        <w:t xml:space="preserve">  Element-wise percentage differences shall be marked undefined where the reference denominator is too small.</w:t>
      </w:r>
    </w:p>
    <w:p>
      <w:pPr>
        <w:pStyle w:val="Requirement"/>
        <w:keepLines/>
        <w:widowControl/>
      </w:pPr>
      <w:r>
        <w:rPr>
          <w:b/>
          <w:color w:val="1F4E79"/>
        </w:rPr>
        <w:t>THO-REF-021</w:t>
      </w:r>
      <w:r>
        <w:rPr>
          <w:color w:val="000000"/>
        </w:rPr>
        <w:t xml:space="preserve">  Update comparisons at P &lt; L shall compare both candidates after the same weight-space projection.</w:t>
      </w:r>
    </w:p>
    <w:p>
      <w:pPr>
        <w:pStyle w:val="Heading1"/>
      </w:pPr>
      <w:bookmarkStart w:id="1038" w:name="thogopt_section_1038"/>
      <w:r>
        <w:t>10 Instra charts and matrix inspection</w:t>
      </w:r>
      <w:bookmarkEnd w:id="1038"/>
    </w:p>
    <w:p>
      <w:pPr>
        <w:pStyle w:val="Heading2"/>
      </w:pPr>
      <w:bookmarkStart w:id="1039" w:name="thogopt_section_1039"/>
      <w:r>
        <w:t>10.1 Two new chart groups</w:t>
      </w:r>
      <w:bookmarkEnd w:id="1039"/>
    </w:p>
    <w:p>
      <w:pPr>
        <w:widowControl/>
      </w:pPr>
      <w:r>
        <w:t>Instra should make optimizer history as tangible as the existing weight curves. A selected coupling pair traces one value through depth. thogopt supplies a reconstructed polynomial curve; a dense or diagnostic reference supplies samples at the actual layers. The comparison is useful both for building intuition and for selecting history budgets.</w:t>
      </w:r>
    </w:p>
    <w:p>
      <w:pPr>
        <w:pStyle w:val="Requirement"/>
        <w:keepLines/>
        <w:widowControl/>
      </w:pPr>
      <w:r>
        <w:rPr>
          <w:b/>
          <w:color w:val="1F4E79"/>
        </w:rPr>
        <w:t>THO-UI-001</w:t>
      </w:r>
      <w:r>
        <w:rPr>
          <w:color w:val="000000"/>
        </w:rPr>
        <w:t xml:space="preserve">  Instra shall provide a Momentum history chart group.</w:t>
      </w:r>
    </w:p>
    <w:p>
      <w:pPr>
        <w:pStyle w:val="Requirement"/>
        <w:keepLines/>
        <w:widowControl/>
      </w:pPr>
      <w:r>
        <w:rPr>
          <w:b/>
          <w:color w:val="1F4E79"/>
        </w:rPr>
        <w:t>THO-UI-002</w:t>
      </w:r>
      <w:r>
        <w:rPr>
          <w:color w:val="000000"/>
        </w:rPr>
        <w:t xml:space="preserve">  Instra shall provide a Scaling history chart group.</w:t>
      </w:r>
    </w:p>
    <w:p>
      <w:pPr>
        <w:pStyle w:val="Requirement"/>
        <w:keepLines/>
        <w:widowControl/>
      </w:pPr>
      <w:r>
        <w:rPr>
          <w:b/>
          <w:color w:val="1F4E79"/>
        </w:rPr>
        <w:t>THO-UI-003</w:t>
      </w:r>
      <w:r>
        <w:rPr>
          <w:color w:val="000000"/>
        </w:rPr>
        <w:t xml:space="preserve">  Each history group shall cover the same supported parameter families as the weight-chart group.</w:t>
      </w:r>
    </w:p>
    <w:p>
      <w:pPr>
        <w:pStyle w:val="Requirement"/>
        <w:keepLines/>
        <w:widowControl/>
      </w:pPr>
      <w:r>
        <w:rPr>
          <w:b/>
          <w:color w:val="1F4E79"/>
        </w:rPr>
        <w:t>THO-UI-004</w:t>
      </w:r>
      <w:r>
        <w:rPr>
          <w:color w:val="000000"/>
        </w:rPr>
        <w:t xml:space="preserve">  Momentum charts shall default to bias-corrected first-moment values.</w:t>
      </w:r>
    </w:p>
    <w:p>
      <w:pPr>
        <w:pStyle w:val="Requirement"/>
        <w:keepLines/>
        <w:widowControl/>
      </w:pPr>
      <w:r>
        <w:rPr>
          <w:b/>
          <w:color w:val="1F4E79"/>
        </w:rPr>
        <w:t>THO-UI-005</w:t>
      </w:r>
      <w:r>
        <w:rPr>
          <w:color w:val="000000"/>
        </w:rPr>
        <w:t xml:space="preserve">  Scaling charts shall default to bias-corrected second-moment values.</w:t>
      </w:r>
    </w:p>
    <w:p>
      <w:pPr>
        <w:pStyle w:val="Requirement"/>
        <w:keepLines/>
        <w:widowControl/>
      </w:pPr>
      <w:r>
        <w:rPr>
          <w:b/>
          <w:color w:val="1F4E79"/>
        </w:rPr>
        <w:t>THO-UI-006</w:t>
      </w:r>
      <w:r>
        <w:rPr>
          <w:color w:val="000000"/>
        </w:rPr>
        <w:t xml:space="preserve">  Momentum charts shall allow the uncorrected first moment to be selected.</w:t>
      </w:r>
    </w:p>
    <w:p>
      <w:pPr>
        <w:pStyle w:val="Requirement"/>
        <w:keepLines/>
        <w:widowControl/>
      </w:pPr>
      <w:r>
        <w:rPr>
          <w:b/>
          <w:color w:val="1F4E79"/>
        </w:rPr>
        <w:t>THO-UI-007</w:t>
      </w:r>
      <w:r>
        <w:rPr>
          <w:color w:val="000000"/>
        </w:rPr>
        <w:t xml:space="preserve">  Scaling charts shall provide selectors for uncorrected second moment, corrected second moment, RMS and scaling factor.</w:t>
      </w:r>
    </w:p>
    <w:p>
      <w:pPr>
        <w:pStyle w:val="Requirement"/>
        <w:keepLines/>
        <w:widowControl/>
      </w:pPr>
      <w:r>
        <w:rPr>
          <w:b/>
          <w:color w:val="1F4E79"/>
        </w:rPr>
        <w:t>THO-UI-008</w:t>
      </w:r>
      <w:r>
        <w:rPr>
          <w:color w:val="000000"/>
        </w:rPr>
        <w:t xml:space="preserve">  The selected quantity shall be stated in the chart title and axis labelling.</w:t>
      </w:r>
    </w:p>
    <w:p>
      <w:pPr>
        <w:pStyle w:val="Requirement"/>
        <w:keepLines/>
        <w:widowControl/>
      </w:pPr>
      <w:r>
        <w:rPr>
          <w:b/>
          <w:color w:val="1F4E79"/>
        </w:rPr>
        <w:t>THO-UI-009</w:t>
      </w:r>
      <w:r>
        <w:rPr>
          <w:color w:val="000000"/>
        </w:rPr>
        <w:t xml:space="preserve">  The chart shall distinguish thogopt reconstruction from reference samples by line or marker style.</w:t>
      </w:r>
    </w:p>
    <w:p>
      <w:pPr>
        <w:pStyle w:val="Requirement"/>
        <w:keepLines/>
        <w:widowControl/>
      </w:pPr>
      <w:r>
        <w:rPr>
          <w:b/>
          <w:color w:val="1F4E79"/>
        </w:rPr>
        <w:t>THO-UI-010</w:t>
      </w:r>
      <w:r>
        <w:rPr>
          <w:color w:val="000000"/>
        </w:rPr>
        <w:t xml:space="preserve">  Reference markers shall be positioned at the actual model layer coordinates.</w:t>
      </w:r>
    </w:p>
    <w:p>
      <w:pPr>
        <w:pStyle w:val="Requirement"/>
        <w:keepLines/>
        <w:widowControl/>
      </w:pPr>
      <w:r>
        <w:rPr>
          <w:b/>
          <w:color w:val="1F4E79"/>
        </w:rPr>
        <w:t>THO-UI-011</w:t>
      </w:r>
      <w:r>
        <w:rPr>
          <w:color w:val="000000"/>
        </w:rPr>
        <w:t xml:space="preserve">  Between-layer rendering shall use the same versioned history basis as materialisation.</w:t>
      </w:r>
    </w:p>
    <w:p>
      <w:pPr>
        <w:pStyle w:val="Requirement"/>
        <w:keepLines/>
        <w:widowControl/>
      </w:pPr>
      <w:r>
        <w:rPr>
          <w:b/>
          <w:color w:val="1F4E79"/>
        </w:rPr>
        <w:t>THO-UI-012</w:t>
      </w:r>
      <w:r>
        <w:rPr>
          <w:color w:val="000000"/>
        </w:rPr>
        <w:t xml:space="preserve">  An invalid between-layer RMS or scaling evaluation shall be shown as unavailable rather than fabricated by clipping.</w:t>
      </w:r>
    </w:p>
    <w:p>
      <w:pPr>
        <w:pStyle w:val="Heading2"/>
      </w:pPr>
      <w:bookmarkStart w:id="1040" w:name="thogopt_section_1040"/>
      <w:r>
        <w:t>10.2 Interaction parity with weights</w:t>
      </w:r>
      <w:bookmarkEnd w:id="1040"/>
    </w:p>
    <w:p>
      <w:pPr>
        <w:pStyle w:val="Requirement"/>
        <w:keepLines/>
        <w:widowControl/>
      </w:pPr>
      <w:r>
        <w:rPr>
          <w:b/>
          <w:color w:val="1F4E79"/>
        </w:rPr>
        <w:t>THO-UI-013</w:t>
      </w:r>
      <w:r>
        <w:rPr>
          <w:color w:val="000000"/>
        </w:rPr>
        <w:t xml:space="preserve">  History charts shall reuse the existing run-selection controls.</w:t>
      </w:r>
    </w:p>
    <w:p>
      <w:pPr>
        <w:pStyle w:val="Requirement"/>
        <w:keepLines/>
        <w:widowControl/>
      </w:pPr>
      <w:r>
        <w:rPr>
          <w:b/>
          <w:color w:val="1F4E79"/>
        </w:rPr>
        <w:t>THO-UI-014</w:t>
      </w:r>
      <w:r>
        <w:rPr>
          <w:color w:val="000000"/>
        </w:rPr>
        <w:t xml:space="preserve">  History charts shall reuse the existing coupling-pair selection semantics.</w:t>
      </w:r>
    </w:p>
    <w:p>
      <w:pPr>
        <w:pStyle w:val="Requirement"/>
        <w:keepLines/>
        <w:widowControl/>
      </w:pPr>
      <w:r>
        <w:rPr>
          <w:b/>
          <w:color w:val="1F4E79"/>
        </w:rPr>
        <w:t>THO-UI-015</w:t>
      </w:r>
      <w:r>
        <w:rPr>
          <w:color w:val="000000"/>
        </w:rPr>
        <w:t xml:space="preserve">  History charts shall support the existing step-range and latest-step controls.</w:t>
      </w:r>
    </w:p>
    <w:p>
      <w:pPr>
        <w:pStyle w:val="Requirement"/>
        <w:keepLines/>
        <w:widowControl/>
      </w:pPr>
      <w:r>
        <w:rPr>
          <w:b/>
          <w:color w:val="1F4E79"/>
        </w:rPr>
        <w:t>THO-UI-016</w:t>
      </w:r>
      <w:r>
        <w:rPr>
          <w:color w:val="000000"/>
        </w:rPr>
        <w:t xml:space="preserve">  History charts shall support the existing step-gradient colouring behaviour.</w:t>
      </w:r>
    </w:p>
    <w:p>
      <w:pPr>
        <w:pStyle w:val="Requirement"/>
        <w:keepLines/>
        <w:widowControl/>
      </w:pPr>
      <w:r>
        <w:rPr>
          <w:b/>
          <w:color w:val="1F4E79"/>
        </w:rPr>
        <w:t>THO-UI-017</w:t>
      </w:r>
      <w:r>
        <w:rPr>
          <w:color w:val="000000"/>
        </w:rPr>
        <w:t xml:space="preserve">  History charts shall support the existing axis-range controls.</w:t>
      </w:r>
    </w:p>
    <w:p>
      <w:pPr>
        <w:pStyle w:val="Requirement"/>
        <w:keepLines/>
        <w:widowControl/>
      </w:pPr>
      <w:r>
        <w:rPr>
          <w:b/>
          <w:color w:val="1F4E79"/>
        </w:rPr>
        <w:t>THO-UI-018</w:t>
      </w:r>
      <w:r>
        <w:rPr>
          <w:color w:val="000000"/>
        </w:rPr>
        <w:t xml:space="preserve">  History charts shall support both standard and maximised views.</w:t>
      </w:r>
    </w:p>
    <w:p>
      <w:pPr>
        <w:pStyle w:val="Requirement"/>
        <w:keepLines/>
        <w:widowControl/>
      </w:pPr>
      <w:r>
        <w:rPr>
          <w:b/>
          <w:color w:val="1F4E79"/>
        </w:rPr>
        <w:t>THO-UI-019</w:t>
      </w:r>
      <w:r>
        <w:rPr>
          <w:color w:val="000000"/>
        </w:rPr>
        <w:t xml:space="preserve">  Changing the selected run shall preserve the selected history group and quantity when available.</w:t>
      </w:r>
    </w:p>
    <w:p>
      <w:pPr>
        <w:pStyle w:val="Requirement"/>
        <w:keepLines/>
        <w:widowControl/>
      </w:pPr>
      <w:r>
        <w:rPr>
          <w:b/>
          <w:color w:val="1F4E79"/>
        </w:rPr>
        <w:t>THO-UI-020</w:t>
      </w:r>
      <w:r>
        <w:rPr>
          <w:color w:val="000000"/>
        </w:rPr>
        <w:t xml:space="preserve">  Latest-step mode shall select at most one captured step per run for the chosen family and quantity.</w:t>
      </w:r>
    </w:p>
    <w:p>
      <w:pPr>
        <w:pStyle w:val="Requirement"/>
        <w:keepLines/>
        <w:widowControl/>
      </w:pPr>
      <w:r>
        <w:rPr>
          <w:b/>
          <w:color w:val="1F4E79"/>
        </w:rPr>
        <w:t>THO-UI-021</w:t>
      </w:r>
      <w:r>
        <w:rPr>
          <w:color w:val="000000"/>
        </w:rPr>
        <w:t xml:space="preserve">  Hover details shall identify the run, optimizer step, layer coordinate, coupling pair and value.</w:t>
      </w:r>
    </w:p>
    <w:p>
      <w:pPr>
        <w:pStyle w:val="Requirement"/>
        <w:keepLines/>
        <w:widowControl/>
      </w:pPr>
      <w:r>
        <w:rPr>
          <w:b/>
          <w:color w:val="1F4E79"/>
        </w:rPr>
        <w:t>THO-UI-022</w:t>
      </w:r>
      <w:r>
        <w:rPr>
          <w:color w:val="000000"/>
        </w:rPr>
        <w:t xml:space="preserve">  A missing capture for a selected pair shall be identified explicitly.</w:t>
      </w:r>
    </w:p>
    <w:p>
      <w:pPr>
        <w:pStyle w:val="Heading2"/>
      </w:pPr>
      <w:bookmarkStart w:id="1041" w:name="thogopt_section_1041"/>
      <w:r>
        <w:t>10.3 Inspect values</w:t>
      </w:r>
      <w:bookmarkEnd w:id="1041"/>
    </w:p>
    <w:p>
      <w:pPr>
        <w:widowControl/>
      </w:pPr>
      <w:r>
        <w:t>The existing magnifying-glass interaction will open history inspection in both chart sizes. These are optimizer-history values rather than model weights, so the window should use the label Inspect values. A captured thogopt coefficient tensor can reconstruct the entire selected layer matrix. A sampled reference, however, only supports comparisons at the pairs it actually retained.</w:t>
      </w:r>
    </w:p>
    <w:p>
      <w:pPr>
        <w:pStyle w:val="Requirement"/>
        <w:keepLines/>
        <w:widowControl/>
      </w:pPr>
      <w:r>
        <w:rPr>
          <w:b/>
          <w:color w:val="1F4E79"/>
        </w:rPr>
        <w:t>THO-UI-023</w:t>
      </w:r>
      <w:r>
        <w:rPr>
          <w:color w:val="000000"/>
        </w:rPr>
        <w:t xml:space="preserve">  Each history chart shall provide the existing magnifying-glass inspection action.</w:t>
      </w:r>
    </w:p>
    <w:p>
      <w:pPr>
        <w:pStyle w:val="Requirement"/>
        <w:keepLines/>
        <w:widowControl/>
      </w:pPr>
      <w:r>
        <w:rPr>
          <w:b/>
          <w:color w:val="1F4E79"/>
        </w:rPr>
        <w:t>THO-UI-024</w:t>
      </w:r>
      <w:r>
        <w:rPr>
          <w:color w:val="000000"/>
        </w:rPr>
        <w:t xml:space="preserve">  The inspection action shall be available in standard and maximised views.</w:t>
      </w:r>
    </w:p>
    <w:p>
      <w:pPr>
        <w:pStyle w:val="Requirement"/>
        <w:keepLines/>
        <w:widowControl/>
      </w:pPr>
      <w:r>
        <w:rPr>
          <w:b/>
          <w:color w:val="1F4E79"/>
        </w:rPr>
        <w:t>THO-UI-025</w:t>
      </w:r>
      <w:r>
        <w:rPr>
          <w:color w:val="000000"/>
        </w:rPr>
        <w:t xml:space="preserve">  The inspector shall allow selection of a captured optimizer step.</w:t>
      </w:r>
    </w:p>
    <w:p>
      <w:pPr>
        <w:pStyle w:val="Requirement"/>
        <w:keepLines/>
        <w:widowControl/>
      </w:pPr>
      <w:r>
        <w:rPr>
          <w:b/>
          <w:color w:val="1F4E79"/>
        </w:rPr>
        <w:t>THO-UI-026</w:t>
      </w:r>
      <w:r>
        <w:rPr>
          <w:color w:val="000000"/>
        </w:rPr>
        <w:t xml:space="preserve">  The inspector shall allow selection of an actual model layer.</w:t>
      </w:r>
    </w:p>
    <w:p>
      <w:pPr>
        <w:pStyle w:val="Requirement"/>
        <w:keepLines/>
        <w:widowControl/>
      </w:pPr>
      <w:r>
        <w:rPr>
          <w:b/>
          <w:color w:val="1F4E79"/>
        </w:rPr>
        <w:t>THO-UI-027</w:t>
      </w:r>
      <w:r>
        <w:rPr>
          <w:color w:val="000000"/>
        </w:rPr>
        <w:t xml:space="preserve">  The inspector shall display the reconstructed history matrix for the chosen quantity.</w:t>
      </w:r>
    </w:p>
    <w:p>
      <w:pPr>
        <w:pStyle w:val="Requirement"/>
        <w:keepLines/>
        <w:widowControl/>
      </w:pPr>
      <w:r>
        <w:rPr>
          <w:b/>
          <w:color w:val="1F4E79"/>
        </w:rPr>
        <w:t>THO-UI-028</w:t>
      </w:r>
      <w:r>
        <w:rPr>
          <w:color w:val="000000"/>
        </w:rPr>
        <w:t xml:space="preserve">  The inspector shall provide a view of the stored polynomial coefficients.</w:t>
      </w:r>
    </w:p>
    <w:p>
      <w:pPr>
        <w:pStyle w:val="Requirement"/>
        <w:keepLines/>
        <w:widowControl/>
      </w:pPr>
      <w:r>
        <w:rPr>
          <w:b/>
          <w:color w:val="1F4E79"/>
        </w:rPr>
        <w:t>THO-UI-029</w:t>
      </w:r>
      <w:r>
        <w:rPr>
          <w:color w:val="000000"/>
        </w:rPr>
        <w:t xml:space="preserve">  The inspector shall provide horizontal and vertical scrolling.</w:t>
      </w:r>
    </w:p>
    <w:p>
      <w:pPr>
        <w:pStyle w:val="Requirement"/>
        <w:keepLines/>
        <w:widowControl/>
      </w:pPr>
      <w:r>
        <w:rPr>
          <w:b/>
          <w:color w:val="1F4E79"/>
        </w:rPr>
        <w:t>THO-UI-030</w:t>
      </w:r>
      <w:r>
        <w:rPr>
          <w:color w:val="000000"/>
        </w:rPr>
        <w:t xml:space="preserve">  The inspector shall support adjustable decimal precision with a default of four decimal places.</w:t>
      </w:r>
    </w:p>
    <w:p>
      <w:pPr>
        <w:pStyle w:val="Requirement"/>
        <w:keepLines/>
        <w:widowControl/>
      </w:pPr>
      <w:r>
        <w:rPr>
          <w:b/>
          <w:color w:val="1F4E79"/>
        </w:rPr>
        <w:t>THO-UI-031</w:t>
      </w:r>
      <w:r>
        <w:rPr>
          <w:color w:val="000000"/>
        </w:rPr>
        <w:t xml:space="preserve">  The inspector shall provide thogopt, reference and signed-difference views where corresponding data exist.</w:t>
      </w:r>
    </w:p>
    <w:p>
      <w:pPr>
        <w:pStyle w:val="Requirement"/>
        <w:keepLines/>
        <w:widowControl/>
      </w:pPr>
      <w:r>
        <w:rPr>
          <w:b/>
          <w:color w:val="1F4E79"/>
        </w:rPr>
        <w:t>THO-UI-032</w:t>
      </w:r>
      <w:r>
        <w:rPr>
          <w:color w:val="000000"/>
        </w:rPr>
        <w:t xml:space="preserve">  The inspector shall retain semantic row and column labels.</w:t>
      </w:r>
    </w:p>
    <w:p>
      <w:pPr>
        <w:pStyle w:val="Requirement"/>
        <w:keepLines/>
        <w:widowControl/>
      </w:pPr>
      <w:r>
        <w:rPr>
          <w:b/>
          <w:color w:val="1F4E79"/>
        </w:rPr>
        <w:t>THO-UI-033</w:t>
      </w:r>
      <w:r>
        <w:rPr>
          <w:color w:val="000000"/>
        </w:rPr>
        <w:t xml:space="preserve">  Display precision shall not reduce the precision of retained numerical data.</w:t>
      </w:r>
    </w:p>
    <w:p>
      <w:pPr>
        <w:pStyle w:val="Requirement"/>
        <w:keepLines/>
        <w:widowControl/>
      </w:pPr>
      <w:r>
        <w:rPr>
          <w:b/>
          <w:color w:val="1F4E79"/>
        </w:rPr>
        <w:t>THO-UI-034</w:t>
      </w:r>
      <w:r>
        <w:rPr>
          <w:color w:val="000000"/>
        </w:rPr>
        <w:t xml:space="preserve">  A sampled reference shall not be presented as a complete reference matrix.</w:t>
      </w:r>
    </w:p>
    <w:p>
      <w:pPr>
        <w:pStyle w:val="Requirement"/>
        <w:keepLines/>
        <w:widowControl/>
      </w:pPr>
      <w:r>
        <w:rPr>
          <w:b/>
          <w:color w:val="1F4E79"/>
        </w:rPr>
        <w:t>THO-UI-035</w:t>
      </w:r>
      <w:r>
        <w:rPr>
          <w:color w:val="000000"/>
        </w:rPr>
        <w:t xml:space="preserve">  Full-matrix differences shall require a captured full-matrix reference at the matching identity and step.</w:t>
      </w:r>
    </w:p>
    <w:p>
      <w:pPr>
        <w:pStyle w:val="Requirement"/>
        <w:keepLines/>
        <w:widowControl/>
      </w:pPr>
      <w:r>
        <w:rPr>
          <w:b/>
          <w:color w:val="1F4E79"/>
        </w:rPr>
        <w:t>THO-UI-036</w:t>
      </w:r>
      <w:r>
        <w:rPr>
          <w:color w:val="000000"/>
        </w:rPr>
        <w:t xml:space="preserve">  Existing weight inspection shall remain available for the same run and step.</w:t>
      </w:r>
    </w:p>
    <w:p>
      <w:pPr>
        <w:pStyle w:val="Heading2"/>
      </w:pPr>
      <w:bookmarkStart w:id="1042" w:name="thogopt_section_1042"/>
      <w:r>
        <w:t>10.4 Data capture and alignment</w:t>
      </w:r>
      <w:bookmarkEnd w:id="1042"/>
    </w:p>
    <w:p>
      <w:pPr>
        <w:pStyle w:val="Requirement"/>
        <w:keepLines/>
        <w:widowControl/>
      </w:pPr>
      <w:r>
        <w:rPr>
          <w:b/>
          <w:color w:val="1F4E79"/>
        </w:rPr>
        <w:t>THO-CAP-001</w:t>
      </w:r>
      <w:r>
        <w:rPr>
          <w:color w:val="000000"/>
        </w:rPr>
        <w:t xml:space="preserve">  The optimizer shall make both histories available to instrumentation at the committed-step boundary.</w:t>
      </w:r>
    </w:p>
    <w:p>
      <w:pPr>
        <w:pStyle w:val="Requirement"/>
        <w:keepLines/>
        <w:widowControl/>
      </w:pPr>
      <w:r>
        <w:rPr>
          <w:b/>
          <w:color w:val="1F4E79"/>
        </w:rPr>
        <w:t>THO-CAP-002</w:t>
      </w:r>
      <w:r>
        <w:rPr>
          <w:color w:val="000000"/>
        </w:rPr>
        <w:t xml:space="preserve">  Recorded state shall identify the histories used for the update that produced the recorded post-step weights.</w:t>
      </w:r>
    </w:p>
    <w:p>
      <w:pPr>
        <w:pStyle w:val="Requirement"/>
        <w:keepLines/>
        <w:widowControl/>
      </w:pPr>
      <w:r>
        <w:rPr>
          <w:b/>
          <w:color w:val="1F4E79"/>
        </w:rPr>
        <w:t>THO-CAP-003</w:t>
      </w:r>
      <w:r>
        <w:rPr>
          <w:color w:val="000000"/>
        </w:rPr>
        <w:t xml:space="preserve">  Every capture shall include the quantity schema defined in Appendix A.</w:t>
      </w:r>
    </w:p>
    <w:p>
      <w:pPr>
        <w:pStyle w:val="Requirement"/>
        <w:keepLines/>
        <w:widowControl/>
      </w:pPr>
      <w:r>
        <w:rPr>
          <w:b/>
          <w:color w:val="1F4E79"/>
        </w:rPr>
        <w:t>THO-CAP-004</w:t>
      </w:r>
      <w:r>
        <w:rPr>
          <w:color w:val="000000"/>
        </w:rPr>
        <w:t xml:space="preserve">  Curve retention and capture cadence shall follow explicit instrumentation settings.</w:t>
      </w:r>
    </w:p>
    <w:p>
      <w:pPr>
        <w:pStyle w:val="Requirement"/>
        <w:keepLines/>
        <w:widowControl/>
      </w:pPr>
      <w:r>
        <w:rPr>
          <w:b/>
          <w:color w:val="1F4E79"/>
        </w:rPr>
        <w:t>THO-CAP-005</w:t>
      </w:r>
      <w:r>
        <w:rPr>
          <w:color w:val="000000"/>
        </w:rPr>
        <w:t xml:space="preserve">  Full-history snapshots for matrix inspection shall have an independently recorded capture cadence.</w:t>
      </w:r>
    </w:p>
    <w:p>
      <w:pPr>
        <w:pStyle w:val="Requirement"/>
        <w:keepLines/>
        <w:widowControl/>
      </w:pPr>
      <w:r>
        <w:rPr>
          <w:b/>
          <w:color w:val="1F4E79"/>
        </w:rPr>
        <w:t>THO-CAP-006</w:t>
      </w:r>
      <w:r>
        <w:rPr>
          <w:color w:val="000000"/>
        </w:rPr>
        <w:t xml:space="preserve">  A thogopt full-history snapshot shall retain compact coefficients and basis metadata rather than a mandatory dense layer copy.</w:t>
      </w:r>
    </w:p>
    <w:p>
      <w:pPr>
        <w:pStyle w:val="Requirement"/>
        <w:keepLines/>
        <w:widowControl/>
      </w:pPr>
      <w:r>
        <w:rPr>
          <w:b/>
          <w:color w:val="1F4E79"/>
        </w:rPr>
        <w:t>THO-CAP-007</w:t>
      </w:r>
      <w:r>
        <w:rPr>
          <w:color w:val="000000"/>
        </w:rPr>
        <w:t xml:space="preserve">  Dense reference snapshots shall retain the raw moment tensors required for the requested full-matrix inspection.</w:t>
      </w:r>
    </w:p>
    <w:p>
      <w:pPr>
        <w:pStyle w:val="Requirement"/>
        <w:keepLines/>
        <w:widowControl/>
      </w:pPr>
      <w:r>
        <w:rPr>
          <w:b/>
          <w:color w:val="1F4E79"/>
        </w:rPr>
        <w:t>THO-CAP-008</w:t>
      </w:r>
      <w:r>
        <w:rPr>
          <w:color w:val="000000"/>
        </w:rPr>
        <w:t xml:space="preserve">  Full-matrix capture shall not require a persistent dense reference optimizer inside ordinary thogopt training.</w:t>
      </w:r>
    </w:p>
    <w:p>
      <w:pPr>
        <w:pStyle w:val="Requirement"/>
        <w:keepLines/>
        <w:widowControl/>
      </w:pPr>
      <w:r>
        <w:rPr>
          <w:b/>
          <w:color w:val="1F4E79"/>
        </w:rPr>
        <w:t>THO-CAP-009</w:t>
      </w:r>
      <w:r>
        <w:rPr>
          <w:color w:val="000000"/>
        </w:rPr>
        <w:t xml:space="preserve">  Instrumentation shall copy captured values without retaining an autograd graph.</w:t>
      </w:r>
    </w:p>
    <w:p>
      <w:pPr>
        <w:pStyle w:val="Requirement"/>
        <w:keepLines/>
        <w:widowControl/>
      </w:pPr>
      <w:r>
        <w:rPr>
          <w:b/>
          <w:color w:val="1F4E79"/>
        </w:rPr>
        <w:t>THO-CAP-010</w:t>
      </w:r>
      <w:r>
        <w:rPr>
          <w:color w:val="000000"/>
        </w:rPr>
        <w:t xml:space="preserve">  The capture manifest shall enumerate the available steps, families, quantities and coverage.</w:t>
      </w:r>
    </w:p>
    <w:p>
      <w:pPr>
        <w:pStyle w:val="Requirement"/>
        <w:keepLines/>
        <w:widowControl/>
      </w:pPr>
      <w:r>
        <w:rPr>
          <w:b/>
          <w:color w:val="1F4E79"/>
        </w:rPr>
        <w:t>THO-CAP-011</w:t>
      </w:r>
      <w:r>
        <w:rPr>
          <w:color w:val="000000"/>
        </w:rPr>
        <w:t xml:space="preserve">  A comparison shall require matching physical tensor coordinates.</w:t>
      </w:r>
    </w:p>
    <w:p>
      <w:pPr>
        <w:pStyle w:val="Requirement"/>
        <w:keepLines/>
        <w:widowControl/>
      </w:pPr>
      <w:r>
        <w:rPr>
          <w:b/>
          <w:color w:val="1F4E79"/>
        </w:rPr>
        <w:t>THO-CAP-012</w:t>
      </w:r>
      <w:r>
        <w:rPr>
          <w:color w:val="000000"/>
        </w:rPr>
        <w:t xml:space="preserve">  A comparison shall expose any mismatch in layer grid, optimizer-step identity or history origin.</w:t>
      </w:r>
    </w:p>
    <w:p>
      <w:pPr>
        <w:pStyle w:val="Requirement"/>
        <w:keepLines/>
        <w:widowControl/>
      </w:pPr>
      <w:r>
        <w:rPr>
          <w:b/>
          <w:color w:val="1F4E79"/>
        </w:rPr>
        <w:t>THO-CAP-013</w:t>
      </w:r>
      <w:r>
        <w:rPr>
          <w:color w:val="000000"/>
        </w:rPr>
        <w:t xml:space="preserve">  Instra shall not silently interpolate a missing training step for numerical differences.</w:t>
      </w:r>
    </w:p>
    <w:p>
      <w:pPr>
        <w:pStyle w:val="Requirement"/>
        <w:keepLines/>
        <w:widowControl/>
      </w:pPr>
      <w:r>
        <w:rPr>
          <w:b/>
          <w:color w:val="1F4E79"/>
        </w:rPr>
        <w:t>THO-CAP-014</w:t>
      </w:r>
      <w:r>
        <w:rPr>
          <w:color w:val="000000"/>
        </w:rPr>
        <w:t xml:space="preserve">  Instra shall not silently nearest-match incompatible coupling coordinates.</w:t>
      </w:r>
    </w:p>
    <w:p>
      <w:pPr>
        <w:pStyle w:val="Heading1"/>
      </w:pPr>
      <w:bookmarkStart w:id="1043" w:name="thogopt_section_1043"/>
      <w:r>
        <w:t>11 Verification and acceptance</w:t>
      </w:r>
      <w:bookmarkEnd w:id="1043"/>
    </w:p>
    <w:p>
      <w:pPr>
        <w:pStyle w:val="Heading2"/>
      </w:pPr>
      <w:bookmarkStart w:id="1044" w:name="thogopt_section_1044"/>
      <w:r>
        <w:t>11.1 Numerical acceptance conventions</w:t>
      </w:r>
      <w:bookmarkEnd w:id="1044"/>
    </w:p>
    <w:p>
      <w:pPr>
        <w:widowControl/>
      </w:pPr>
      <w:r>
        <w:t>Numerical checks compare reconstructed layer values and applied updates, rather than requiring coefficient arrays from different stable bases to be equal. Unless a test states otherwise, its error bound is max_abs(candidate - reference) &lt;= atol + rtol * max_abs(reference). The tolerances below apply to controlled deterministic fixtures, not an unrestricted long mixed-precision training trajectory.</w:t>
      </w:r>
    </w:p>
    <w:tbl>
      <w:tblPr>
        <w:jc w:val="left"/>
        <w:tblLook w:firstColumn="1" w:firstRow="1" w:lastColumn="0" w:lastRow="0" w:noHBand="0" w:noVBand="1" w:val="04A0"/>
        <w:tblW w:w="9398" w:type="dxa"/>
        <w:tblInd w:w="110" w:type="dxa"/>
        <w:tblLayout w:type="fixed"/>
        <w:tblBorders>
          <w:top w:val="single" w:sz="4" w:color="C7C7C7"/>
          <w:left w:val="single" w:sz="4" w:color="C7C7C7"/>
          <w:bottom w:val="single" w:sz="4" w:color="C7C7C7"/>
          <w:right w:val="single" w:sz="4" w:color="C7C7C7"/>
          <w:insideH w:val="single" w:sz="4" w:color="C7C7C7"/>
          <w:insideV w:val="single" w:sz="4" w:color="C7C7C7"/>
        </w:tblBorders>
      </w:tblPr>
      <w:tblGrid>
        <w:gridCol w:w="4998"/>
        <w:gridCol w:w="2200"/>
        <w:gridCol w:w="2200"/>
      </w:tblGrid>
      <w:tr>
        <w:trPr>
          <w:cantSplit/>
          <w:tblHeader/>
        </w:trPr>
        <w:tc>
          <w:tcPr>
            <w:tcW w:type="dxa" w:w="4998"/>
            <w:vAlign w:val="center"/>
            <w:tcMar>
              <w:top w:w="95" w:type="dxa"/>
              <w:start w:w="110" w:type="dxa"/>
              <w:bottom w:w="95" w:type="dxa"/>
              <w:end w:w="110" w:type="dxa"/>
            </w:tcMar>
            <w:shd w:val="clear" w:fill="D9EAF7"/>
          </w:tcPr>
          <w:p>
            <w:pPr>
              <w:pStyle w:val="TableText"/>
              <w:keepLines/>
            </w:pPr>
            <w:r>
              <w:rPr>
                <w:b/>
                <w:color w:val="203040"/>
                <w:sz w:val="18"/>
              </w:rPr>
              <w:t>Fixture precision</w:t>
            </w:r>
          </w:p>
        </w:tc>
        <w:tc>
          <w:tcPr>
            <w:tcW w:type="dxa" w:w="2200"/>
            <w:vAlign w:val="center"/>
            <w:tcMar>
              <w:top w:w="95" w:type="dxa"/>
              <w:start w:w="110" w:type="dxa"/>
              <w:bottom w:w="95" w:type="dxa"/>
              <w:end w:w="110" w:type="dxa"/>
            </w:tcMar>
            <w:shd w:val="clear" w:fill="D9EAF7"/>
          </w:tcPr>
          <w:p>
            <w:pPr>
              <w:pStyle w:val="TableText"/>
              <w:keepLines/>
            </w:pPr>
            <w:r>
              <w:rPr>
                <w:b/>
                <w:color w:val="203040"/>
                <w:sz w:val="18"/>
              </w:rPr>
              <w:t>atol</w:t>
            </w:r>
          </w:p>
        </w:tc>
        <w:tc>
          <w:tcPr>
            <w:tcW w:type="dxa" w:w="2200"/>
            <w:vAlign w:val="center"/>
            <w:tcMar>
              <w:top w:w="95" w:type="dxa"/>
              <w:start w:w="110" w:type="dxa"/>
              <w:bottom w:w="95" w:type="dxa"/>
              <w:end w:w="110" w:type="dxa"/>
            </w:tcMar>
            <w:shd w:val="clear" w:fill="D9EAF7"/>
          </w:tcPr>
          <w:p>
            <w:pPr>
              <w:pStyle w:val="TableText"/>
              <w:keepLines/>
            </w:pPr>
            <w:r>
              <w:rPr>
                <w:b/>
                <w:color w:val="203040"/>
                <w:sz w:val="18"/>
              </w:rPr>
              <w:t>rtol</w:t>
            </w:r>
          </w:p>
        </w:tc>
      </w:tr>
      <w:tr>
        <w:trPr>
          <w:cantSplit/>
        </w:trPr>
        <w:tc>
          <w:tcPr>
            <w:tcW w:type="dxa" w:w="4998"/>
            <w:vAlign w:val="center"/>
            <w:tcMar>
              <w:top w:w="95" w:type="dxa"/>
              <w:start w:w="110" w:type="dxa"/>
              <w:bottom w:w="95" w:type="dxa"/>
              <w:end w:w="110" w:type="dxa"/>
            </w:tcMar>
          </w:tcPr>
          <w:p>
            <w:pPr>
              <w:pStyle w:val="TableText"/>
              <w:keepLines/>
            </w:pPr>
            <w:r>
              <w:rPr>
                <w:b w:val="0"/>
                <w:color w:val="203040"/>
                <w:sz w:val="18"/>
              </w:rPr>
              <w:t>FP64 reference and full-capacity replay</w:t>
            </w:r>
          </w:p>
        </w:tc>
        <w:tc>
          <w:tcPr>
            <w:tcW w:type="dxa" w:w="2200"/>
            <w:vAlign w:val="center"/>
            <w:tcMar>
              <w:top w:w="95" w:type="dxa"/>
              <w:start w:w="110" w:type="dxa"/>
              <w:bottom w:w="95" w:type="dxa"/>
              <w:end w:w="110" w:type="dxa"/>
            </w:tcMar>
          </w:tcPr>
          <w:p>
            <w:pPr>
              <w:pStyle w:val="TableText"/>
              <w:keepLines/>
            </w:pPr>
            <w:r>
              <w:rPr>
                <w:b w:val="0"/>
                <w:color w:val="203040"/>
                <w:sz w:val="18"/>
              </w:rPr>
              <w:t>1e-10</w:t>
            </w:r>
          </w:p>
        </w:tc>
        <w:tc>
          <w:tcPr>
            <w:tcW w:type="dxa" w:w="2200"/>
            <w:vAlign w:val="center"/>
            <w:tcMar>
              <w:top w:w="95" w:type="dxa"/>
              <w:start w:w="110" w:type="dxa"/>
              <w:bottom w:w="95" w:type="dxa"/>
              <w:end w:w="110" w:type="dxa"/>
            </w:tcMar>
          </w:tcPr>
          <w:p>
            <w:pPr>
              <w:pStyle w:val="TableText"/>
              <w:keepLines/>
            </w:pPr>
            <w:r>
              <w:rPr>
                <w:b w:val="0"/>
                <w:color w:val="203040"/>
                <w:sz w:val="18"/>
              </w:rPr>
              <w:t>1e-9</w:t>
            </w:r>
          </w:p>
        </w:tc>
      </w:tr>
      <w:tr>
        <w:trPr>
          <w:cantSplit/>
        </w:trPr>
        <w:tc>
          <w:tcPr>
            <w:tcW w:type="dxa" w:w="4998"/>
            <w:vAlign w:val="center"/>
            <w:tcMar>
              <w:top w:w="95" w:type="dxa"/>
              <w:start w:w="110" w:type="dxa"/>
              <w:bottom w:w="95" w:type="dxa"/>
              <w:end w:w="110" w:type="dxa"/>
            </w:tcMar>
            <w:shd w:val="clear" w:fill="F2F2F2"/>
          </w:tcPr>
          <w:p>
            <w:pPr>
              <w:pStyle w:val="TableText"/>
              <w:keepLines/>
            </w:pPr>
            <w:r>
              <w:rPr>
                <w:b w:val="0"/>
                <w:color w:val="203040"/>
                <w:sz w:val="18"/>
              </w:rPr>
              <w:t>FP32 full-capacity kernel replay</w:t>
            </w:r>
          </w:p>
        </w:tc>
        <w:tc>
          <w:tcPr>
            <w:tcW w:type="dxa" w:w="2200"/>
            <w:vAlign w:val="center"/>
            <w:tcMar>
              <w:top w:w="95" w:type="dxa"/>
              <w:start w:w="110" w:type="dxa"/>
              <w:bottom w:w="95" w:type="dxa"/>
              <w:end w:w="110" w:type="dxa"/>
            </w:tcMar>
            <w:shd w:val="clear" w:fill="F2F2F2"/>
          </w:tcPr>
          <w:p>
            <w:pPr>
              <w:pStyle w:val="TableText"/>
              <w:keepLines/>
            </w:pPr>
            <w:r>
              <w:rPr>
                <w:b w:val="0"/>
                <w:color w:val="203040"/>
                <w:sz w:val="18"/>
              </w:rPr>
              <w:t>2e-6</w:t>
            </w:r>
          </w:p>
        </w:tc>
        <w:tc>
          <w:tcPr>
            <w:tcW w:type="dxa" w:w="2200"/>
            <w:vAlign w:val="center"/>
            <w:tcMar>
              <w:top w:w="95" w:type="dxa"/>
              <w:start w:w="110" w:type="dxa"/>
              <w:bottom w:w="95" w:type="dxa"/>
              <w:end w:w="110" w:type="dxa"/>
            </w:tcMar>
            <w:shd w:val="clear" w:fill="F2F2F2"/>
          </w:tcPr>
          <w:p>
            <w:pPr>
              <w:pStyle w:val="TableText"/>
              <w:keepLines/>
            </w:pPr>
            <w:r>
              <w:rPr>
                <w:b w:val="0"/>
                <w:color w:val="203040"/>
                <w:sz w:val="18"/>
              </w:rPr>
              <w:t>2e-5</w:t>
            </w:r>
          </w:p>
        </w:tc>
      </w:tr>
    </w:tbl>
    <w:p>
      <w:pPr>
        <w:widowControl/>
        <w:spacing w:after="40"/>
      </w:pPr>
    </w:p>
    <w:p>
      <w:pPr>
        <w:widowControl/>
      </w:pPr>
      <w:r>
        <w:t>For moment-fitting checks, both arrays are divided by the maximum absolute reference value before this bound is evaluated; an identically zero reference uses a scale of one. This prevents the absolute tolerance from masking poor reconstruction of very small moments. Scaling factors and applied updates are checked separately, because accurate-looking moments can still produce an inaccurate ratio near a small denominator.</w:t>
      </w:r>
    </w:p>
    <w:p>
      <w:pPr>
        <w:pStyle w:val="Requirement"/>
        <w:keepLines/>
        <w:widowControl/>
      </w:pPr>
      <w:r>
        <w:rPr>
          <w:b/>
          <w:color w:val="1F4E79"/>
        </w:rPr>
        <w:t>THO-TEST-001</w:t>
      </w:r>
      <w:r>
        <w:rPr>
          <w:color w:val="000000"/>
        </w:rPr>
        <w:t xml:space="preserve">  The numerical test suite shall evaluate the stated layer-value error bound.</w:t>
      </w:r>
    </w:p>
    <w:p>
      <w:pPr>
        <w:pStyle w:val="Requirement"/>
        <w:keepLines/>
        <w:widowControl/>
      </w:pPr>
      <w:r>
        <w:rPr>
          <w:b/>
          <w:color w:val="1F4E79"/>
        </w:rPr>
        <w:t>THO-TEST-002</w:t>
      </w:r>
      <w:r>
        <w:rPr>
          <w:color w:val="000000"/>
        </w:rPr>
        <w:t xml:space="preserve">  Moment-fitting checks shall apply the reference-scale normalisation defined in section 11.1.</w:t>
      </w:r>
    </w:p>
    <w:p>
      <w:pPr>
        <w:pStyle w:val="Requirement"/>
        <w:keepLines/>
        <w:widowControl/>
      </w:pPr>
      <w:r>
        <w:rPr>
          <w:b/>
          <w:color w:val="1F4E79"/>
        </w:rPr>
        <w:t>THO-TEST-003</w:t>
      </w:r>
      <w:r>
        <w:rPr>
          <w:color w:val="000000"/>
        </w:rPr>
        <w:t xml:space="preserve">  Small-denominator fixtures shall verify scaling factors and applied updates against their reference values.</w:t>
      </w:r>
    </w:p>
    <w:p>
      <w:pPr>
        <w:pStyle w:val="Requirement"/>
        <w:keepLines/>
        <w:widowControl/>
      </w:pPr>
      <w:r>
        <w:rPr>
          <w:b/>
          <w:color w:val="1F4E79"/>
        </w:rPr>
        <w:t>THO-TEST-004</w:t>
      </w:r>
      <w:r>
        <w:rPr>
          <w:color w:val="000000"/>
        </w:rPr>
        <w:t xml:space="preserve">  Any exception to a stated numerical tolerance shall be documented before the corresponding acceptance result is assessed.</w:t>
      </w:r>
    </w:p>
    <w:p>
      <w:pPr>
        <w:pStyle w:val="Requirement"/>
        <w:keepLines/>
        <w:widowControl/>
      </w:pPr>
      <w:r>
        <w:rPr>
          <w:b/>
          <w:color w:val="1F4E79"/>
        </w:rPr>
        <w:t>THO-TEST-005</w:t>
      </w:r>
      <w:r>
        <w:rPr>
          <w:color w:val="000000"/>
        </w:rPr>
        <w:t xml:space="preserve">  A successful test report shall identify the dtype, device, basis and effective history counts.</w:t>
      </w:r>
    </w:p>
    <w:p>
      <w:pPr>
        <w:pStyle w:val="Heading2"/>
      </w:pPr>
      <w:bookmarkStart w:id="1045" w:name="thogopt_section_1045"/>
      <w:r>
        <w:t>11.2 Required numerical and lifecycle tests</w:t>
      </w:r>
      <w:bookmarkEnd w:id="1045"/>
    </w:p>
    <w:p>
      <w:pPr>
        <w:pStyle w:val="Requirement"/>
        <w:keepLines/>
        <w:widowControl/>
      </w:pPr>
      <w:r>
        <w:rPr>
          <w:b/>
          <w:color w:val="1F4E79"/>
        </w:rPr>
        <w:t>THO-TEST-006</w:t>
      </w:r>
      <w:r>
        <w:rPr>
          <w:color w:val="000000"/>
        </w:rPr>
        <w:t xml:space="preserve">  A full-capacity synthetic gradient replay shall match PyTorch AdamW moment values over at least 500 updates.</w:t>
      </w:r>
    </w:p>
    <w:p>
      <w:pPr>
        <w:pStyle w:val="Requirement"/>
        <w:keepLines/>
        <w:widowControl/>
      </w:pPr>
      <w:r>
        <w:rPr>
          <w:b/>
          <w:color w:val="1F4E79"/>
        </w:rPr>
        <w:t>THO-TEST-007</w:t>
      </w:r>
      <w:r>
        <w:rPr>
          <w:color w:val="000000"/>
        </w:rPr>
        <w:t xml:space="preserve">  A full-capacity synthetic gradient replay shall match the AdamW adaptive updates over at least 500 updates.</w:t>
      </w:r>
    </w:p>
    <w:p>
      <w:pPr>
        <w:pStyle w:val="Requirement"/>
        <w:keepLines/>
        <w:widowControl/>
      </w:pPr>
      <w:r>
        <w:rPr>
          <w:b/>
          <w:color w:val="1F4E79"/>
        </w:rPr>
        <w:t>THO-TEST-008</w:t>
      </w:r>
      <w:r>
        <w:rPr>
          <w:color w:val="000000"/>
        </w:rPr>
        <w:t xml:space="preserve">  A compressed-history fixture shall match the constrained-fit recurrence in section 5.2.</w:t>
      </w:r>
    </w:p>
    <w:p>
      <w:pPr>
        <w:pStyle w:val="Requirement"/>
        <w:keepLines/>
        <w:widowControl/>
      </w:pPr>
      <w:r>
        <w:rPr>
          <w:b/>
          <w:color w:val="1F4E79"/>
        </w:rPr>
        <w:t>THO-TEST-009</w:t>
      </w:r>
      <w:r>
        <w:rPr>
          <w:color w:val="000000"/>
        </w:rPr>
        <w:t xml:space="preserve">  A P &lt; L fixture with H_m = H_v = L shall match the projected dense-AdamW oracle on the same gradient stream.</w:t>
      </w:r>
    </w:p>
    <w:p>
      <w:pPr>
        <w:pStyle w:val="Requirement"/>
        <w:keepLines/>
        <w:widowControl/>
      </w:pPr>
      <w:r>
        <w:rPr>
          <w:b/>
          <w:color w:val="1F4E79"/>
        </w:rPr>
        <w:t>THO-TEST-010</w:t>
      </w:r>
      <w:r>
        <w:rPr>
          <w:color w:val="000000"/>
        </w:rPr>
        <w:t xml:space="preserve">  A gradient-accumulation fixture shall distinguish square-of-sum from sum-of-squares.</w:t>
      </w:r>
    </w:p>
    <w:p>
      <w:pPr>
        <w:pStyle w:val="Requirement"/>
        <w:keepLines/>
        <w:widowControl/>
      </w:pPr>
      <w:r>
        <w:rPr>
          <w:b/>
          <w:color w:val="1F4E79"/>
        </w:rPr>
        <w:t>THO-TEST-011</w:t>
      </w:r>
      <w:r>
        <w:rPr>
          <w:color w:val="000000"/>
        </w:rPr>
        <w:t xml:space="preserve">  A distributed fixture shall distinguish square-of-reduced-gradient from reduced-gradient-squares.</w:t>
      </w:r>
    </w:p>
    <w:p>
      <w:pPr>
        <w:pStyle w:val="Requirement"/>
        <w:keepLines/>
        <w:widowControl/>
      </w:pPr>
      <w:r>
        <w:rPr>
          <w:b/>
          <w:color w:val="1F4E79"/>
        </w:rPr>
        <w:t>THO-TEST-012</w:t>
      </w:r>
      <w:r>
        <w:rPr>
          <w:color w:val="000000"/>
        </w:rPr>
        <w:t xml:space="preserve">  A cancellation fixture shall verify rejection or bounded correction of negative second-moment reconstruction.</w:t>
      </w:r>
    </w:p>
    <w:p>
      <w:pPr>
        <w:pStyle w:val="Requirement"/>
        <w:keepLines/>
        <w:widowControl/>
      </w:pPr>
      <w:r>
        <w:rPr>
          <w:b/>
          <w:color w:val="1F4E79"/>
        </w:rPr>
        <w:t>THO-TEST-013</w:t>
      </w:r>
      <w:r>
        <w:rPr>
          <w:color w:val="000000"/>
        </w:rPr>
        <w:t xml:space="preserve">  A beta_1 = 0 fixture shall verify removal of momentum averaging without disabling scaling.</w:t>
      </w:r>
    </w:p>
    <w:p>
      <w:pPr>
        <w:pStyle w:val="Requirement"/>
        <w:keepLines/>
        <w:widowControl/>
      </w:pPr>
      <w:r>
        <w:rPr>
          <w:b/>
          <w:color w:val="1F4E79"/>
        </w:rPr>
        <w:t>THO-TEST-014</w:t>
      </w:r>
      <w:r>
        <w:rPr>
          <w:color w:val="000000"/>
        </w:rPr>
        <w:t xml:space="preserve">  A beta_2 = 0 fixture shall verify second-moment dependence on the current squared gradient.</w:t>
      </w:r>
    </w:p>
    <w:p>
      <w:pPr>
        <w:pStyle w:val="Requirement"/>
        <w:keepLines/>
        <w:widowControl/>
      </w:pPr>
      <w:r>
        <w:rPr>
          <w:b/>
          <w:color w:val="1F4E79"/>
        </w:rPr>
        <w:t>THO-TEST-015</w:t>
      </w:r>
      <w:r>
        <w:rPr>
          <w:color w:val="000000"/>
        </w:rPr>
        <w:t xml:space="preserve">  A zero-gradient fixture shall verify momentum decay and decoupled weight decay.</w:t>
      </w:r>
    </w:p>
    <w:p>
      <w:pPr>
        <w:pStyle w:val="Requirement"/>
        <w:keepLines/>
        <w:widowControl/>
      </w:pPr>
      <w:r>
        <w:rPr>
          <w:b/>
          <w:color w:val="1F4E79"/>
        </w:rPr>
        <w:t>THO-TEST-016</w:t>
      </w:r>
      <w:r>
        <w:rPr>
          <w:color w:val="000000"/>
        </w:rPr>
        <w:t xml:space="preserve">  An absent-gradient fixture shall verify the skip semantics of section 5.4.</w:t>
      </w:r>
    </w:p>
    <w:p>
      <w:pPr>
        <w:pStyle w:val="Requirement"/>
        <w:keepLines/>
        <w:widowControl/>
      </w:pPr>
      <w:r>
        <w:rPr>
          <w:b/>
          <w:color w:val="1F4E79"/>
        </w:rPr>
        <w:t>THO-TEST-017</w:t>
      </w:r>
      <w:r>
        <w:rPr>
          <w:color w:val="000000"/>
        </w:rPr>
        <w:t xml:space="preserve">  An injected non-finite update shall leave all transaction state unchanged.</w:t>
      </w:r>
    </w:p>
    <w:p>
      <w:pPr>
        <w:pStyle w:val="Requirement"/>
        <w:keepLines/>
        <w:widowControl/>
      </w:pPr>
      <w:r>
        <w:rPr>
          <w:b/>
          <w:color w:val="1F4E79"/>
        </w:rPr>
        <w:t>THO-TEST-018</w:t>
      </w:r>
      <w:r>
        <w:rPr>
          <w:color w:val="000000"/>
        </w:rPr>
        <w:t xml:space="preserve">  A checkpoint-resume fixture shall reproduce uninterrupted execution.</w:t>
      </w:r>
    </w:p>
    <w:p>
      <w:pPr>
        <w:pStyle w:val="Requirement"/>
        <w:keepLines/>
        <w:widowControl/>
      </w:pPr>
      <w:r>
        <w:rPr>
          <w:b/>
          <w:color w:val="1F4E79"/>
        </w:rPr>
        <w:t>THO-TEST-019</w:t>
      </w:r>
      <w:r>
        <w:rPr>
          <w:color w:val="000000"/>
        </w:rPr>
        <w:t xml:space="preserve">  An incompatible-history checkpoint shall fail validation without modifying the source checkpoint.</w:t>
      </w:r>
    </w:p>
    <w:p>
      <w:pPr>
        <w:pStyle w:val="Requirement"/>
        <w:keepLines/>
        <w:widowControl/>
      </w:pPr>
      <w:r>
        <w:rPr>
          <w:b/>
          <w:color w:val="1F4E79"/>
        </w:rPr>
        <w:t>THO-TEST-020</w:t>
      </w:r>
      <w:r>
        <w:rPr>
          <w:color w:val="000000"/>
        </w:rPr>
        <w:t xml:space="preserve">  A fixed-seed FP64 tiny-model test at P = H_m = H_v = L shall compare materialised weight trajectories for at least 100 optimizer steps.</w:t>
      </w:r>
    </w:p>
    <w:p>
      <w:pPr>
        <w:pStyle w:val="Requirement"/>
        <w:keepLines/>
        <w:widowControl/>
      </w:pPr>
      <w:r>
        <w:rPr>
          <w:b/>
          <w:color w:val="1F4E79"/>
        </w:rPr>
        <w:t>THO-TEST-021</w:t>
      </w:r>
      <w:r>
        <w:rPr>
          <w:color w:val="000000"/>
        </w:rPr>
        <w:t xml:space="preserve">  The existing SGD weight-parity regression shall continue to pass.</w:t>
      </w:r>
    </w:p>
    <w:p>
      <w:pPr>
        <w:pStyle w:val="Heading2"/>
      </w:pPr>
      <w:bookmarkStart w:id="1046" w:name="thogopt_section_1046"/>
      <w:r>
        <w:t>11.3 Instrumentation acceptance</w:t>
      </w:r>
      <w:bookmarkEnd w:id="1046"/>
    </w:p>
    <w:p>
      <w:pPr>
        <w:pStyle w:val="Requirement"/>
        <w:keepLines/>
        <w:widowControl/>
      </w:pPr>
      <w:r>
        <w:rPr>
          <w:b/>
          <w:color w:val="1F4E79"/>
        </w:rPr>
        <w:t>THO-TEST-022</w:t>
      </w:r>
      <w:r>
        <w:rPr>
          <w:color w:val="000000"/>
        </w:rPr>
        <w:t xml:space="preserve">  A chart fixture shall reproduce the captured optimizer values at actual layer markers.</w:t>
      </w:r>
    </w:p>
    <w:p>
      <w:pPr>
        <w:pStyle w:val="Requirement"/>
        <w:keepLines/>
        <w:widowControl/>
      </w:pPr>
      <w:r>
        <w:rPr>
          <w:b/>
          <w:color w:val="1F4E79"/>
        </w:rPr>
        <w:t>THO-TEST-023</w:t>
      </w:r>
      <w:r>
        <w:rPr>
          <w:color w:val="000000"/>
        </w:rPr>
        <w:t xml:space="preserve">  An inspector fixture shall reproduce the captured full-matrix values at full stored precision.</w:t>
      </w:r>
    </w:p>
    <w:p>
      <w:pPr>
        <w:pStyle w:val="Requirement"/>
        <w:keepLines/>
        <w:widowControl/>
      </w:pPr>
      <w:r>
        <w:rPr>
          <w:b/>
          <w:color w:val="1F4E79"/>
        </w:rPr>
        <w:t>THO-TEST-024</w:t>
      </w:r>
      <w:r>
        <w:rPr>
          <w:color w:val="000000"/>
        </w:rPr>
        <w:t xml:space="preserve">  A difference-view fixture shall verify the thogopt-minus-reference sign convention.</w:t>
      </w:r>
    </w:p>
    <w:p>
      <w:pPr>
        <w:pStyle w:val="Requirement"/>
        <w:keepLines/>
        <w:widowControl/>
      </w:pPr>
      <w:r>
        <w:rPr>
          <w:b/>
          <w:color w:val="1F4E79"/>
        </w:rPr>
        <w:t>THO-TEST-025</w:t>
      </w:r>
      <w:r>
        <w:rPr>
          <w:color w:val="000000"/>
        </w:rPr>
        <w:t xml:space="preserve">  An unavailable-reference fixture shall display absence without manufacturing values.</w:t>
      </w:r>
    </w:p>
    <w:p>
      <w:pPr>
        <w:pStyle w:val="Requirement"/>
        <w:keepLines/>
        <w:widowControl/>
      </w:pPr>
      <w:r>
        <w:rPr>
          <w:b/>
          <w:color w:val="1F4E79"/>
        </w:rPr>
        <w:t>THO-TEST-026</w:t>
      </w:r>
      <w:r>
        <w:rPr>
          <w:color w:val="000000"/>
        </w:rPr>
        <w:t xml:space="preserve">  A run-switch fixture shall preserve the selected optimizer-history group.</w:t>
      </w:r>
    </w:p>
    <w:p>
      <w:pPr>
        <w:pStyle w:val="Requirement"/>
        <w:keepLines/>
        <w:widowControl/>
      </w:pPr>
      <w:r>
        <w:rPr>
          <w:b/>
          <w:color w:val="1F4E79"/>
        </w:rPr>
        <w:t>THO-TEST-027</w:t>
      </w:r>
      <w:r>
        <w:rPr>
          <w:color w:val="000000"/>
        </w:rPr>
        <w:t xml:space="preserve">  A latest-step fixture shall contain no duplicate step traces within the selected run and family.</w:t>
      </w:r>
    </w:p>
    <w:p>
      <w:pPr>
        <w:pStyle w:val="Requirement"/>
        <w:keepLines/>
        <w:widowControl/>
      </w:pPr>
      <w:r>
        <w:rPr>
          <w:b/>
          <w:color w:val="1F4E79"/>
        </w:rPr>
        <w:t>THO-TEST-028</w:t>
      </w:r>
      <w:r>
        <w:rPr>
          <w:color w:val="000000"/>
        </w:rPr>
        <w:t xml:space="preserve">  Enabling sampled reference monitoring shall leave a deterministic training trajectory unchanged within the applicable tolerance.</w:t>
      </w:r>
    </w:p>
    <w:p>
      <w:pPr>
        <w:pStyle w:val="Requirement"/>
        <w:keepLines/>
        <w:widowControl/>
      </w:pPr>
      <w:r>
        <w:rPr>
          <w:b/>
          <w:color w:val="1F4E79"/>
        </w:rPr>
        <w:t>THO-TEST-029</w:t>
      </w:r>
      <w:r>
        <w:rPr>
          <w:color w:val="000000"/>
        </w:rPr>
        <w:t xml:space="preserve">  Matrix inspection shall be verified in both standard and maximised chart views.</w:t>
      </w:r>
    </w:p>
    <w:p>
      <w:pPr>
        <w:pStyle w:val="Heading1"/>
      </w:pPr>
      <w:bookmarkStart w:id="1047" w:name="thogopt_section_1047"/>
      <w:r>
        <w:t>12 Experimental evaluation and practical viability</w:t>
      </w:r>
      <w:bookmarkEnd w:id="1047"/>
    </w:p>
    <w:p>
      <w:pPr>
        <w:pStyle w:val="Heading2"/>
      </w:pPr>
      <w:bookmarkStart w:id="1048" w:name="thogopt_section_1048"/>
      <w:r>
        <w:t>12.1 Baselines and controlled comparisons</w:t>
      </w:r>
      <w:bookmarkEnd w:id="1048"/>
    </w:p>
    <w:p>
      <w:pPr>
        <w:widowControl/>
      </w:pPr>
      <w:r>
        <w:t>The existing near-equality under SGD is a retained baseline, not a new task. The next question is whether thogopt recovers useful AdamW behaviour at a cost compatible with THOG's purpose. The evaluation separates implementation correctness, history fidelity and actual training effectiveness.</w:t>
      </w:r>
    </w:p>
    <w:tbl>
      <w:tblPr>
        <w:jc w:val="left"/>
        <w:tblLook w:firstColumn="1" w:firstRow="1" w:lastColumn="0" w:lastRow="0" w:noHBand="0" w:noVBand="1" w:val="04A0"/>
        <w:tblW w:w="9398" w:type="dxa"/>
        <w:tblInd w:w="110" w:type="dxa"/>
        <w:tblLayout w:type="fixed"/>
        <w:tblBorders>
          <w:top w:val="single" w:sz="4" w:color="C7C7C7"/>
          <w:left w:val="single" w:sz="4" w:color="C7C7C7"/>
          <w:bottom w:val="single" w:sz="4" w:color="C7C7C7"/>
          <w:right w:val="single" w:sz="4" w:color="C7C7C7"/>
          <w:insideH w:val="single" w:sz="4" w:color="C7C7C7"/>
          <w:insideV w:val="single" w:sz="4" w:color="C7C7C7"/>
        </w:tblBorders>
      </w:tblPr>
      <w:tblGrid>
        <w:gridCol w:w="3800"/>
        <w:gridCol w:w="5598"/>
      </w:tblGrid>
      <w:tr>
        <w:trPr>
          <w:cantSplit/>
          <w:tblHeader/>
        </w:trPr>
        <w:tc>
          <w:tcPr>
            <w:tcW w:type="dxa" w:w="3800"/>
            <w:vAlign w:val="center"/>
            <w:tcMar>
              <w:top w:w="95" w:type="dxa"/>
              <w:start w:w="110" w:type="dxa"/>
              <w:bottom w:w="95" w:type="dxa"/>
              <w:end w:w="110" w:type="dxa"/>
            </w:tcMar>
            <w:shd w:val="clear" w:fill="D9EAF7"/>
          </w:tcPr>
          <w:p>
            <w:pPr>
              <w:pStyle w:val="TableText"/>
              <w:keepLines/>
            </w:pPr>
            <w:r>
              <w:rPr>
                <w:b/>
                <w:color w:val="203040"/>
                <w:sz w:val="18"/>
              </w:rPr>
              <w:t>Experiment</w:t>
            </w:r>
          </w:p>
        </w:tc>
        <w:tc>
          <w:tcPr>
            <w:tcW w:type="dxa" w:w="5598"/>
            <w:vAlign w:val="center"/>
            <w:tcMar>
              <w:top w:w="95" w:type="dxa"/>
              <w:start w:w="110" w:type="dxa"/>
              <w:bottom w:w="95" w:type="dxa"/>
              <w:end w:w="110" w:type="dxa"/>
            </w:tcMar>
            <w:shd w:val="clear" w:fill="D9EAF7"/>
          </w:tcPr>
          <w:p>
            <w:pPr>
              <w:pStyle w:val="TableText"/>
              <w:keepLines/>
            </w:pPr>
            <w:r>
              <w:rPr>
                <w:b/>
                <w:color w:val="203040"/>
                <w:sz w:val="18"/>
              </w:rPr>
              <w:t>Purpose</w:t>
            </w:r>
          </w:p>
        </w:tc>
      </w:tr>
      <w:tr>
        <w:trPr>
          <w:cantSplit/>
        </w:trPr>
        <w:tc>
          <w:tcPr>
            <w:tcW w:type="dxa" w:w="3800"/>
            <w:vAlign w:val="center"/>
            <w:tcMar>
              <w:top w:w="95" w:type="dxa"/>
              <w:start w:w="110" w:type="dxa"/>
              <w:bottom w:w="95" w:type="dxa"/>
              <w:end w:w="110" w:type="dxa"/>
            </w:tcMar>
          </w:tcPr>
          <w:p>
            <w:pPr>
              <w:pStyle w:val="TableText"/>
              <w:keepLines/>
            </w:pPr>
            <w:r>
              <w:rPr>
                <w:b w:val="0"/>
                <w:color w:val="203040"/>
                <w:sz w:val="18"/>
              </w:rPr>
              <w:t>Fixed raw-gradient replay</w:t>
            </w:r>
          </w:p>
        </w:tc>
        <w:tc>
          <w:tcPr>
            <w:tcW w:type="dxa" w:w="5598"/>
            <w:vAlign w:val="center"/>
            <w:tcMar>
              <w:top w:w="95" w:type="dxa"/>
              <w:start w:w="110" w:type="dxa"/>
              <w:bottom w:w="95" w:type="dxa"/>
              <w:end w:w="110" w:type="dxa"/>
            </w:tcMar>
          </w:tcPr>
          <w:p>
            <w:pPr>
              <w:pStyle w:val="TableText"/>
              <w:keepLines/>
            </w:pPr>
            <w:r>
              <w:rPr>
                <w:b w:val="0"/>
                <w:color w:val="203040"/>
                <w:sz w:val="18"/>
              </w:rPr>
              <w:t>Change history capacity without changing the gradient sequence.</w:t>
            </w:r>
          </w:p>
        </w:tc>
      </w:tr>
      <w:tr>
        <w:trPr>
          <w:cantSplit/>
        </w:trPr>
        <w:tc>
          <w:tcPr>
            <w:tcW w:type="dxa" w:w="3800"/>
            <w:vAlign w:val="center"/>
            <w:tcMar>
              <w:top w:w="95" w:type="dxa"/>
              <w:start w:w="110" w:type="dxa"/>
              <w:bottom w:w="95" w:type="dxa"/>
              <w:end w:w="110" w:type="dxa"/>
            </w:tcMar>
            <w:shd w:val="clear" w:fill="F2F2F2"/>
          </w:tcPr>
          <w:p>
            <w:pPr>
              <w:pStyle w:val="TableText"/>
              <w:keepLines/>
            </w:pPr>
            <w:r>
              <w:rPr>
                <w:b w:val="0"/>
                <w:color w:val="203040"/>
                <w:sz w:val="18"/>
              </w:rPr>
              <w:t>P = H_m = H_v = L</w:t>
            </w:r>
          </w:p>
        </w:tc>
        <w:tc>
          <w:tcPr>
            <w:tcW w:type="dxa" w:w="5598"/>
            <w:vAlign w:val="center"/>
            <w:tcMar>
              <w:top w:w="95" w:type="dxa"/>
              <w:start w:w="110" w:type="dxa"/>
              <w:bottom w:w="95" w:type="dxa"/>
              <w:end w:w="110" w:type="dxa"/>
            </w:tcMar>
            <w:shd w:val="clear" w:fill="F2F2F2"/>
          </w:tcPr>
          <w:p>
            <w:pPr>
              <w:pStyle w:val="TableText"/>
              <w:keepLines/>
            </w:pPr>
            <w:r>
              <w:rPr>
                <w:b w:val="0"/>
                <w:color w:val="203040"/>
                <w:sz w:val="18"/>
              </w:rPr>
              <w:t>Check dense AdamW equivalence in a full-capacity model.</w:t>
            </w:r>
          </w:p>
        </w:tc>
      </w:tr>
      <w:tr>
        <w:trPr>
          <w:cantSplit/>
        </w:trPr>
        <w:tc>
          <w:tcPr>
            <w:tcW w:type="dxa" w:w="3800"/>
            <w:vAlign w:val="center"/>
            <w:tcMar>
              <w:top w:w="95" w:type="dxa"/>
              <w:start w:w="110" w:type="dxa"/>
              <w:bottom w:w="95" w:type="dxa"/>
              <w:end w:w="110" w:type="dxa"/>
            </w:tcMar>
          </w:tcPr>
          <w:p>
            <w:pPr>
              <w:pStyle w:val="TableText"/>
              <w:keepLines/>
            </w:pPr>
            <w:r>
              <w:rPr>
                <w:b w:val="0"/>
                <w:color w:val="203040"/>
                <w:sz w:val="18"/>
              </w:rPr>
              <w:t>P &lt; L; exact history capacity</w:t>
            </w:r>
          </w:p>
        </w:tc>
        <w:tc>
          <w:tcPr>
            <w:tcW w:type="dxa" w:w="5598"/>
            <w:vAlign w:val="center"/>
            <w:tcMar>
              <w:top w:w="95" w:type="dxa"/>
              <w:start w:w="110" w:type="dxa"/>
              <w:bottom w:w="95" w:type="dxa"/>
              <w:end w:w="110" w:type="dxa"/>
            </w:tcMar>
          </w:tcPr>
          <w:p>
            <w:pPr>
              <w:pStyle w:val="TableText"/>
              <w:keepLines/>
            </w:pPr>
            <w:r>
              <w:rPr>
                <w:b w:val="0"/>
                <w:color w:val="203040"/>
                <w:sz w:val="18"/>
              </w:rPr>
              <w:t>Isolate weight-space projection from history approximation.</w:t>
            </w:r>
          </w:p>
        </w:tc>
      </w:tr>
      <w:tr>
        <w:trPr>
          <w:cantSplit/>
        </w:trPr>
        <w:tc>
          <w:tcPr>
            <w:tcW w:type="dxa" w:w="3800"/>
            <w:vAlign w:val="center"/>
            <w:tcMar>
              <w:top w:w="95" w:type="dxa"/>
              <w:start w:w="110" w:type="dxa"/>
              <w:bottom w:w="95" w:type="dxa"/>
              <w:end w:w="110" w:type="dxa"/>
            </w:tcMar>
            <w:shd w:val="clear" w:fill="F2F2F2"/>
          </w:tcPr>
          <w:p>
            <w:pPr>
              <w:pStyle w:val="TableText"/>
              <w:keepLines/>
            </w:pPr>
            <w:r>
              <w:rPr>
                <w:b w:val="0"/>
                <w:color w:val="203040"/>
                <w:sz w:val="18"/>
              </w:rPr>
              <w:t>P &lt; L; auto and explicit histories</w:t>
            </w:r>
          </w:p>
        </w:tc>
        <w:tc>
          <w:tcPr>
            <w:tcW w:type="dxa" w:w="5598"/>
            <w:vAlign w:val="center"/>
            <w:tcMar>
              <w:top w:w="95" w:type="dxa"/>
              <w:start w:w="110" w:type="dxa"/>
              <w:bottom w:w="95" w:type="dxa"/>
              <w:end w:w="110" w:type="dxa"/>
            </w:tcMar>
            <w:shd w:val="clear" w:fill="F2F2F2"/>
          </w:tcPr>
          <w:p>
            <w:pPr>
              <w:pStyle w:val="TableText"/>
              <w:keepLines/>
            </w:pPr>
            <w:r>
              <w:rPr>
                <w:b w:val="0"/>
                <w:color w:val="203040"/>
                <w:sz w:val="18"/>
              </w:rPr>
              <w:t>Measure the quality and resource trade-off of compact history.</w:t>
            </w:r>
          </w:p>
        </w:tc>
      </w:tr>
    </w:tbl>
    <w:p>
      <w:pPr>
        <w:widowControl/>
        <w:spacing w:after="40"/>
      </w:pPr>
    </w:p>
    <w:p>
      <w:pPr>
        <w:pStyle w:val="Requirement"/>
        <w:keepLines/>
        <w:widowControl/>
      </w:pPr>
      <w:r>
        <w:rPr>
          <w:b/>
          <w:color w:val="1F4E79"/>
        </w:rPr>
        <w:t>THO-EXP-001</w:t>
      </w:r>
      <w:r>
        <w:rPr>
          <w:color w:val="000000"/>
        </w:rPr>
        <w:t xml:space="preserve">  Matched model comparisons shall use the existing common-initialisation snapshot mechanism.</w:t>
      </w:r>
    </w:p>
    <w:p>
      <w:pPr>
        <w:pStyle w:val="Requirement"/>
        <w:keepLines/>
        <w:widowControl/>
      </w:pPr>
      <w:r>
        <w:rPr>
          <w:b/>
          <w:color w:val="1F4E79"/>
        </w:rPr>
        <w:t>THO-EXP-002</w:t>
      </w:r>
      <w:r>
        <w:rPr>
          <w:color w:val="000000"/>
        </w:rPr>
        <w:t xml:space="preserve">  Matched correctness runs shall use the same data order and stochastic configuration.</w:t>
      </w:r>
    </w:p>
    <w:p>
      <w:pPr>
        <w:pStyle w:val="Requirement"/>
        <w:keepLines/>
        <w:widowControl/>
      </w:pPr>
      <w:r>
        <w:rPr>
          <w:b/>
          <w:color w:val="1F4E79"/>
        </w:rPr>
        <w:t>THO-EXP-003</w:t>
      </w:r>
      <w:r>
        <w:rPr>
          <w:color w:val="000000"/>
        </w:rPr>
        <w:t xml:space="preserve">  A history-capacity sweep shall hold the model's P and L fixed.</w:t>
      </w:r>
    </w:p>
    <w:p>
      <w:pPr>
        <w:pStyle w:val="Requirement"/>
        <w:keepLines/>
        <w:widowControl/>
      </w:pPr>
      <w:r>
        <w:rPr>
          <w:b/>
          <w:color w:val="1F4E79"/>
        </w:rPr>
        <w:t>THO-EXP-004</w:t>
      </w:r>
      <w:r>
        <w:rPr>
          <w:color w:val="000000"/>
        </w:rPr>
        <w:t xml:space="preserve">  The sweep shall include at least one explicit count above each automatic count when L permits it.</w:t>
      </w:r>
    </w:p>
    <w:p>
      <w:pPr>
        <w:pStyle w:val="Requirement"/>
        <w:keepLines/>
        <w:widowControl/>
      </w:pPr>
      <w:r>
        <w:rPr>
          <w:b/>
          <w:color w:val="1F4E79"/>
        </w:rPr>
        <w:t>THO-EXP-005</w:t>
      </w:r>
      <w:r>
        <w:rPr>
          <w:color w:val="000000"/>
        </w:rPr>
        <w:t xml:space="preserve">  The sweep shall include full history capacity for a model small enough to run that reference.</w:t>
      </w:r>
    </w:p>
    <w:p>
      <w:pPr>
        <w:pStyle w:val="Requirement"/>
        <w:keepLines/>
        <w:widowControl/>
      </w:pPr>
      <w:r>
        <w:rPr>
          <w:b/>
          <w:color w:val="1F4E79"/>
        </w:rPr>
        <w:t>THO-EXP-006</w:t>
      </w:r>
      <w:r>
        <w:rPr>
          <w:color w:val="000000"/>
        </w:rPr>
        <w:t xml:space="preserve">  The experiment record shall distinguish fixed-gradient replay from independently evolving training runs.</w:t>
      </w:r>
    </w:p>
    <w:p>
      <w:pPr>
        <w:pStyle w:val="Requirement"/>
        <w:keepLines/>
        <w:widowControl/>
      </w:pPr>
      <w:r>
        <w:rPr>
          <w:b/>
          <w:color w:val="1F4E79"/>
        </w:rPr>
        <w:t>THO-EXP-007</w:t>
      </w:r>
      <w:r>
        <w:rPr>
          <w:color w:val="000000"/>
        </w:rPr>
        <w:t xml:space="preserve">  Optimizer comparisons shall report their learning-rate tuning procedure.</w:t>
      </w:r>
    </w:p>
    <w:p>
      <w:pPr>
        <w:pStyle w:val="Requirement"/>
        <w:keepLines/>
        <w:widowControl/>
      </w:pPr>
      <w:r>
        <w:rPr>
          <w:b/>
          <w:color w:val="1F4E79"/>
        </w:rPr>
        <w:t>THO-EXP-008</w:t>
      </w:r>
      <w:r>
        <w:rPr>
          <w:color w:val="000000"/>
        </w:rPr>
        <w:t xml:space="preserve">  A shared numerical learning rate shall not be treated as sufficient evidence of a fair SGD-versus-AdamW performance comparison.</w:t>
      </w:r>
    </w:p>
    <w:p>
      <w:pPr>
        <w:pStyle w:val="Heading2"/>
      </w:pPr>
      <w:bookmarkStart w:id="1049" w:name="thogopt_section_1049"/>
      <w:r>
        <w:t>12.2 Measurements and interpretation</w:t>
      </w:r>
      <w:bookmarkEnd w:id="1049"/>
    </w:p>
    <w:p>
      <w:pPr>
        <w:pStyle w:val="Requirement"/>
        <w:keepLines/>
        <w:widowControl/>
      </w:pPr>
      <w:r>
        <w:rPr>
          <w:b/>
          <w:color w:val="1F4E79"/>
        </w:rPr>
        <w:t>THO-EXP-009</w:t>
      </w:r>
      <w:r>
        <w:rPr>
          <w:color w:val="000000"/>
        </w:rPr>
        <w:t xml:space="preserve">  Every training comparison shall report validation loss against processed tokens.</w:t>
      </w:r>
    </w:p>
    <w:p>
      <w:pPr>
        <w:pStyle w:val="Requirement"/>
        <w:keepLines/>
        <w:widowControl/>
      </w:pPr>
      <w:r>
        <w:rPr>
          <w:b/>
          <w:color w:val="1F4E79"/>
        </w:rPr>
        <w:t>THO-EXP-010</w:t>
      </w:r>
      <w:r>
        <w:rPr>
          <w:color w:val="000000"/>
        </w:rPr>
        <w:t xml:space="preserve">  Every training comparison shall report validation loss against elapsed training time.</w:t>
      </w:r>
    </w:p>
    <w:p>
      <w:pPr>
        <w:pStyle w:val="Requirement"/>
        <w:keepLines/>
        <w:widowControl/>
      </w:pPr>
      <w:r>
        <w:rPr>
          <w:b/>
          <w:color w:val="1F4E79"/>
        </w:rPr>
        <w:t>THO-EXP-011</w:t>
      </w:r>
      <w:r>
        <w:rPr>
          <w:color w:val="000000"/>
        </w:rPr>
        <w:t xml:space="preserve">  Every training comparison shall report peak device memory.</w:t>
      </w:r>
    </w:p>
    <w:p>
      <w:pPr>
        <w:pStyle w:val="Requirement"/>
        <w:keepLines/>
        <w:widowControl/>
      </w:pPr>
      <w:r>
        <w:rPr>
          <w:b/>
          <w:color w:val="1F4E79"/>
        </w:rPr>
        <w:t>THO-EXP-012</w:t>
      </w:r>
      <w:r>
        <w:rPr>
          <w:color w:val="000000"/>
        </w:rPr>
        <w:t xml:space="preserve">  Every training comparison shall report peak host memory.</w:t>
      </w:r>
    </w:p>
    <w:p>
      <w:pPr>
        <w:pStyle w:val="Requirement"/>
        <w:keepLines/>
        <w:widowControl/>
      </w:pPr>
      <w:r>
        <w:rPr>
          <w:b/>
          <w:color w:val="1F4E79"/>
        </w:rPr>
        <w:t>THO-EXP-013</w:t>
      </w:r>
      <w:r>
        <w:rPr>
          <w:color w:val="000000"/>
        </w:rPr>
        <w:t xml:space="preserve">  Every training comparison shall report sustained throughput.</w:t>
      </w:r>
    </w:p>
    <w:p>
      <w:pPr>
        <w:pStyle w:val="Requirement"/>
        <w:keepLines/>
        <w:widowControl/>
      </w:pPr>
      <w:r>
        <w:rPr>
          <w:b/>
          <w:color w:val="1F4E79"/>
        </w:rPr>
        <w:t>THO-EXP-014</w:t>
      </w:r>
      <w:r>
        <w:rPr>
          <w:color w:val="000000"/>
        </w:rPr>
        <w:t xml:space="preserve">  Every history-capacity comparison shall report same-gradient moment and scaling errors where references are enabled.</w:t>
      </w:r>
    </w:p>
    <w:p>
      <w:pPr>
        <w:pStyle w:val="Requirement"/>
        <w:keepLines/>
        <w:widowControl/>
      </w:pPr>
      <w:r>
        <w:rPr>
          <w:b/>
          <w:color w:val="1F4E79"/>
        </w:rPr>
        <w:t>THO-EXP-015</w:t>
      </w:r>
      <w:r>
        <w:rPr>
          <w:color w:val="000000"/>
        </w:rPr>
        <w:t xml:space="preserve">  Every history-capacity comparison shall report projected-update error where a reference update is available.</w:t>
      </w:r>
    </w:p>
    <w:p>
      <w:pPr>
        <w:pStyle w:val="Requirement"/>
        <w:keepLines/>
        <w:widowControl/>
      </w:pPr>
      <w:r>
        <w:rPr>
          <w:b/>
          <w:color w:val="1F4E79"/>
        </w:rPr>
        <w:t>THO-EXP-016</w:t>
      </w:r>
      <w:r>
        <w:rPr>
          <w:color w:val="000000"/>
        </w:rPr>
        <w:t xml:space="preserve">  A comparative training-quality claim shall include repeated seeds or an explicit statement that its result is a single-run observation.</w:t>
      </w:r>
    </w:p>
    <w:p>
      <w:pPr>
        <w:pStyle w:val="Requirement"/>
        <w:keepLines/>
        <w:widowControl/>
      </w:pPr>
      <w:r>
        <w:rPr>
          <w:b/>
          <w:color w:val="1F4E79"/>
        </w:rPr>
        <w:t>THO-EXP-017</w:t>
      </w:r>
      <w:r>
        <w:rPr>
          <w:color w:val="000000"/>
        </w:rPr>
        <w:t xml:space="preserve">  A claim of practical AdamW-equivalent optimisation shall be supported by validation-loss and resource measurements.</w:t>
      </w:r>
    </w:p>
    <w:p>
      <w:pPr>
        <w:pStyle w:val="Requirement"/>
        <w:keepLines/>
        <w:widowControl/>
      </w:pPr>
      <w:r>
        <w:rPr>
          <w:b/>
          <w:color w:val="1F4E79"/>
        </w:rPr>
        <w:t>THO-EXP-018</w:t>
      </w:r>
      <w:r>
        <w:rPr>
          <w:color w:val="000000"/>
        </w:rPr>
        <w:t xml:space="preserve">  A claim of practical AdamW-equivalent optimisation shall not rely solely on visual curve overlap.</w:t>
      </w:r>
    </w:p>
    <w:p>
      <w:pPr>
        <w:widowControl/>
      </w:pPr>
      <w:r>
        <w:t>No theorem here promises that a particular compressed history budget will match the best dense loss. Equally, P &lt; L is not a reason to assume failure: it is the intended architecture. The release report must state whether a measured configuration achieves the required training quality while preserving useful memory savings and acceptable execution time. A correct implementation and a practically successful optimizer are separate results.</w:t>
      </w:r>
    </w:p>
    <w:p>
      <w:pPr>
        <w:pStyle w:val="Heading1"/>
      </w:pPr>
      <w:bookmarkStart w:id="1050" w:name="thogopt_section_1050"/>
      <w:r>
        <w:t>13 Implementation sequence and completion criteria</w:t>
      </w:r>
      <w:bookmarkEnd w:id="1050"/>
    </w:p>
    <w:p>
      <w:pPr>
        <w:pStyle w:val="Heading2"/>
      </w:pPr>
      <w:bookmarkStart w:id="1051" w:name="thogopt_section_1051"/>
      <w:r>
        <w:t>13.1 Reference implementation and production integration</w:t>
      </w:r>
      <w:bookmarkEnd w:id="1051"/>
    </w:p>
    <w:p>
      <w:pPr>
        <w:widowControl/>
      </w:pPr>
      <w:r>
        <w:t>The work should proceed from a small trusted numerical implementation to the production capture path, then to instrumentation and model experiments. This sequence makes a discrepancy attributable: the mathematical recurrence is checked before GPU staging, accumulation and UI concerns are combined.</w:t>
      </w:r>
    </w:p>
    <w:p>
      <w:pPr>
        <w:pStyle w:val="Requirement"/>
        <w:keepLines/>
        <w:widowControl/>
      </w:pPr>
      <w:r>
        <w:rPr>
          <w:b/>
          <w:color w:val="1F4E79"/>
        </w:rPr>
        <w:t>THO-DEL-001</w:t>
      </w:r>
      <w:r>
        <w:rPr>
          <w:color w:val="000000"/>
        </w:rPr>
        <w:t xml:space="preserve">  The implementation shall establish the FP64 numerical reference before accepting a production fitting kernel.</w:t>
      </w:r>
    </w:p>
    <w:p>
      <w:pPr>
        <w:pStyle w:val="Requirement"/>
        <w:keepLines/>
        <w:widowControl/>
      </w:pPr>
      <w:r>
        <w:rPr>
          <w:b/>
          <w:color w:val="1F4E79"/>
        </w:rPr>
        <w:t>THO-DEL-002</w:t>
      </w:r>
      <w:r>
        <w:rPr>
          <w:color w:val="000000"/>
        </w:rPr>
        <w:t xml:space="preserve">  The implementation shall establish raw-gradient capture correctness before accepting a full training comparison.</w:t>
      </w:r>
    </w:p>
    <w:p>
      <w:pPr>
        <w:pStyle w:val="Requirement"/>
        <w:keepLines/>
        <w:widowControl/>
      </w:pPr>
      <w:r>
        <w:rPr>
          <w:b/>
          <w:color w:val="1F4E79"/>
        </w:rPr>
        <w:t>THO-DEL-003</w:t>
      </w:r>
      <w:r>
        <w:rPr>
          <w:color w:val="000000"/>
        </w:rPr>
        <w:t xml:space="preserve">  The implementation shall integrate checkpoint support before long-running training trials.</w:t>
      </w:r>
    </w:p>
    <w:p>
      <w:pPr>
        <w:pStyle w:val="Requirement"/>
        <w:keepLines/>
        <w:widowControl/>
      </w:pPr>
      <w:r>
        <w:rPr>
          <w:b/>
          <w:color w:val="1F4E79"/>
        </w:rPr>
        <w:t>THO-DEL-004</w:t>
      </w:r>
      <w:r>
        <w:rPr>
          <w:color w:val="000000"/>
        </w:rPr>
        <w:t xml:space="preserve">  The implementation shall provide Instra history comparison before selecting default production history budgets from experiments.</w:t>
      </w:r>
    </w:p>
    <w:p>
      <w:pPr>
        <w:pStyle w:val="Requirement"/>
        <w:keepLines/>
        <w:widowControl/>
      </w:pPr>
      <w:r>
        <w:rPr>
          <w:b/>
          <w:color w:val="1F4E79"/>
        </w:rPr>
        <w:t>THO-DEL-005</w:t>
      </w:r>
      <w:r>
        <w:rPr>
          <w:color w:val="000000"/>
        </w:rPr>
        <w:t xml:space="preserve">  The implementation shall preserve the project's existing conventions for marking modifications to nanoGPT.</w:t>
      </w:r>
    </w:p>
    <w:p>
      <w:pPr>
        <w:pStyle w:val="Heading2"/>
      </w:pPr>
      <w:bookmarkStart w:id="1052" w:name="thogopt_section_1052"/>
      <w:r>
        <w:t>13.2 Deliverables</w:t>
      </w:r>
      <w:bookmarkEnd w:id="1052"/>
    </w:p>
    <w:p>
      <w:pPr>
        <w:pStyle w:val="Requirement"/>
        <w:keepLines/>
        <w:widowControl/>
      </w:pPr>
      <w:r>
        <w:rPr>
          <w:b/>
          <w:color w:val="1F4E79"/>
        </w:rPr>
        <w:t>THO-DEL-006</w:t>
      </w:r>
      <w:r>
        <w:rPr>
          <w:color w:val="000000"/>
        </w:rPr>
        <w:t xml:space="preserve">  The completed enhancement shall include the thogopt optimizer implementation.</w:t>
      </w:r>
    </w:p>
    <w:p>
      <w:pPr>
        <w:pStyle w:val="Requirement"/>
        <w:keepLines/>
        <w:widowControl/>
      </w:pPr>
      <w:r>
        <w:rPr>
          <w:b/>
          <w:color w:val="1F4E79"/>
        </w:rPr>
        <w:t>THO-DEL-007</w:t>
      </w:r>
      <w:r>
        <w:rPr>
          <w:color w:val="000000"/>
        </w:rPr>
        <w:t xml:space="preserve">  The completed enhancement shall include help and run-metadata support for both history-count settings.</w:t>
      </w:r>
    </w:p>
    <w:p>
      <w:pPr>
        <w:pStyle w:val="Requirement"/>
        <w:keepLines/>
        <w:widowControl/>
      </w:pPr>
      <w:r>
        <w:rPr>
          <w:b/>
          <w:color w:val="1F4E79"/>
        </w:rPr>
        <w:t>THO-DEL-008</w:t>
      </w:r>
      <w:r>
        <w:rPr>
          <w:color w:val="000000"/>
        </w:rPr>
        <w:t xml:space="preserve">  The completed enhancement shall include the numerical and lifecycle tests in section 11.</w:t>
      </w:r>
    </w:p>
    <w:p>
      <w:pPr>
        <w:pStyle w:val="Requirement"/>
        <w:keepLines/>
        <w:widowControl/>
      </w:pPr>
      <w:r>
        <w:rPr>
          <w:b/>
          <w:color w:val="1F4E79"/>
        </w:rPr>
        <w:t>THO-DEL-009</w:t>
      </w:r>
      <w:r>
        <w:rPr>
          <w:color w:val="000000"/>
        </w:rPr>
        <w:t xml:space="preserve">  The completed enhancement shall include the two Instra history groups and their inspectors.</w:t>
      </w:r>
    </w:p>
    <w:p>
      <w:pPr>
        <w:pStyle w:val="Requirement"/>
        <w:keepLines/>
        <w:widowControl/>
      </w:pPr>
      <w:r>
        <w:rPr>
          <w:b/>
          <w:color w:val="1F4E79"/>
        </w:rPr>
        <w:t>THO-DEL-010</w:t>
      </w:r>
      <w:r>
        <w:rPr>
          <w:color w:val="000000"/>
        </w:rPr>
        <w:t xml:space="preserve">  The completed enhancement shall include a recorded benchmark report for the experiments in section 12.</w:t>
      </w:r>
    </w:p>
    <w:p>
      <w:pPr>
        <w:pStyle w:val="Requirement"/>
        <w:keepLines/>
        <w:widowControl/>
      </w:pPr>
      <w:r>
        <w:rPr>
          <w:b/>
          <w:color w:val="1F4E79"/>
        </w:rPr>
        <w:t>THO-DEL-011</w:t>
      </w:r>
      <w:r>
        <w:rPr>
          <w:color w:val="000000"/>
        </w:rPr>
        <w:t xml:space="preserve">  The benchmark report shall identify any unresolved numerical, capture or performance limitation.</w:t>
      </w:r>
    </w:p>
    <w:p>
      <w:pPr>
        <w:pStyle w:val="Requirement"/>
        <w:keepLines/>
        <w:widowControl/>
      </w:pPr>
      <w:r>
        <w:rPr>
          <w:b/>
          <w:color w:val="1F4E79"/>
        </w:rPr>
        <w:t>THO-DEL-012</w:t>
      </w:r>
      <w:r>
        <w:rPr>
          <w:color w:val="000000"/>
        </w:rPr>
        <w:t xml:space="preserve">  The delivery shall distinguish implemented functionality from empirically demonstrated training benefits.</w:t>
      </w:r>
    </w:p>
    <w:p>
      <w:pPr>
        <w:pStyle w:val="Heading1"/>
      </w:pPr>
      <w:bookmarkStart w:id="1053" w:name="thogopt_section_1053"/>
      <w:r>
        <w:t>Appendix A - Required state and capture metadata</w:t>
      </w:r>
      <w:bookmarkEnd w:id="1053"/>
    </w:p>
    <w:p>
      <w:pPr>
        <w:widowControl/>
      </w:pPr>
      <w:r>
        <w:t>The following schemas define the minimum logical fields. Existing equivalent fields may be reused; duplicate names are unnecessary. All counts refer to scalar coefficients per coupling coordinate in the relevant depth group.</w:t>
      </w:r>
    </w:p>
    <w:tbl>
      <w:tblPr>
        <w:jc w:val="left"/>
        <w:tblLook w:firstColumn="1" w:firstRow="1" w:lastColumn="0" w:lastRow="0" w:noHBand="0" w:noVBand="1" w:val="04A0"/>
        <w:tblW w:w="9398" w:type="dxa"/>
        <w:tblInd w:w="110" w:type="dxa"/>
        <w:tblLayout w:type="fixed"/>
        <w:tblBorders>
          <w:top w:val="single" w:sz="4" w:color="C7C7C7"/>
          <w:left w:val="single" w:sz="4" w:color="C7C7C7"/>
          <w:bottom w:val="single" w:sz="4" w:color="C7C7C7"/>
          <w:right w:val="single" w:sz="4" w:color="C7C7C7"/>
          <w:insideH w:val="single" w:sz="4" w:color="C7C7C7"/>
          <w:insideV w:val="single" w:sz="4" w:color="C7C7C7"/>
        </w:tblBorders>
      </w:tblPr>
      <w:tblGrid>
        <w:gridCol w:w="2550"/>
        <w:gridCol w:w="6848"/>
      </w:tblGrid>
      <w:tr>
        <w:trPr>
          <w:cantSplit/>
          <w:tblHeader/>
        </w:trPr>
        <w:tc>
          <w:tcPr>
            <w:tcW w:type="dxa" w:w="2550"/>
            <w:vAlign w:val="center"/>
            <w:tcMar>
              <w:top w:w="95" w:type="dxa"/>
              <w:start w:w="110" w:type="dxa"/>
              <w:bottom w:w="95" w:type="dxa"/>
              <w:end w:w="110" w:type="dxa"/>
            </w:tcMar>
            <w:shd w:val="clear" w:fill="D9EAF7"/>
          </w:tcPr>
          <w:p>
            <w:pPr>
              <w:pStyle w:val="TableText"/>
              <w:keepLines/>
            </w:pPr>
            <w:r>
              <w:rPr>
                <w:b/>
                <w:color w:val="203040"/>
                <w:sz w:val="18"/>
              </w:rPr>
              <w:t>Record</w:t>
            </w:r>
          </w:p>
        </w:tc>
        <w:tc>
          <w:tcPr>
            <w:tcW w:type="dxa" w:w="6848"/>
            <w:vAlign w:val="center"/>
            <w:tcMar>
              <w:top w:w="95" w:type="dxa"/>
              <w:start w:w="110" w:type="dxa"/>
              <w:bottom w:w="95" w:type="dxa"/>
              <w:end w:w="110" w:type="dxa"/>
            </w:tcMar>
            <w:shd w:val="clear" w:fill="D9EAF7"/>
          </w:tcPr>
          <w:p>
            <w:pPr>
              <w:pStyle w:val="TableText"/>
              <w:keepLines/>
            </w:pPr>
            <w:r>
              <w:rPr>
                <w:b/>
                <w:color w:val="203040"/>
                <w:sz w:val="18"/>
              </w:rPr>
              <w:t>Required fields</w:t>
            </w:r>
          </w:p>
        </w:tc>
      </w:tr>
      <w:tr>
        <w:trPr>
          <w:cantSplit/>
        </w:trPr>
        <w:tc>
          <w:tcPr>
            <w:tcW w:type="dxa" w:w="2550"/>
            <w:vAlign w:val="center"/>
            <w:tcMar>
              <w:top w:w="95" w:type="dxa"/>
              <w:start w:w="110" w:type="dxa"/>
              <w:bottom w:w="95" w:type="dxa"/>
              <w:end w:w="110" w:type="dxa"/>
            </w:tcMar>
          </w:tcPr>
          <w:p>
            <w:pPr>
              <w:pStyle w:val="TableText"/>
              <w:keepLines/>
            </w:pPr>
            <w:r>
              <w:rPr>
                <w:b w:val="0"/>
                <w:color w:val="203040"/>
                <w:sz w:val="18"/>
              </w:rPr>
              <w:t>Optimizer identity</w:t>
            </w:r>
          </w:p>
        </w:tc>
        <w:tc>
          <w:tcPr>
            <w:tcW w:type="dxa" w:w="6848"/>
            <w:vAlign w:val="center"/>
            <w:tcMar>
              <w:top w:w="95" w:type="dxa"/>
              <w:start w:w="110" w:type="dxa"/>
              <w:bottom w:w="95" w:type="dxa"/>
              <w:end w:w="110" w:type="dxa"/>
            </w:tcMar>
          </w:tcPr>
          <w:p>
            <w:pPr>
              <w:pStyle w:val="TableText"/>
              <w:keepLines/>
            </w:pPr>
            <w:r>
              <w:rPr>
                <w:b w:val="0"/>
                <w:color w:val="203040"/>
                <w:sz w:val="18"/>
              </w:rPr>
              <w:t>optimizer name; schema version; numerical fitting convention</w:t>
            </w:r>
          </w:p>
        </w:tc>
      </w:tr>
      <w:tr>
        <w:trPr>
          <w:cantSplit/>
        </w:trPr>
        <w:tc>
          <w:tcPr>
            <w:tcW w:type="dxa" w:w="2550"/>
            <w:vAlign w:val="center"/>
            <w:tcMar>
              <w:top w:w="95" w:type="dxa"/>
              <w:start w:w="110" w:type="dxa"/>
              <w:bottom w:w="95" w:type="dxa"/>
              <w:end w:w="110" w:type="dxa"/>
            </w:tcMar>
            <w:shd w:val="clear" w:fill="F2F2F2"/>
          </w:tcPr>
          <w:p>
            <w:pPr>
              <w:pStyle w:val="TableText"/>
              <w:keepLines/>
            </w:pPr>
            <w:r>
              <w:rPr>
                <w:b w:val="0"/>
                <w:color w:val="203040"/>
                <w:sz w:val="18"/>
              </w:rPr>
              <w:t>Physical layout</w:t>
            </w:r>
          </w:p>
        </w:tc>
        <w:tc>
          <w:tcPr>
            <w:tcW w:type="dxa" w:w="6848"/>
            <w:vAlign w:val="center"/>
            <w:tcMar>
              <w:top w:w="95" w:type="dxa"/>
              <w:start w:w="110" w:type="dxa"/>
              <w:bottom w:w="95" w:type="dxa"/>
              <w:end w:w="110" w:type="dxa"/>
            </w:tcMar>
            <w:shd w:val="clear" w:fill="F2F2F2"/>
          </w:tcPr>
          <w:p>
            <w:pPr>
              <w:pStyle w:val="TableText"/>
              <w:keepLines/>
            </w:pPr>
            <w:r>
              <w:rPr>
                <w:b w:val="0"/>
                <w:color w:val="203040"/>
                <w:sz w:val="18"/>
              </w:rPr>
              <w:t>parameter family; tensor shape; head/row/column ordering; L; layer coordinates</w:t>
            </w:r>
          </w:p>
        </w:tc>
      </w:tr>
      <w:tr>
        <w:trPr>
          <w:cantSplit/>
        </w:trPr>
        <w:tc>
          <w:tcPr>
            <w:tcW w:type="dxa" w:w="2550"/>
            <w:vAlign w:val="center"/>
            <w:tcMar>
              <w:top w:w="95" w:type="dxa"/>
              <w:start w:w="110" w:type="dxa"/>
              <w:bottom w:w="95" w:type="dxa"/>
              <w:end w:w="110" w:type="dxa"/>
            </w:tcMar>
          </w:tcPr>
          <w:p>
            <w:pPr>
              <w:pStyle w:val="TableText"/>
              <w:keepLines/>
            </w:pPr>
            <w:r>
              <w:rPr>
                <w:b w:val="0"/>
                <w:color w:val="203040"/>
                <w:sz w:val="18"/>
              </w:rPr>
              <w:t>Weight representation</w:t>
            </w:r>
          </w:p>
        </w:tc>
        <w:tc>
          <w:tcPr>
            <w:tcW w:type="dxa" w:w="6848"/>
            <w:vAlign w:val="center"/>
            <w:tcMar>
              <w:top w:w="95" w:type="dxa"/>
              <w:start w:w="110" w:type="dxa"/>
              <w:bottom w:w="95" w:type="dxa"/>
              <w:end w:w="110" w:type="dxa"/>
            </w:tcMar>
          </w:tcPr>
          <w:p>
            <w:pPr>
              <w:pStyle w:val="TableText"/>
              <w:keepLines/>
            </w:pPr>
            <w:r>
              <w:rPr>
                <w:b w:val="0"/>
                <w:color w:val="203040"/>
                <w:sz w:val="18"/>
              </w:rPr>
              <w:t>P; weight basis identity; weight initialisation provenance</w:t>
            </w:r>
          </w:p>
        </w:tc>
      </w:tr>
      <w:tr>
        <w:trPr>
          <w:cantSplit/>
        </w:trPr>
        <w:tc>
          <w:tcPr>
            <w:tcW w:type="dxa" w:w="2550"/>
            <w:vAlign w:val="center"/>
            <w:tcMar>
              <w:top w:w="95" w:type="dxa"/>
              <w:start w:w="110" w:type="dxa"/>
              <w:bottom w:w="95" w:type="dxa"/>
              <w:end w:w="110" w:type="dxa"/>
            </w:tcMar>
            <w:shd w:val="clear" w:fill="F2F2F2"/>
          </w:tcPr>
          <w:p>
            <w:pPr>
              <w:pStyle w:val="TableText"/>
              <w:keepLines/>
            </w:pPr>
            <w:r>
              <w:rPr>
                <w:b w:val="0"/>
                <w:color w:val="203040"/>
                <w:sz w:val="18"/>
              </w:rPr>
              <w:t>History representation</w:t>
            </w:r>
          </w:p>
        </w:tc>
        <w:tc>
          <w:tcPr>
            <w:tcW w:type="dxa" w:w="6848"/>
            <w:vAlign w:val="center"/>
            <w:tcMar>
              <w:top w:w="95" w:type="dxa"/>
              <w:start w:w="110" w:type="dxa"/>
              <w:bottom w:w="95" w:type="dxa"/>
              <w:end w:w="110" w:type="dxa"/>
            </w:tcMar>
            <w:shd w:val="clear" w:fill="F2F2F2"/>
          </w:tcPr>
          <w:p>
            <w:pPr>
              <w:pStyle w:val="TableText"/>
              <w:keepLines/>
            </w:pPr>
            <w:r>
              <w:rPr>
                <w:b w:val="0"/>
                <w:color w:val="203040"/>
                <w:sz w:val="18"/>
              </w:rPr>
              <w:t>requested settings; nominal counts; effective H_m and H_v; history basis identities; dtype</w:t>
            </w:r>
          </w:p>
        </w:tc>
      </w:tr>
      <w:tr>
        <w:trPr>
          <w:cantSplit/>
        </w:trPr>
        <w:tc>
          <w:tcPr>
            <w:tcW w:type="dxa" w:w="2550"/>
            <w:vAlign w:val="center"/>
            <w:tcMar>
              <w:top w:w="95" w:type="dxa"/>
              <w:start w:w="110" w:type="dxa"/>
              <w:bottom w:w="95" w:type="dxa"/>
              <w:end w:w="110" w:type="dxa"/>
            </w:tcMar>
          </w:tcPr>
          <w:p>
            <w:pPr>
              <w:pStyle w:val="TableText"/>
              <w:keepLines/>
            </w:pPr>
            <w:r>
              <w:rPr>
                <w:b w:val="0"/>
                <w:color w:val="203040"/>
                <w:sz w:val="18"/>
              </w:rPr>
              <w:t>AdamW configuration</w:t>
            </w:r>
          </w:p>
        </w:tc>
        <w:tc>
          <w:tcPr>
            <w:tcW w:type="dxa" w:w="6848"/>
            <w:vAlign w:val="center"/>
            <w:tcMar>
              <w:top w:w="95" w:type="dxa"/>
              <w:start w:w="110" w:type="dxa"/>
              <w:bottom w:w="95" w:type="dxa"/>
              <w:end w:w="110" w:type="dxa"/>
            </w:tcMar>
          </w:tcPr>
          <w:p>
            <w:pPr>
              <w:pStyle w:val="TableText"/>
              <w:keepLines/>
            </w:pPr>
            <w:r>
              <w:rPr>
                <w:b w:val="0"/>
                <w:color w:val="203040"/>
                <w:sz w:val="18"/>
              </w:rPr>
              <w:t>learning rate; beta_1; beta_2; epsilon; weight decay; decay-group membership</w:t>
            </w:r>
          </w:p>
        </w:tc>
      </w:tr>
      <w:tr>
        <w:trPr>
          <w:cantSplit/>
        </w:trPr>
        <w:tc>
          <w:tcPr>
            <w:tcW w:type="dxa" w:w="2550"/>
            <w:vAlign w:val="center"/>
            <w:tcMar>
              <w:top w:w="95" w:type="dxa"/>
              <w:start w:w="110" w:type="dxa"/>
              <w:bottom w:w="95" w:type="dxa"/>
              <w:end w:w="110" w:type="dxa"/>
            </w:tcMar>
            <w:shd w:val="clear" w:fill="F2F2F2"/>
          </w:tcPr>
          <w:p>
            <w:pPr>
              <w:pStyle w:val="TableText"/>
              <w:keepLines/>
            </w:pPr>
            <w:r>
              <w:rPr>
                <w:b w:val="0"/>
                <w:color w:val="203040"/>
                <w:sz w:val="18"/>
              </w:rPr>
              <w:t>Progress</w:t>
            </w:r>
          </w:p>
        </w:tc>
        <w:tc>
          <w:tcPr>
            <w:tcW w:type="dxa" w:w="6848"/>
            <w:vAlign w:val="center"/>
            <w:tcMar>
              <w:top w:w="95" w:type="dxa"/>
              <w:start w:w="110" w:type="dxa"/>
              <w:bottom w:w="95" w:type="dxa"/>
              <w:end w:w="110" w:type="dxa"/>
            </w:tcMar>
            <w:shd w:val="clear" w:fill="F2F2F2"/>
          </w:tcPr>
          <w:p>
            <w:pPr>
              <w:pStyle w:val="TableText"/>
              <w:keepLines/>
            </w:pPr>
            <w:r>
              <w:rPr>
                <w:b w:val="0"/>
                <w:color w:val="203040"/>
                <w:sz w:val="18"/>
              </w:rPr>
              <w:t>committed-update counters; training-step identity; history origin; last reset reason</w:t>
            </w:r>
          </w:p>
        </w:tc>
      </w:tr>
      <w:tr>
        <w:trPr>
          <w:cantSplit/>
        </w:trPr>
        <w:tc>
          <w:tcPr>
            <w:tcW w:type="dxa" w:w="2550"/>
            <w:vAlign w:val="center"/>
            <w:tcMar>
              <w:top w:w="95" w:type="dxa"/>
              <w:start w:w="110" w:type="dxa"/>
              <w:bottom w:w="95" w:type="dxa"/>
              <w:end w:w="110" w:type="dxa"/>
            </w:tcMar>
          </w:tcPr>
          <w:p>
            <w:pPr>
              <w:pStyle w:val="TableText"/>
              <w:keepLines/>
            </w:pPr>
            <w:r>
              <w:rPr>
                <w:b w:val="0"/>
                <w:color w:val="203040"/>
                <w:sz w:val="18"/>
              </w:rPr>
              <w:t>Capture identity</w:t>
            </w:r>
          </w:p>
        </w:tc>
        <w:tc>
          <w:tcPr>
            <w:tcW w:type="dxa" w:w="6848"/>
            <w:vAlign w:val="center"/>
            <w:tcMar>
              <w:top w:w="95" w:type="dxa"/>
              <w:start w:w="110" w:type="dxa"/>
              <w:bottom w:w="95" w:type="dxa"/>
              <w:end w:w="110" w:type="dxa"/>
            </w:tcMar>
          </w:tcPr>
          <w:p>
            <w:pPr>
              <w:pStyle w:val="TableText"/>
              <w:keepLines/>
            </w:pPr>
            <w:r>
              <w:rPr>
                <w:b w:val="0"/>
                <w:color w:val="203040"/>
                <w:sz w:val="18"/>
              </w:rPr>
              <w:t>run identity; step; capture phase; family; quantity; bias-correction convention</w:t>
            </w:r>
          </w:p>
        </w:tc>
      </w:tr>
      <w:tr>
        <w:trPr>
          <w:cantSplit/>
        </w:trPr>
        <w:tc>
          <w:tcPr>
            <w:tcW w:type="dxa" w:w="2550"/>
            <w:vAlign w:val="center"/>
            <w:tcMar>
              <w:top w:w="95" w:type="dxa"/>
              <w:start w:w="110" w:type="dxa"/>
              <w:bottom w:w="95" w:type="dxa"/>
              <w:end w:w="110" w:type="dxa"/>
            </w:tcMar>
            <w:shd w:val="clear" w:fill="F2F2F2"/>
          </w:tcPr>
          <w:p>
            <w:pPr>
              <w:pStyle w:val="TableText"/>
              <w:keepLines/>
            </w:pPr>
            <w:r>
              <w:rPr>
                <w:b w:val="0"/>
                <w:color w:val="203040"/>
                <w:sz w:val="18"/>
              </w:rPr>
              <w:t>Capture coverage</w:t>
            </w:r>
          </w:p>
        </w:tc>
        <w:tc>
          <w:tcPr>
            <w:tcW w:type="dxa" w:w="6848"/>
            <w:vAlign w:val="center"/>
            <w:tcMar>
              <w:top w:w="95" w:type="dxa"/>
              <w:start w:w="110" w:type="dxa"/>
              <w:bottom w:w="95" w:type="dxa"/>
              <w:end w:w="110" w:type="dxa"/>
            </w:tcMar>
            <w:shd w:val="clear" w:fill="F2F2F2"/>
          </w:tcPr>
          <w:p>
            <w:pPr>
              <w:pStyle w:val="TableText"/>
              <w:keepLines/>
            </w:pPr>
            <w:r>
              <w:rPr>
                <w:b w:val="0"/>
                <w:color w:val="203040"/>
                <w:sz w:val="18"/>
              </w:rPr>
              <w:t>recorded coupling pairs or complete matrix coverage; available layers; available steps</w:t>
            </w:r>
          </w:p>
        </w:tc>
      </w:tr>
      <w:tr>
        <w:trPr>
          <w:cantSplit/>
        </w:trPr>
        <w:tc>
          <w:tcPr>
            <w:tcW w:type="dxa" w:w="2550"/>
            <w:vAlign w:val="center"/>
            <w:tcMar>
              <w:top w:w="95" w:type="dxa"/>
              <w:start w:w="110" w:type="dxa"/>
              <w:bottom w:w="95" w:type="dxa"/>
              <w:end w:w="110" w:type="dxa"/>
            </w:tcMar>
          </w:tcPr>
          <w:p>
            <w:pPr>
              <w:pStyle w:val="TableText"/>
              <w:keepLines/>
            </w:pPr>
            <w:r>
              <w:rPr>
                <w:b w:val="0"/>
                <w:color w:val="203040"/>
                <w:sz w:val="18"/>
              </w:rPr>
              <w:t>Reference provenance</w:t>
            </w:r>
          </w:p>
        </w:tc>
        <w:tc>
          <w:tcPr>
            <w:tcW w:type="dxa" w:w="6848"/>
            <w:vAlign w:val="center"/>
            <w:tcMar>
              <w:top w:w="95" w:type="dxa"/>
              <w:start w:w="110" w:type="dxa"/>
              <w:bottom w:w="95" w:type="dxa"/>
              <w:end w:w="110" w:type="dxa"/>
            </w:tcMar>
          </w:tcPr>
          <w:p>
            <w:pPr>
              <w:pStyle w:val="TableText"/>
              <w:keepLines/>
            </w:pPr>
            <w:r>
              <w:rPr>
                <w:b w:val="0"/>
                <w:color w:val="203040"/>
                <w:sz w:val="18"/>
              </w:rPr>
              <w:t>same-gradient or separate-run type; reference run if applicable; reference history origin</w:t>
            </w:r>
          </w:p>
        </w:tc>
      </w:tr>
      <w:tr>
        <w:trPr>
          <w:cantSplit/>
        </w:trPr>
        <w:tc>
          <w:tcPr>
            <w:tcW w:type="dxa" w:w="2550"/>
            <w:vAlign w:val="center"/>
            <w:tcMar>
              <w:top w:w="95" w:type="dxa"/>
              <w:start w:w="110" w:type="dxa"/>
              <w:bottom w:w="95" w:type="dxa"/>
              <w:end w:w="110" w:type="dxa"/>
            </w:tcMar>
            <w:shd w:val="clear" w:fill="F2F2F2"/>
          </w:tcPr>
          <w:p>
            <w:pPr>
              <w:pStyle w:val="TableText"/>
              <w:keepLines/>
            </w:pPr>
            <w:r>
              <w:rPr>
                <w:b w:val="0"/>
                <w:color w:val="203040"/>
                <w:sz w:val="18"/>
              </w:rPr>
              <w:t>Numerical diagnostics</w:t>
            </w:r>
          </w:p>
        </w:tc>
        <w:tc>
          <w:tcPr>
            <w:tcW w:type="dxa" w:w="6848"/>
            <w:vAlign w:val="center"/>
            <w:tcMar>
              <w:top w:w="95" w:type="dxa"/>
              <w:start w:w="110" w:type="dxa"/>
              <w:bottom w:w="95" w:type="dxa"/>
              <w:end w:w="110" w:type="dxa"/>
            </w:tcMar>
            <w:shd w:val="clear" w:fill="F2F2F2"/>
          </w:tcPr>
          <w:p>
            <w:pPr>
              <w:pStyle w:val="TableText"/>
              <w:keepLines/>
            </w:pPr>
            <w:r>
              <w:rPr>
                <w:b w:val="0"/>
                <w:color w:val="203040"/>
                <w:sz w:val="18"/>
              </w:rPr>
              <w:t>fit residuals; active non-negativity constraints; roundoff correction counts and magnitudes</w:t>
            </w:r>
          </w:p>
        </w:tc>
      </w:tr>
      <w:tr>
        <w:trPr>
          <w:cantSplit/>
        </w:trPr>
        <w:tc>
          <w:tcPr>
            <w:tcW w:type="dxa" w:w="2550"/>
            <w:vAlign w:val="center"/>
            <w:tcMar>
              <w:top w:w="95" w:type="dxa"/>
              <w:start w:w="110" w:type="dxa"/>
              <w:bottom w:w="95" w:type="dxa"/>
              <w:end w:w="110" w:type="dxa"/>
            </w:tcMar>
          </w:tcPr>
          <w:p>
            <w:pPr>
              <w:pStyle w:val="TableText"/>
              <w:keepLines/>
            </w:pPr>
            <w:r>
              <w:rPr>
                <w:b w:val="0"/>
                <w:color w:val="203040"/>
                <w:sz w:val="18"/>
              </w:rPr>
              <w:t>Resource diagnostics</w:t>
            </w:r>
          </w:p>
        </w:tc>
        <w:tc>
          <w:tcPr>
            <w:tcW w:type="dxa" w:w="6848"/>
            <w:vAlign w:val="center"/>
            <w:tcMar>
              <w:top w:w="95" w:type="dxa"/>
              <w:start w:w="110" w:type="dxa"/>
              <w:bottom w:w="95" w:type="dxa"/>
              <w:end w:w="110" w:type="dxa"/>
            </w:tcMar>
          </w:tcPr>
          <w:p>
            <w:pPr>
              <w:pStyle w:val="TableText"/>
              <w:keepLines/>
            </w:pPr>
            <w:r>
              <w:rPr>
                <w:b w:val="0"/>
                <w:color w:val="203040"/>
                <w:sz w:val="18"/>
              </w:rPr>
              <w:t>persistent state bytes; device workspace peak; host staging peak; capture configuration</w:t>
            </w:r>
          </w:p>
        </w:tc>
      </w:tr>
    </w:tbl>
    <w:p>
      <w:pPr>
        <w:widowControl/>
        <w:spacing w:after="40"/>
      </w:pPr>
    </w:p>
    <w:p>
      <w:pPr>
        <w:pStyle w:val="Requirement"/>
        <w:keepLines/>
        <w:widowControl/>
      </w:pPr>
      <w:r>
        <w:rPr>
          <w:b/>
          <w:color w:val="1F4E79"/>
        </w:rPr>
        <w:t>THO-META-001</w:t>
      </w:r>
      <w:r>
        <w:rPr>
          <w:color w:val="000000"/>
        </w:rPr>
        <w:t xml:space="preserve">  Optimizer checkpoints shall retain the applicable state fields in Appendix A.</w:t>
      </w:r>
    </w:p>
    <w:p>
      <w:pPr>
        <w:pStyle w:val="Requirement"/>
        <w:keepLines/>
        <w:widowControl/>
      </w:pPr>
      <w:r>
        <w:rPr>
          <w:b/>
          <w:color w:val="1F4E79"/>
        </w:rPr>
        <w:t>THO-META-002</w:t>
      </w:r>
      <w:r>
        <w:rPr>
          <w:color w:val="000000"/>
        </w:rPr>
        <w:t xml:space="preserve">  Instrumentation captures shall retain the applicable capture fields in Appendix A.</w:t>
      </w:r>
    </w:p>
    <w:p>
      <w:pPr>
        <w:pStyle w:val="Requirement"/>
        <w:keepLines/>
        <w:widowControl/>
      </w:pPr>
      <w:r>
        <w:rPr>
          <w:b/>
          <w:color w:val="1F4E79"/>
        </w:rPr>
        <w:t>THO-META-003</w:t>
      </w:r>
      <w:r>
        <w:rPr>
          <w:color w:val="000000"/>
        </w:rPr>
        <w:t xml:space="preserve">  Recorded numerical data shall preserve their original dtype or a declared lossless encoding.</w:t>
      </w:r>
    </w:p>
    <w:p>
      <w:pPr>
        <w:pStyle w:val="Requirement"/>
        <w:keepLines/>
        <w:widowControl/>
      </w:pPr>
      <w:r>
        <w:rPr>
          <w:b/>
          <w:color w:val="1F4E79"/>
        </w:rPr>
        <w:t>THO-META-004</w:t>
      </w:r>
      <w:r>
        <w:rPr>
          <w:color w:val="000000"/>
        </w:rPr>
        <w:t xml:space="preserve">  A capture reader shall reject incompatible schemas with an actionable diagnostic.</w:t>
      </w:r>
    </w:p>
    <w:p>
      <w:pPr>
        <w:pStyle w:val="Heading1"/>
      </w:pPr>
      <w:bookmarkStart w:id="1054" w:name="thogopt_section_1054"/>
      <w:r>
        <w:t>Appendix B - Technical references</w:t>
      </w:r>
      <w:bookmarkEnd w:id="1054"/>
    </w:p>
    <w:p>
      <w:pPr>
        <w:widowControl/>
      </w:pPr>
      <w:r>
        <w:t>These sources support the optimizer explanation and the coordinate-dependence rationale. They do not establish thogopt's training performance. The thogopt recurrences, fitting constraints and acceptance requirements in this document are the proposed design.</w:t>
      </w:r>
    </w:p>
    <w:p>
      <w:pPr>
        <w:widowControl/>
      </w:pPr>
      <w:r>
        <w:t xml:space="preserve">[1] Kingma and Ba, Adam: A Method for Stochastic Optimization. </w:t>
      </w:r>
      <w:hyperlink r:id="rId13">
        <w:r>
          <w:rPr>
            <w:color w:val="1F4E79"/>
            <w:u w:val="single"/>
          </w:rPr>
          <w:t>https://arxiv.org/abs/1412.6980</w:t>
        </w:r>
      </w:hyperlink>
    </w:p>
    <w:p>
      <w:pPr>
        <w:widowControl/>
      </w:pPr>
      <w:r>
        <w:t xml:space="preserve">[2] Loshchilov and Hutter, Decoupled Weight Decay Regularization. </w:t>
      </w:r>
      <w:hyperlink r:id="rId14">
        <w:r>
          <w:rPr>
            <w:color w:val="1F4E79"/>
            <w:u w:val="single"/>
          </w:rPr>
          <w:t>https://arxiv.org/abs/1711.05101</w:t>
        </w:r>
      </w:hyperlink>
    </w:p>
    <w:p>
      <w:pPr>
        <w:widowControl/>
      </w:pPr>
      <w:r>
        <w:t xml:space="preserve">[3] Zhang et al., Understanding Adam Requires Better Rotation Dependent Assumptions. </w:t>
      </w:r>
      <w:hyperlink r:id="rId15">
        <w:r>
          <w:rPr>
            <w:color w:val="1F4E79"/>
            <w:u w:val="single"/>
          </w:rPr>
          <w:t>https://arxiv.org/html/2410.19964v2</w:t>
        </w:r>
      </w:hyperlink>
    </w:p>
    <w:p>
      <w:pPr>
        <w:widowControl/>
      </w:pPr>
      <w:r>
        <w:t xml:space="preserve">[4] PyTorch 2.8, AdamW algorithm and optimizer-state interface. </w:t>
      </w:r>
      <w:hyperlink r:id="rId16">
        <w:r>
          <w:rPr>
            <w:color w:val="1F4E79"/>
            <w:u w:val="single"/>
          </w:rPr>
          <w:t>https://docs.pytorch.org/docs/2.8/generated/torch.optim.AdamW.html</w:t>
        </w:r>
      </w:hyperlink>
    </w:p>
    <w:sectPr w:rsidR="00FC693F" w:rsidRPr="0006063C" w:rsidSect="00034616">
      <w:headerReference w:type="default" r:id="rId9"/>
      <w:footerReference w:type="default" r:id="rId10"/>
      <w:pgSz w:w="11906" w:h="16838"/>
      <w:pgMar w:top="1077"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Page </w:t>
    </w:r>
    <w:r>
      <w:fldChar w:fldCharType="begin"/>
      <w:instrText xml:space="preserve">PAGE</w:instrText>
      <w:fldChar w:fldCharType="end"/>
    </w:r>
    <w:r>
      <w:rPr>
        <w:rFonts w:ascii="Liberation Sans" w:hAnsi="Liberation Sans" w:eastAsia="Liberation Sans"/>
        <w:color w:val="666666"/>
        <w:sz w:val="16"/>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7"/>
      </w:rPr>
      <w:t>THOG2 thogopt Requirements Specification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Liberation Sans" w:hAnsi="Liberation Sans"/>
      <w:color w:val="20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40"/>
      <w:outlineLvl w:val="0"/>
    </w:pPr>
    <w:rPr>
      <w:rFonts w:asciiTheme="majorHAnsi" w:eastAsiaTheme="majorEastAsia" w:hAnsiTheme="majorHAnsi" w:cstheme="majorBidi" w:ascii="Liberation Sans" w:hAnsi="Liberation Sans"/>
      <w:b/>
      <w:bCs/>
      <w:color w:val="1F4E78"/>
      <w:sz w:val="34"/>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Liberation Sans" w:hAnsi="Liberation Sans"/>
      <w:b/>
      <w:bCs/>
      <w:color w:val="203040"/>
      <w:sz w:val="25"/>
      <w:szCs w:val="26"/>
    </w:rPr>
  </w:style>
  <w:style w:type="paragraph" w:styleId="Heading3">
    <w:name w:val="heading 3"/>
    <w:basedOn w:val="Normal"/>
    <w:next w:val="Normal"/>
    <w:link w:val="Heading3Char"/>
    <w:uiPriority w:val="9"/>
    <w:unhideWhenUsed/>
    <w:qFormat/>
    <w:rsid w:val="00FC693F"/>
    <w:pPr>
      <w:keepNext/>
      <w:keepLines/>
      <w:widowControl/>
      <w:spacing w:before="140" w:after="80"/>
      <w:outlineLvl w:val="2"/>
    </w:pPr>
    <w:rPr>
      <w:rFonts w:asciiTheme="majorHAnsi" w:eastAsiaTheme="majorEastAsia" w:hAnsiTheme="majorHAnsi" w:cstheme="majorBidi" w:ascii="Liberation Sans" w:hAnsi="Liberation San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Liberation Sans" w:hAnsi="Liberation Sans"/>
      <w:b/>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ind w:left="340" w:right="227"/>
    </w:pPr>
    <w:rPr>
      <w:rFonts w:ascii="Liberation Mono" w:hAnsi="Liberation Mono"/>
      <w:color w:val="25313A"/>
      <w:sz w:val="18"/>
    </w:rPr>
  </w:style>
  <w:style w:type="paragraph" w:customStyle="1" w:styleId="Requirement">
    <w:name w:val="Requirement"/>
    <w:pPr>
      <w:widowControl/>
      <w:spacing w:after="100"/>
      <w:ind w:left="397" w:hanging="397"/>
    </w:pPr>
    <w:rPr>
      <w:rFonts w:ascii="Liberation Sans" w:hAnsi="Liberation Sans"/>
      <w:sz w:val="20"/>
    </w:rPr>
  </w:style>
  <w:style w:type="paragraph" w:customStyle="1" w:styleId="Equation">
    <w:name w:val="Equation"/>
    <w:basedOn w:val="Normal"/>
    <w:pPr>
      <w:spacing w:before="80" w:after="140"/>
      <w:ind w:left="340" w:right="227"/>
    </w:pPr>
    <w:rPr>
      <w:rFonts w:ascii="Liberation Mono" w:hAnsi="Liberation Mono"/>
      <w:color w:val="25313A"/>
      <w:sz w:val="18"/>
    </w:rPr>
  </w:style>
  <w:style w:type="paragraph" w:customStyle="1" w:styleId="TableText">
    <w:name w:val="Table Text"/>
    <w:basedOn w:val="Normal"/>
    <w:pPr>
      <w:spacing w:before="0" w:after="0" w:line="252" w:lineRule="auto"/>
    </w:pPr>
    <w:rPr>
      <w:rFonts w:ascii="Liberation Sans" w:hAnsi="Liberation San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wandb.ai/models/runs/resuming" TargetMode="External"/><Relationship Id="rId12" Type="http://schemas.openxmlformats.org/officeDocument/2006/relationships/hyperlink" Target="https://docs.wandb.ai/models/runs/forking" TargetMode="External"/><Relationship Id="rId13" Type="http://schemas.openxmlformats.org/officeDocument/2006/relationships/hyperlink" Target="https://arxiv.org/abs/1412.6980" TargetMode="External"/><Relationship Id="rId14" Type="http://schemas.openxmlformats.org/officeDocument/2006/relationships/hyperlink" Target="https://arxiv.org/abs/1711.05101" TargetMode="External"/><Relationship Id="rId15" Type="http://schemas.openxmlformats.org/officeDocument/2006/relationships/hyperlink" Target="https://arxiv.org/html/2410.19964v2" TargetMode="External"/><Relationship Id="rId16" Type="http://schemas.openxmlformats.org/officeDocument/2006/relationships/hyperlink" Target="https://docs.pytorch.org/docs/2.8/generated/torch.optim.Adam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THOG2 thogopt Requirements Specification v0.1</dc:title>
  <dc:subject>Layer-space AdamW optimisation with compact raw-gradient histories</dc:subject>
  <dc:creator>THOG2 Project</dc:creator>
  <cp:keywords>THOG2, thogopt, AdamW, Chebyshev, Instra, requirements</cp:keywords>
  <dc:description/>
  <cp:lastModifiedBy/>
  <cp:revision>1</cp:revision>
  <dcterms:created xsi:type="dcterms:W3CDTF">2026-09-02T00:00:00Z</dcterms:created>
  <dcterms:modified xsi:type="dcterms:W3CDTF">2026-09-02T00:00:00Z</dcterms:modified>
  <cp:category/>
</cp:coreProperties>
</file>