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80"/>
        <w:rPr/>
      </w:pPr>
      <w:r>
        <w:rPr>
          <w:b/>
          <w:color w:val="1F4E79"/>
          <w:sz w:val="24"/>
        </w:rPr>
        <w:t>THOG</w:t>
      </w:r>
    </w:p>
    <w:p>
      <w:pPr>
        <w:pStyle w:val="Title"/>
        <w:spacing w:before="0" w:after="240"/>
        <w:contextualSpacing/>
        <w:rPr>
          <w:rFonts w:ascii="Liberation Sans Narrow" w:hAnsi="Liberation Sans Narrow"/>
          <w:sz w:val="60"/>
          <w:szCs w:val="52"/>
        </w:rPr>
      </w:pPr>
      <w:r>
        <w:rPr>
          <w:rFonts w:ascii="Liberation Sans Narrow" w:hAnsi="Liberation Sans Narrow"/>
          <w:sz w:val="60"/>
          <w:szCs w:val="52"/>
        </w:rPr>
        <w:t>THOG Enhancement - Residual Stream Spectral Reparameterisation</w:t>
      </w:r>
    </w:p>
    <w:p>
      <w:pPr>
        <w:pStyle w:val="Subtitle"/>
        <w:rPr/>
      </w:pPr>
      <w:r>
        <w:rPr>
          <w:b/>
          <w:sz w:val="32"/>
        </w:rPr>
        <w:t>Requirements Specification</w:t>
      </w:r>
    </w:p>
    <w:p>
      <w:pPr>
        <w:pStyle w:val="Normal"/>
        <w:rPr/>
      </w:pPr>
      <w:r>
        <w:rPr>
          <w:b/>
          <w:color w:val="1F4E79"/>
          <w:sz w:val="28"/>
        </w:rPr>
        <w:t>v0.1</w:t>
      </w:r>
    </w:p>
    <w:p>
      <w:pPr>
        <w:pStyle w:val="Normal"/>
        <w:spacing w:before="200" w:after="240"/>
        <w:rPr/>
      </w:pPr>
      <w:r>
        <w:rPr>
          <w:i/>
          <w:color w:val="5E6B78"/>
        </w:rPr>
        <w:t>Directly learned spectral coefficients for embeddings and the GPT residual stream, with compact projected LayerNorm and optional THOG depth compression.</w:t>
      </w:r>
    </w:p>
    <w:tbl>
      <w:tblPr>
        <w:tblW w:w="9637" w:type="dxa"/>
        <w:jc w:val="left"/>
        <w:tblInd w:w="-8" w:type="dxa"/>
        <w:tblLayout w:type="fixed"/>
        <w:tblCellMar>
          <w:top w:w="90" w:type="dxa"/>
          <w:left w:w="100" w:type="dxa"/>
          <w:bottom w:w="90" w:type="dxa"/>
          <w:right w:w="100" w:type="dxa"/>
        </w:tblCellMar>
      </w:tblPr>
      <w:tblGrid>
        <w:gridCol w:w="2494"/>
        <w:gridCol w:w="7142"/>
      </w:tblGrid>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Status</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Draft for review; implementation requirements only</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Preferred variant</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Direct coefficient storage with folded projected LayerNorm</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Target</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THOG GPT path and Instra integration</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Selection</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width-type-I; width alone or with fixed depth</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Basis</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Shared THOG registry; Chebyshev worked example</w:t>
            </w:r>
          </w:p>
        </w:tc>
      </w:tr>
      <w:tr>
        <w:trPr>
          <w:cantSplit w:val="true"/>
        </w:trPr>
        <w:tc>
          <w:tcPr>
            <w:tcW w:w="249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4E79"/>
                <w:sz w:val="20"/>
              </w:rPr>
              <w:t>Date</w:t>
            </w:r>
          </w:p>
        </w:tc>
        <w:tc>
          <w:tcPr>
            <w:tcW w:w="7142"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5 October 2026</w:t>
            </w:r>
          </w:p>
        </w:tc>
      </w:tr>
    </w:tbl>
    <w:p>
      <w:pPr>
        <w:pStyle w:val="Normal"/>
        <w:spacing w:lineRule="auto" w:line="360" w:before="0" w:after="60"/>
        <w:rPr/>
      </w:pPr>
      <w:r>
        <w:rPr/>
      </w:r>
    </w:p>
    <w:p>
      <w:pPr>
        <w:pStyle w:val="Normal"/>
        <w:rPr/>
      </w:pPr>
      <w:r>
        <w:rPr/>
      </w:r>
      <w:r>
        <w:br w:type="page"/>
      </w:r>
    </w:p>
    <w:p>
      <w:pPr>
        <w:pStyle w:val="TOCTitle"/>
        <w:keepNext w:val="true"/>
        <w:rPr/>
      </w:pPr>
      <w:r>
        <w:rPr>
          <w:b/>
          <w:color w:val="1F4E79"/>
          <w:sz w:val="40"/>
        </w:rPr>
        <w:t>Table of contents</w:t>
      </w:r>
    </w:p>
    <w:sdt>
      <w:sdtPr>
        <w:docPartObj>
          <w:docPartGallery w:val="Table of Contents"/>
          <w:docPartUnique w:val="true"/>
        </w:docPartObj>
      </w:sdtPr>
      <w:sdtContent>
        <w:p>
          <w:pPr>
            <w:pStyle w:val="Contents1"/>
            <w:tabs>
              <w:tab w:val="clear" w:pos="720"/>
              <w:tab w:val="right" w:pos="9638" w:leader="dot"/>
            </w:tabs>
            <w:rPr/>
          </w:pPr>
          <w:r>
            <w:fldChar w:fldCharType="begin"/>
          </w:r>
          <w:r>
            <w:rPr>
              <w:webHidden/>
              <w:rStyle w:val="IndexLink"/>
            </w:rPr>
            <w:instrText xml:space="preserve"> TOC \z \o "1-2" \u \h</w:instrText>
          </w:r>
          <w:r>
            <w:rPr>
              <w:webHidden/>
              <w:rStyle w:val="IndexLink"/>
            </w:rPr>
            <w:fldChar w:fldCharType="separate"/>
          </w:r>
          <w:hyperlink w:anchor="__RefHeading___Toc9384_2977050583">
            <w:r>
              <w:rPr>
                <w:webHidden/>
                <w:rStyle w:val="IndexLink"/>
              </w:rPr>
              <w:t>1 Overview</w:t>
              <w:tab/>
              <w:t>4</w:t>
            </w:r>
          </w:hyperlink>
        </w:p>
        <w:p>
          <w:pPr>
            <w:pStyle w:val="Contents2"/>
            <w:tabs>
              <w:tab w:val="clear" w:pos="720"/>
              <w:tab w:val="right" w:pos="9638" w:leader="dot"/>
            </w:tabs>
            <w:rPr/>
          </w:pPr>
          <w:hyperlink w:anchor="__RefHeading___Toc9386_2977050583">
            <w:r>
              <w:rPr>
                <w:webHidden/>
                <w:rStyle w:val="IndexLink"/>
              </w:rPr>
              <w:t>1.1 Purpose and intended benefit</w:t>
              <w:tab/>
              <w:t>4</w:t>
            </w:r>
          </w:hyperlink>
        </w:p>
        <w:p>
          <w:pPr>
            <w:pStyle w:val="Contents2"/>
            <w:tabs>
              <w:tab w:val="clear" w:pos="720"/>
              <w:tab w:val="right" w:pos="9638" w:leader="dot"/>
            </w:tabs>
            <w:rPr/>
          </w:pPr>
          <w:hyperlink w:anchor="__RefHeading___Toc9388_2977050583">
            <w:r>
              <w:rPr>
                <w:webHidden/>
                <w:rStyle w:val="IndexLink"/>
              </w:rPr>
              <w:t>1.2 Spectral Parameterization Enhanced LayerNorrm</w:t>
              <w:tab/>
              <w:t>4</w:t>
            </w:r>
          </w:hyperlink>
        </w:p>
        <w:p>
          <w:pPr>
            <w:pStyle w:val="Contents2"/>
            <w:tabs>
              <w:tab w:val="clear" w:pos="720"/>
              <w:tab w:val="right" w:pos="9638" w:leader="dot"/>
            </w:tabs>
            <w:rPr/>
          </w:pPr>
          <w:hyperlink w:anchor="__RefHeading___Toc9390_2977050583">
            <w:r>
              <w:rPr>
                <w:webHidden/>
                <w:rStyle w:val="IndexLink"/>
              </w:rPr>
              <w:t>1.3 Scope and Evidence</w:t>
              <w:tab/>
              <w:t>5</w:t>
            </w:r>
          </w:hyperlink>
        </w:p>
        <w:p>
          <w:pPr>
            <w:pStyle w:val="Contents2"/>
            <w:tabs>
              <w:tab w:val="clear" w:pos="720"/>
              <w:tab w:val="right" w:pos="9638" w:leader="dot"/>
            </w:tabs>
            <w:rPr/>
          </w:pPr>
          <w:hyperlink w:anchor="__RefHeading___Toc9392_2977050583">
            <w:r>
              <w:rPr>
                <w:webHidden/>
                <w:rStyle w:val="IndexLink"/>
              </w:rPr>
              <w:t>1.4 Structure of Requirements</w:t>
              <w:tab/>
              <w:t>5</w:t>
            </w:r>
          </w:hyperlink>
        </w:p>
        <w:p>
          <w:pPr>
            <w:pStyle w:val="Contents2"/>
            <w:tabs>
              <w:tab w:val="clear" w:pos="720"/>
              <w:tab w:val="right" w:pos="9638" w:leader="dot"/>
            </w:tabs>
            <w:rPr/>
          </w:pPr>
          <w:hyperlink w:anchor="__RefHeading___Toc9394_2977050583">
            <w:r>
              <w:rPr>
                <w:webHidden/>
                <w:rStyle w:val="IndexLink"/>
              </w:rPr>
              <w:t>1.5 Requirements</w:t>
              <w:tab/>
              <w:t>5</w:t>
            </w:r>
          </w:hyperlink>
        </w:p>
        <w:p>
          <w:pPr>
            <w:pStyle w:val="Contents1"/>
            <w:tabs>
              <w:tab w:val="clear" w:pos="720"/>
              <w:tab w:val="right" w:pos="9638" w:leader="dot"/>
            </w:tabs>
            <w:rPr/>
          </w:pPr>
          <w:hyperlink w:anchor="__RefHeading___Toc9396_2977050583">
            <w:r>
              <w:rPr>
                <w:webHidden/>
                <w:rStyle w:val="IndexLink"/>
              </w:rPr>
              <w:t>2 Representation and Spectral Basis</w:t>
              <w:tab/>
              <w:t>6</w:t>
            </w:r>
          </w:hyperlink>
        </w:p>
        <w:p>
          <w:pPr>
            <w:pStyle w:val="Contents1"/>
            <w:tabs>
              <w:tab w:val="clear" w:pos="720"/>
              <w:tab w:val="right" w:pos="9638" w:leader="dot"/>
            </w:tabs>
            <w:rPr/>
          </w:pPr>
          <w:hyperlink w:anchor="__RefHeading___Toc9398_29770505831">
            <w:r>
              <w:rPr>
                <w:webHidden/>
                <w:rStyle w:val="IndexLink"/>
              </w:rPr>
              <w:t>2.1 Notation used throughout the specification [CSA</w:t>
              <w:noBreakHyphen/>
              <w:t>REP</w:t>
              <w:noBreakHyphen/>
              <w:t>001, CSA</w:t>
              <w:noBreakHyphen/>
              <w:t>REP</w:t>
              <w:noBreakHyphen/>
              <w:t>002]</w:t>
              <w:tab/>
              <w:t>6</w:t>
            </w:r>
          </w:hyperlink>
        </w:p>
        <w:p>
          <w:pPr>
            <w:pStyle w:val="Contents2"/>
            <w:tabs>
              <w:tab w:val="clear" w:pos="720"/>
              <w:tab w:val="right" w:pos="9638" w:leader="dot"/>
            </w:tabs>
            <w:rPr/>
          </w:pPr>
          <w:hyperlink w:anchor="__RefHeading___Toc9400_2977050583">
            <w:r>
              <w:rPr>
                <w:webHidden/>
                <w:rStyle w:val="IndexLink"/>
              </w:rPr>
              <w:t>2.2 Chebyshev construction</w:t>
              <w:tab/>
              <w:t>6</w:t>
            </w:r>
          </w:hyperlink>
        </w:p>
        <w:p>
          <w:pPr>
            <w:pStyle w:val="Contents2"/>
            <w:tabs>
              <w:tab w:val="clear" w:pos="720"/>
              <w:tab w:val="right" w:pos="9638" w:leader="dot"/>
            </w:tabs>
            <w:rPr/>
          </w:pPr>
          <w:hyperlink w:anchor="__RefHeading___Toc9402_2977050583">
            <w:r>
              <w:rPr>
                <w:webHidden/>
                <w:rStyle w:val="IndexLink"/>
              </w:rPr>
              <w:t>2.3 Analysis synthesis and information loss</w:t>
              <w:tab/>
              <w:t>7</w:t>
            </w:r>
          </w:hyperlink>
        </w:p>
        <w:p>
          <w:pPr>
            <w:pStyle w:val="Contents2"/>
            <w:tabs>
              <w:tab w:val="clear" w:pos="720"/>
              <w:tab w:val="right" w:pos="9638" w:leader="dot"/>
            </w:tabs>
            <w:rPr/>
          </w:pPr>
          <w:hyperlink w:anchor="__RefHeading___Toc9404_2977050583">
            <w:r>
              <w:rPr>
                <w:webHidden/>
                <w:rStyle w:val="IndexLink"/>
              </w:rPr>
              <w:t>2.4 Requirements</w:t>
              <w:tab/>
              <w:t>8</w:t>
            </w:r>
          </w:hyperlink>
        </w:p>
        <w:p>
          <w:pPr>
            <w:pStyle w:val="Contents1"/>
            <w:tabs>
              <w:tab w:val="clear" w:pos="720"/>
              <w:tab w:val="right" w:pos="9638" w:leader="dot"/>
            </w:tabs>
            <w:rPr/>
          </w:pPr>
          <w:hyperlink w:anchor="__RefHeading___Toc9406_2977050583">
            <w:r>
              <w:rPr>
                <w:webHidden/>
                <w:rStyle w:val="IndexLink"/>
              </w:rPr>
              <w:t>3 Learning and the Spectral Affordance</w:t>
              <w:tab/>
              <w:t>8</w:t>
            </w:r>
          </w:hyperlink>
        </w:p>
        <w:p>
          <w:pPr>
            <w:pStyle w:val="Contents2"/>
            <w:tabs>
              <w:tab w:val="clear" w:pos="720"/>
              <w:tab w:val="right" w:pos="9638" w:leader="dot"/>
            </w:tabs>
            <w:rPr/>
          </w:pPr>
          <w:hyperlink w:anchor="__RefHeading___Toc9408_2977050583">
            <w:r>
              <w:rPr>
                <w:webHidden/>
                <w:rStyle w:val="IndexLink"/>
              </w:rPr>
              <w:t>3.1 Learning the represented input directly</w:t>
              <w:tab/>
              <w:t>8</w:t>
            </w:r>
          </w:hyperlink>
        </w:p>
        <w:p>
          <w:pPr>
            <w:pStyle w:val="Contents2"/>
            <w:tabs>
              <w:tab w:val="clear" w:pos="720"/>
              <w:tab w:val="right" w:pos="9638" w:leader="dot"/>
            </w:tabs>
            <w:rPr/>
          </w:pPr>
          <w:hyperlink w:anchor="__RefHeading___Toc9410_2977050583">
            <w:r>
              <w:rPr>
                <w:webHidden/>
                <w:rStyle w:val="IndexLink"/>
              </w:rPr>
              <w:t>3.2 What backpropagation supplies</w:t>
              <w:tab/>
              <w:t>9</w:t>
            </w:r>
          </w:hyperlink>
        </w:p>
        <w:p>
          <w:pPr>
            <w:pStyle w:val="Contents2"/>
            <w:tabs>
              <w:tab w:val="clear" w:pos="720"/>
              <w:tab w:val="right" w:pos="9638" w:leader="dot"/>
            </w:tabs>
            <w:rPr/>
          </w:pPr>
          <w:hyperlink w:anchor="__RefHeading___Toc9412_2977050583">
            <w:r>
              <w:rPr>
                <w:webHidden/>
                <w:rStyle w:val="IndexLink"/>
              </w:rPr>
              <w:t>3.3 Relationship to THOG depth compression</w:t>
              <w:tab/>
              <w:t>9</w:t>
            </w:r>
          </w:hyperlink>
        </w:p>
        <w:p>
          <w:pPr>
            <w:pStyle w:val="Contents2"/>
            <w:tabs>
              <w:tab w:val="clear" w:pos="720"/>
              <w:tab w:val="right" w:pos="9638" w:leader="dot"/>
            </w:tabs>
            <w:rPr/>
          </w:pPr>
          <w:hyperlink w:anchor="__RefHeading___Toc9414_2977050583">
            <w:r>
              <w:rPr>
                <w:webHidden/>
                <w:rStyle w:val="IndexLink"/>
              </w:rPr>
              <w:t>3.4 What makes this more than a small embedding width</w:t>
              <w:tab/>
              <w:t>10</w:t>
            </w:r>
          </w:hyperlink>
        </w:p>
        <w:p>
          <w:pPr>
            <w:pStyle w:val="Contents2"/>
            <w:tabs>
              <w:tab w:val="clear" w:pos="720"/>
              <w:tab w:val="right" w:pos="9638" w:leader="dot"/>
            </w:tabs>
            <w:rPr/>
          </w:pPr>
          <w:hyperlink w:anchor="__RefHeading___Toc9416_2977050583">
            <w:r>
              <w:rPr>
                <w:webHidden/>
                <w:rStyle w:val="IndexLink"/>
              </w:rPr>
              <w:t>3.5 Requirements</w:t>
              <w:tab/>
              <w:t>10</w:t>
            </w:r>
          </w:hyperlink>
        </w:p>
        <w:p>
          <w:pPr>
            <w:pStyle w:val="Contents1"/>
            <w:tabs>
              <w:tab w:val="clear" w:pos="720"/>
              <w:tab w:val="right" w:pos="9638" w:leader="dot"/>
            </w:tabs>
            <w:rPr/>
          </w:pPr>
          <w:hyperlink w:anchor="__RefHeading___Toc9418_2977050583">
            <w:r>
              <w:rPr>
                <w:webHidden/>
                <w:rStyle w:val="IndexLink"/>
              </w:rPr>
              <w:t>4 LayerNorm Mechanics and Placement</w:t>
              <w:tab/>
              <w:t>11</w:t>
            </w:r>
          </w:hyperlink>
        </w:p>
        <w:p>
          <w:pPr>
            <w:pStyle w:val="Contents2"/>
            <w:tabs>
              <w:tab w:val="clear" w:pos="720"/>
              <w:tab w:val="right" w:pos="9638" w:leader="dot"/>
            </w:tabs>
            <w:rPr/>
          </w:pPr>
          <w:hyperlink w:anchor="__RefHeading___Toc9420_2977050583">
            <w:r>
              <w:rPr>
                <w:webHidden/>
                <w:rStyle w:val="IndexLink"/>
              </w:rPr>
              <w:t>4.1 Regular LayerNorm in the reference space</w:t>
              <w:tab/>
              <w:t>11</w:t>
            </w:r>
          </w:hyperlink>
        </w:p>
        <w:p>
          <w:pPr>
            <w:pStyle w:val="Contents2"/>
            <w:tabs>
              <w:tab w:val="clear" w:pos="720"/>
              <w:tab w:val="right" w:pos="9638" w:leader="dot"/>
            </w:tabs>
            <w:rPr/>
          </w:pPr>
          <w:hyperlink w:anchor="__RefHeading___Toc9422_2977050583">
            <w:r>
              <w:rPr>
                <w:webHidden/>
                <w:rStyle w:val="IndexLink"/>
              </w:rPr>
              <w:t>4.2 Definition of projected LayerNorm</w:t>
              <w:tab/>
              <w:t>11</w:t>
            </w:r>
          </w:hyperlink>
        </w:p>
        <w:p>
          <w:pPr>
            <w:pStyle w:val="Contents2"/>
            <w:tabs>
              <w:tab w:val="clear" w:pos="720"/>
              <w:tab w:val="right" w:pos="9638" w:leader="dot"/>
            </w:tabs>
            <w:rPr/>
          </w:pPr>
          <w:hyperlink w:anchor="__RefHeading___Toc9424_2977050583">
            <w:r>
              <w:rPr>
                <w:webHidden/>
                <w:rStyle w:val="IndexLink"/>
              </w:rPr>
              <w:t>4.3 Folded formula for Chebyshev</w:t>
              <w:tab/>
              <w:t>11</w:t>
            </w:r>
          </w:hyperlink>
        </w:p>
        <w:p>
          <w:pPr>
            <w:pStyle w:val="Contents2"/>
            <w:tabs>
              <w:tab w:val="clear" w:pos="720"/>
              <w:tab w:val="right" w:pos="9638" w:leader="dot"/>
            </w:tabs>
            <w:rPr/>
          </w:pPr>
          <w:hyperlink w:anchor="__RefHeading___Toc9426_2977050583">
            <w:r>
              <w:rPr>
                <w:webHidden/>
                <w:rStyle w:val="IndexLink"/>
              </w:rPr>
              <w:t>4.4 The analysis component on the computer</w:t>
              <w:tab/>
              <w:t>12</w:t>
            </w:r>
          </w:hyperlink>
        </w:p>
        <w:p>
          <w:pPr>
            <w:pStyle w:val="Contents2"/>
            <w:tabs>
              <w:tab w:val="clear" w:pos="720"/>
              <w:tab w:val="right" w:pos="9638" w:leader="dot"/>
            </w:tabs>
            <w:rPr/>
          </w:pPr>
          <w:hyperlink w:anchor="__RefHeading___Toc9428_2977050583">
            <w:r>
              <w:rPr>
                <w:webHidden/>
                <w:rStyle w:val="IndexLink"/>
              </w:rPr>
              <w:t>4.5 General formula for registered orthonormal bases</w:t>
              <w:tab/>
              <w:t>12</w:t>
            </w:r>
          </w:hyperlink>
        </w:p>
        <w:p>
          <w:pPr>
            <w:pStyle w:val="Contents2"/>
            <w:tabs>
              <w:tab w:val="clear" w:pos="720"/>
              <w:tab w:val="right" w:pos="9638" w:leader="dot"/>
            </w:tabs>
            <w:rPr/>
          </w:pPr>
          <w:hyperlink w:anchor="__RefHeading___Toc9430_2977050583">
            <w:r>
              <w:rPr>
                <w:webHidden/>
                <w:rStyle w:val="IndexLink"/>
              </w:rPr>
              <w:t>4.6 Why all normalization boundaries use it</w:t>
              <w:tab/>
              <w:t>13</w:t>
            </w:r>
          </w:hyperlink>
        </w:p>
        <w:p>
          <w:pPr>
            <w:pStyle w:val="Contents2"/>
            <w:tabs>
              <w:tab w:val="clear" w:pos="720"/>
              <w:tab w:val="right" w:pos="9638" w:leader="dot"/>
            </w:tabs>
            <w:rPr/>
          </w:pPr>
          <w:hyperlink w:anchor="__RefHeading___Toc9432_2977050583">
            <w:r>
              <w:rPr>
                <w:webHidden/>
                <w:rStyle w:val="IndexLink"/>
              </w:rPr>
              <w:t>4.7 Gradients precision and lifecycle</w:t>
              <w:tab/>
              <w:t>13</w:t>
            </w:r>
          </w:hyperlink>
        </w:p>
        <w:p>
          <w:pPr>
            <w:pStyle w:val="Contents2"/>
            <w:tabs>
              <w:tab w:val="clear" w:pos="720"/>
              <w:tab w:val="right" w:pos="9638" w:leader="dot"/>
            </w:tabs>
            <w:rPr/>
          </w:pPr>
          <w:hyperlink w:anchor="__RefHeading___Toc9434_2977050583">
            <w:r>
              <w:rPr>
                <w:webHidden/>
                <w:rStyle w:val="IndexLink"/>
              </w:rPr>
              <w:t>4.8 Requirements</w:t>
              <w:tab/>
              <w:t>13</w:t>
            </w:r>
          </w:hyperlink>
        </w:p>
        <w:p>
          <w:pPr>
            <w:pStyle w:val="Contents1"/>
            <w:tabs>
              <w:tab w:val="clear" w:pos="720"/>
              <w:tab w:val="right" w:pos="9638" w:leader="dot"/>
            </w:tabs>
            <w:rPr/>
          </w:pPr>
          <w:hyperlink w:anchor="__RefHeading___Toc9436_2977050583">
            <w:r>
              <w:rPr>
                <w:webHidden/>
                <w:rStyle w:val="IndexLink"/>
              </w:rPr>
              <w:t>5 Model Architecture and Direct Execution</w:t>
              <w:tab/>
              <w:t>14</w:t>
            </w:r>
          </w:hyperlink>
        </w:p>
        <w:p>
          <w:pPr>
            <w:pStyle w:val="Contents2"/>
            <w:tabs>
              <w:tab w:val="clear" w:pos="720"/>
              <w:tab w:val="right" w:pos="9638" w:leader="dot"/>
            </w:tabs>
            <w:rPr/>
          </w:pPr>
          <w:hyperlink w:anchor="__RefHeading___Toc9438_2977050583">
            <w:r>
              <w:rPr>
                <w:webHidden/>
                <w:rStyle w:val="IndexLink"/>
              </w:rPr>
              <w:t>5.1 Embeddings positions and residual flow</w:t>
              <w:tab/>
              <w:t>14</w:t>
            </w:r>
          </w:hyperlink>
        </w:p>
        <w:p>
          <w:pPr>
            <w:pStyle w:val="Contents2"/>
            <w:tabs>
              <w:tab w:val="clear" w:pos="720"/>
              <w:tab w:val="right" w:pos="9638" w:leader="dot"/>
            </w:tabs>
            <w:rPr/>
          </w:pPr>
          <w:hyperlink w:anchor="__RefHeading___Toc9440_2977050583">
            <w:r>
              <w:rPr>
                <w:webHidden/>
                <w:rStyle w:val="IndexLink"/>
              </w:rPr>
              <w:t>5.2 Attention and MLP shapes</w:t>
              <w:tab/>
              <w:t>15</w:t>
            </w:r>
          </w:hyperlink>
        </w:p>
        <w:p>
          <w:pPr>
            <w:pStyle w:val="Contents2"/>
            <w:tabs>
              <w:tab w:val="clear" w:pos="720"/>
              <w:tab w:val="right" w:pos="9638" w:leader="dot"/>
            </w:tabs>
            <w:rPr/>
          </w:pPr>
          <w:hyperlink w:anchor="__RefHeading___Toc9442_2977050583">
            <w:r>
              <w:rPr>
                <w:webHidden/>
                <w:rStyle w:val="IndexLink"/>
              </w:rPr>
              <w:t>5.3 Direct vocabulary projection</w:t>
              <w:tab/>
              <w:t>16</w:t>
            </w:r>
          </w:hyperlink>
        </w:p>
        <w:p>
          <w:pPr>
            <w:pStyle w:val="Contents2"/>
            <w:tabs>
              <w:tab w:val="clear" w:pos="720"/>
              <w:tab w:val="right" w:pos="9638" w:leader="dot"/>
            </w:tabs>
            <w:rPr/>
          </w:pPr>
          <w:hyperlink w:anchor="__RefHeading___Toc9444_2977050583">
            <w:r>
              <w:rPr>
                <w:webHidden/>
                <w:rStyle w:val="IndexLink"/>
              </w:rPr>
              <w:t>5.4 Combination with depth compression</w:t>
              <w:tab/>
              <w:t>16</w:t>
            </w:r>
          </w:hyperlink>
        </w:p>
        <w:p>
          <w:pPr>
            <w:pStyle w:val="Contents2"/>
            <w:tabs>
              <w:tab w:val="clear" w:pos="720"/>
              <w:tab w:val="right" w:pos="9638" w:leader="dot"/>
            </w:tabs>
            <w:rPr/>
          </w:pPr>
          <w:hyperlink w:anchor="__RefHeading___Toc9446_2977050583">
            <w:r>
              <w:rPr>
                <w:webHidden/>
                <w:rStyle w:val="IndexLink"/>
              </w:rPr>
              <w:t>5.5 Requirements</w:t>
              <w:tab/>
              <w:t>17</w:t>
            </w:r>
          </w:hyperlink>
        </w:p>
        <w:p>
          <w:pPr>
            <w:pStyle w:val="Contents1"/>
            <w:tabs>
              <w:tab w:val="clear" w:pos="720"/>
              <w:tab w:val="right" w:pos="9638" w:leader="dot"/>
            </w:tabs>
            <w:rPr/>
          </w:pPr>
          <w:hyperlink w:anchor="__RefHeading___Toc9448_2977050583">
            <w:r>
              <w:rPr>
                <w:webHidden/>
                <w:rStyle w:val="IndexLink"/>
              </w:rPr>
              <w:t>6 Compressor Plug Ins</w:t>
              <w:tab/>
              <w:t>18</w:t>
            </w:r>
          </w:hyperlink>
        </w:p>
        <w:p>
          <w:pPr>
            <w:pStyle w:val="Contents2"/>
            <w:tabs>
              <w:tab w:val="clear" w:pos="720"/>
              <w:tab w:val="right" w:pos="9638" w:leader="dot"/>
            </w:tabs>
            <w:rPr/>
          </w:pPr>
          <w:hyperlink w:anchor="__RefHeading___Toc9450_2977050583">
            <w:r>
              <w:rPr>
                <w:webHidden/>
                <w:rStyle w:val="IndexLink"/>
              </w:rPr>
              <w:t>6.1 Shared registry and first implementation sequence</w:t>
              <w:tab/>
              <w:t>18</w:t>
            </w:r>
          </w:hyperlink>
        </w:p>
        <w:p>
          <w:pPr>
            <w:pStyle w:val="Contents2"/>
            <w:tabs>
              <w:tab w:val="clear" w:pos="720"/>
              <w:tab w:val="right" w:pos="9638" w:leader="dot"/>
            </w:tabs>
            <w:rPr/>
          </w:pPr>
          <w:hyperlink w:anchor="__RefHeading___Toc9452_2977050583">
            <w:r>
              <w:rPr>
                <w:webHidden/>
                <w:rStyle w:val="IndexLink"/>
              </w:rPr>
              <w:t>6.2 Capability and reproducibility contract</w:t>
              <w:tab/>
              <w:t>18</w:t>
            </w:r>
          </w:hyperlink>
        </w:p>
        <w:p>
          <w:pPr>
            <w:pStyle w:val="Contents2"/>
            <w:tabs>
              <w:tab w:val="clear" w:pos="720"/>
              <w:tab w:val="right" w:pos="9638" w:leader="dot"/>
            </w:tabs>
            <w:rPr/>
          </w:pPr>
          <w:hyperlink w:anchor="__RefHeading___Toc9454_2977050583">
            <w:r>
              <w:rPr>
                <w:webHidden/>
                <w:rStyle w:val="IndexLink"/>
              </w:rPr>
              <w:t>6.3 Requirements</w:t>
              <w:tab/>
              <w:t>18</w:t>
            </w:r>
          </w:hyperlink>
        </w:p>
        <w:p>
          <w:pPr>
            <w:pStyle w:val="Contents1"/>
            <w:tabs>
              <w:tab w:val="clear" w:pos="720"/>
              <w:tab w:val="right" w:pos="9638" w:leader="dot"/>
            </w:tabs>
            <w:rPr/>
          </w:pPr>
          <w:hyperlink w:anchor="__RefHeading___Toc9456_2977050583">
            <w:r>
              <w:rPr>
                <w:webHidden/>
                <w:rStyle w:val="IndexLink"/>
              </w:rPr>
              <w:t>7 Configuration and Hyperparameters</w:t>
              <w:tab/>
              <w:t>19</w:t>
            </w:r>
          </w:hyperlink>
        </w:p>
        <w:p>
          <w:pPr>
            <w:pStyle w:val="Contents2"/>
            <w:tabs>
              <w:tab w:val="clear" w:pos="720"/>
              <w:tab w:val="right" w:pos="9638" w:leader="dot"/>
            </w:tabs>
            <w:rPr/>
          </w:pPr>
          <w:hyperlink w:anchor="__RefHeading___Toc9458_2977050583">
            <w:r>
              <w:rPr>
                <w:webHidden/>
                <w:rStyle w:val="IndexLink"/>
              </w:rPr>
              <w:t>7.1 Selection and preset meaning</w:t>
              <w:tab/>
              <w:t>19</w:t>
            </w:r>
          </w:hyperlink>
        </w:p>
        <w:p>
          <w:pPr>
            <w:pStyle w:val="Contents2"/>
            <w:tabs>
              <w:tab w:val="clear" w:pos="720"/>
              <w:tab w:val="right" w:pos="9638" w:leader="dot"/>
            </w:tabs>
            <w:rPr/>
          </w:pPr>
          <w:hyperlink w:anchor="__RefHeading___Toc9460_2977050583">
            <w:r>
              <w:rPr>
                <w:webHidden/>
                <w:rStyle w:val="IndexLink"/>
              </w:rPr>
              <w:t>7.2 Architectural parameters</w:t>
              <w:tab/>
              <w:t>19</w:t>
            </w:r>
          </w:hyperlink>
        </w:p>
        <w:p>
          <w:pPr>
            <w:pStyle w:val="Contents2"/>
            <w:tabs>
              <w:tab w:val="clear" w:pos="720"/>
              <w:tab w:val="right" w:pos="9638" w:leader="dot"/>
            </w:tabs>
            <w:rPr/>
          </w:pPr>
          <w:hyperlink w:anchor="__RefHeading___Toc9462_2977050583">
            <w:r>
              <w:rPr>
                <w:webHidden/>
                <w:rStyle w:val="IndexLink"/>
              </w:rPr>
              <w:t>7.3 Instrumentation parameters</w:t>
              <w:tab/>
              <w:t>20</w:t>
            </w:r>
          </w:hyperlink>
        </w:p>
        <w:p>
          <w:pPr>
            <w:pStyle w:val="Contents2"/>
            <w:tabs>
              <w:tab w:val="clear" w:pos="720"/>
              <w:tab w:val="right" w:pos="9638" w:leader="dot"/>
            </w:tabs>
            <w:rPr/>
          </w:pPr>
          <w:hyperlink w:anchor="__RefHeading___Toc9464_2977050583">
            <w:r>
              <w:rPr>
                <w:webHidden/>
                <w:rStyle w:val="IndexLink"/>
              </w:rPr>
              <w:t>7.4 Legacy family and version controls</w:t>
              <w:tab/>
              <w:t>21</w:t>
            </w:r>
          </w:hyperlink>
        </w:p>
        <w:p>
          <w:pPr>
            <w:pStyle w:val="Contents2"/>
            <w:tabs>
              <w:tab w:val="clear" w:pos="720"/>
              <w:tab w:val="right" w:pos="9638" w:leader="dot"/>
            </w:tabs>
            <w:rPr/>
          </w:pPr>
          <w:hyperlink w:anchor="__RefHeading___Toc9466_2977050583">
            <w:r>
              <w:rPr>
                <w:webHidden/>
                <w:rStyle w:val="IndexLink"/>
              </w:rPr>
              <w:t>7.5 Canonical selection examples</w:t>
              <w:tab/>
              <w:t>22</w:t>
            </w:r>
          </w:hyperlink>
        </w:p>
        <w:p>
          <w:pPr>
            <w:pStyle w:val="Contents2"/>
            <w:tabs>
              <w:tab w:val="clear" w:pos="720"/>
              <w:tab w:val="right" w:pos="9638" w:leader="dot"/>
            </w:tabs>
            <w:rPr/>
          </w:pPr>
          <w:hyperlink w:anchor="__RefHeading___Toc9468_2977050583">
            <w:r>
              <w:rPr>
                <w:webHidden/>
                <w:rStyle w:val="IndexLink"/>
              </w:rPr>
              <w:t>7.6 Requirements</w:t>
              <w:tab/>
              <w:t>22</w:t>
            </w:r>
          </w:hyperlink>
        </w:p>
        <w:p>
          <w:pPr>
            <w:pStyle w:val="Contents1"/>
            <w:tabs>
              <w:tab w:val="clear" w:pos="720"/>
              <w:tab w:val="right" w:pos="9638" w:leader="dot"/>
            </w:tabs>
            <w:rPr/>
          </w:pPr>
          <w:hyperlink w:anchor="__RefHeading___Toc9470_2977050583">
            <w:r>
              <w:rPr>
                <w:webHidden/>
                <w:rStyle w:val="IndexLink"/>
              </w:rPr>
              <w:t>8 Memory and Processing Expectations</w:t>
              <w:tab/>
              <w:t>23</w:t>
            </w:r>
          </w:hyperlink>
        </w:p>
        <w:p>
          <w:pPr>
            <w:pStyle w:val="Contents2"/>
            <w:tabs>
              <w:tab w:val="clear" w:pos="720"/>
              <w:tab w:val="right" w:pos="9638" w:leader="dot"/>
            </w:tabs>
            <w:rPr/>
          </w:pPr>
          <w:hyperlink w:anchor="__RefHeading___Toc9472_2977050583">
            <w:r>
              <w:rPr>
                <w:webHidden/>
                <w:rStyle w:val="IndexLink"/>
              </w:rPr>
              <w:t>8.1 Where parameter storage falls</w:t>
              <w:tab/>
              <w:t>23</w:t>
            </w:r>
          </w:hyperlink>
        </w:p>
        <w:p>
          <w:pPr>
            <w:pStyle w:val="Contents2"/>
            <w:tabs>
              <w:tab w:val="clear" w:pos="720"/>
              <w:tab w:val="right" w:pos="9638" w:leader="dot"/>
            </w:tabs>
            <w:rPr/>
          </w:pPr>
          <w:hyperlink w:anchor="__RefHeading___Toc9474_2977050583">
            <w:r>
              <w:rPr>
                <w:webHidden/>
                <w:rStyle w:val="IndexLink"/>
              </w:rPr>
              <w:t>8.2 The normalization intermediate</w:t>
              <w:tab/>
              <w:t>24</w:t>
            </w:r>
          </w:hyperlink>
        </w:p>
        <w:p>
          <w:pPr>
            <w:pStyle w:val="Contents2"/>
            <w:tabs>
              <w:tab w:val="clear" w:pos="720"/>
              <w:tab w:val="right" w:pos="9638" w:leader="dot"/>
            </w:tabs>
            <w:rPr/>
          </w:pPr>
          <w:hyperlink w:anchor="__RefHeading___Toc9476_2977050583">
            <w:r>
              <w:rPr>
                <w:webHidden/>
                <w:rStyle w:val="IndexLink"/>
              </w:rPr>
              <w:t>8.3 What the estimates do not promise</w:t>
              <w:tab/>
              <w:t>25</w:t>
            </w:r>
          </w:hyperlink>
        </w:p>
        <w:p>
          <w:pPr>
            <w:pStyle w:val="Contents2"/>
            <w:tabs>
              <w:tab w:val="clear" w:pos="720"/>
              <w:tab w:val="right" w:pos="9638" w:leader="dot"/>
            </w:tabs>
            <w:rPr/>
          </w:pPr>
          <w:hyperlink w:anchor="__RefHeading___Toc9478_2977050583">
            <w:r>
              <w:rPr>
                <w:webHidden/>
                <w:rStyle w:val="IndexLink"/>
              </w:rPr>
              <w:t>8.4 Requirements</w:t>
              <w:tab/>
              <w:t>25</w:t>
            </w:r>
          </w:hyperlink>
        </w:p>
        <w:p>
          <w:pPr>
            <w:pStyle w:val="Contents1"/>
            <w:tabs>
              <w:tab w:val="clear" w:pos="720"/>
              <w:tab w:val="right" w:pos="9638" w:leader="dot"/>
            </w:tabs>
            <w:rPr/>
          </w:pPr>
          <w:hyperlink w:anchor="__RefHeading___Toc9480_2977050583">
            <w:r>
              <w:rPr>
                <w:webHidden/>
                <w:rStyle w:val="IndexLink"/>
              </w:rPr>
              <w:t>9 Initial Instrumentation</w:t>
              <w:tab/>
              <w:t>25</w:t>
            </w:r>
          </w:hyperlink>
        </w:p>
        <w:p>
          <w:pPr>
            <w:pStyle w:val="Contents2"/>
            <w:tabs>
              <w:tab w:val="clear" w:pos="720"/>
              <w:tab w:val="right" w:pos="9638" w:leader="dot"/>
            </w:tabs>
            <w:rPr/>
          </w:pPr>
          <w:hyperlink w:anchor="__RefHeading___Toc9482_2977050583">
            <w:r>
              <w:rPr>
                <w:webHidden/>
                <w:rStyle w:val="IndexLink"/>
              </w:rPr>
              <w:t>9.1 Purpose and basic capture</w:t>
              <w:tab/>
              <w:t>25</w:t>
            </w:r>
          </w:hyperlink>
        </w:p>
        <w:p>
          <w:pPr>
            <w:pStyle w:val="Contents2"/>
            <w:tabs>
              <w:tab w:val="clear" w:pos="720"/>
              <w:tab w:val="right" w:pos="9638" w:leader="dot"/>
            </w:tabs>
            <w:rPr/>
          </w:pPr>
          <w:hyperlink w:anchor="__RefHeading___Toc9484_2977050583">
            <w:r>
              <w:rPr>
                <w:webHidden/>
                <w:rStyle w:val="IndexLink"/>
              </w:rPr>
              <w:t>9.2 Bounded probes and reconstructed curves</w:t>
              <w:tab/>
              <w:t>26</w:t>
            </w:r>
          </w:hyperlink>
        </w:p>
        <w:p>
          <w:pPr>
            <w:pStyle w:val="Contents2"/>
            <w:tabs>
              <w:tab w:val="clear" w:pos="720"/>
              <w:tab w:val="right" w:pos="9638" w:leader="dot"/>
            </w:tabs>
            <w:rPr/>
          </w:pPr>
          <w:hyperlink w:anchor="__RefHeading___Toc9486_2977050583">
            <w:r>
              <w:rPr>
                <w:webHidden/>
                <w:rStyle w:val="IndexLink"/>
              </w:rPr>
              <w:t>9.3 Capture control semantics</w:t>
              <w:tab/>
              <w:t>27</w:t>
            </w:r>
          </w:hyperlink>
        </w:p>
        <w:p>
          <w:pPr>
            <w:pStyle w:val="Contents2"/>
            <w:tabs>
              <w:tab w:val="clear" w:pos="720"/>
              <w:tab w:val="right" w:pos="9638" w:leader="dot"/>
            </w:tabs>
            <w:rPr/>
          </w:pPr>
          <w:hyperlink w:anchor="__RefHeading___Toc9488_2977050583">
            <w:r>
              <w:rPr>
                <w:webHidden/>
                <w:rStyle w:val="IndexLink"/>
              </w:rPr>
              <w:t>9.4 Cost and recording contract</w:t>
              <w:tab/>
              <w:t>27</w:t>
            </w:r>
          </w:hyperlink>
        </w:p>
        <w:p>
          <w:pPr>
            <w:pStyle w:val="Contents2"/>
            <w:tabs>
              <w:tab w:val="clear" w:pos="720"/>
              <w:tab w:val="right" w:pos="9638" w:leader="dot"/>
            </w:tabs>
            <w:rPr/>
          </w:pPr>
          <w:hyperlink w:anchor="__RefHeading___Toc9490_2977050583">
            <w:r>
              <w:rPr>
                <w:webHidden/>
                <w:rStyle w:val="IndexLink"/>
              </w:rPr>
              <w:t>9.5 Requirements</w:t>
              <w:tab/>
              <w:t>28</w:t>
            </w:r>
          </w:hyperlink>
        </w:p>
        <w:p>
          <w:pPr>
            <w:pStyle w:val="Contents1"/>
            <w:tabs>
              <w:tab w:val="clear" w:pos="720"/>
              <w:tab w:val="right" w:pos="9638" w:leader="dot"/>
            </w:tabs>
            <w:rPr/>
          </w:pPr>
          <w:hyperlink w:anchor="__RefHeading___Toc9492_2977050583">
            <w:r>
              <w:rPr>
                <w:webHidden/>
                <w:rStyle w:val="IndexLink"/>
              </w:rPr>
              <w:t>10 Checkpoints and Existing Workflow Integration</w:t>
              <w:tab/>
              <w:t>29</w:t>
            </w:r>
          </w:hyperlink>
        </w:p>
        <w:p>
          <w:pPr>
            <w:pStyle w:val="Contents2"/>
            <w:tabs>
              <w:tab w:val="clear" w:pos="720"/>
              <w:tab w:val="right" w:pos="9638" w:leader="dot"/>
            </w:tabs>
            <w:rPr/>
          </w:pPr>
          <w:hyperlink w:anchor="__RefHeading___Toc9494_2977050583">
            <w:r>
              <w:rPr>
                <w:webHidden/>
                <w:rStyle w:val="IndexLink"/>
              </w:rPr>
              <w:t>10.1 Checkpoint identity and resume</w:t>
              <w:tab/>
              <w:t>29</w:t>
            </w:r>
          </w:hyperlink>
        </w:p>
        <w:p>
          <w:pPr>
            <w:pStyle w:val="Contents2"/>
            <w:tabs>
              <w:tab w:val="clear" w:pos="720"/>
              <w:tab w:val="right" w:pos="9638" w:leader="dot"/>
            </w:tabs>
            <w:rPr/>
          </w:pPr>
          <w:hyperlink w:anchor="__RefHeading___Toc9496_2977050583">
            <w:r>
              <w:rPr>
                <w:webHidden/>
                <w:rStyle w:val="IndexLink"/>
              </w:rPr>
              <w:t>10.2 Existing runs and selection surfaces</w:t>
              <w:tab/>
              <w:t>29</w:t>
            </w:r>
          </w:hyperlink>
        </w:p>
        <w:p>
          <w:pPr>
            <w:pStyle w:val="Contents2"/>
            <w:tabs>
              <w:tab w:val="clear" w:pos="720"/>
              <w:tab w:val="right" w:pos="9638" w:leader="dot"/>
            </w:tabs>
            <w:rPr/>
          </w:pPr>
          <w:hyperlink w:anchor="__RefHeading___Toc9498_2977050583">
            <w:r>
              <w:rPr>
                <w:webHidden/>
                <w:rStyle w:val="IndexLink"/>
              </w:rPr>
              <w:t>10.3 Requirements</w:t>
              <w:tab/>
              <w:t>30</w:t>
            </w:r>
          </w:hyperlink>
        </w:p>
        <w:p>
          <w:pPr>
            <w:pStyle w:val="Contents1"/>
            <w:tabs>
              <w:tab w:val="clear" w:pos="720"/>
              <w:tab w:val="right" w:pos="9638" w:leader="dot"/>
            </w:tabs>
            <w:rPr/>
          </w:pPr>
          <w:hyperlink w:anchor="__RefHeading___Toc9500_2977050583">
            <w:r>
              <w:rPr>
                <w:webHidden/>
                <w:rStyle w:val="IndexLink"/>
              </w:rPr>
              <w:t>11 Validation and Acceptance</w:t>
              <w:tab/>
              <w:t>30</w:t>
            </w:r>
          </w:hyperlink>
        </w:p>
        <w:p>
          <w:pPr>
            <w:pStyle w:val="Contents2"/>
            <w:tabs>
              <w:tab w:val="clear" w:pos="720"/>
              <w:tab w:val="right" w:pos="9638" w:leader="dot"/>
            </w:tabs>
            <w:rPr/>
          </w:pPr>
          <w:hyperlink w:anchor="__RefHeading___Toc9502_2977050583">
            <w:r>
              <w:rPr>
                <w:webHidden/>
                <w:rStyle w:val="IndexLink"/>
              </w:rPr>
              <w:t>11.1 Numerical and architectural checks</w:t>
              <w:tab/>
              <w:t>30</w:t>
            </w:r>
          </w:hyperlink>
        </w:p>
        <w:p>
          <w:pPr>
            <w:pStyle w:val="Contents2"/>
            <w:tabs>
              <w:tab w:val="clear" w:pos="720"/>
              <w:tab w:val="right" w:pos="9638" w:leader="dot"/>
            </w:tabs>
            <w:rPr/>
          </w:pPr>
          <w:hyperlink w:anchor="__RefHeading___Toc9504_2977050583">
            <w:r>
              <w:rPr>
                <w:webHidden/>
                <w:rStyle w:val="IndexLink"/>
              </w:rPr>
              <w:t>11.2 Memory quality and timing experiments</w:t>
              <w:tab/>
              <w:t>31</w:t>
            </w:r>
          </w:hyperlink>
        </w:p>
        <w:p>
          <w:pPr>
            <w:pStyle w:val="Contents2"/>
            <w:tabs>
              <w:tab w:val="clear" w:pos="720"/>
              <w:tab w:val="right" w:pos="9638" w:leader="dot"/>
            </w:tabs>
            <w:rPr/>
          </w:pPr>
          <w:hyperlink w:anchor="__RefHeading___Toc9506_2977050583">
            <w:r>
              <w:rPr>
                <w:webHidden/>
                <w:rStyle w:val="IndexLink"/>
              </w:rPr>
              <w:t>11.3 Release acceptance record</w:t>
              <w:tab/>
              <w:t>31</w:t>
            </w:r>
          </w:hyperlink>
        </w:p>
        <w:p>
          <w:pPr>
            <w:pStyle w:val="Contents2"/>
            <w:tabs>
              <w:tab w:val="clear" w:pos="720"/>
              <w:tab w:val="right" w:pos="9638" w:leader="dot"/>
            </w:tabs>
            <w:rPr/>
          </w:pPr>
          <w:hyperlink w:anchor="__RefHeading___Toc9508_2977050583">
            <w:r>
              <w:rPr>
                <w:webHidden/>
                <w:rStyle w:val="IndexLink"/>
              </w:rPr>
              <w:t>11.4 Requirements</w:t>
              <w:tab/>
              <w:t>31</w:t>
            </w:r>
          </w:hyperlink>
        </w:p>
        <w:p>
          <w:pPr>
            <w:pStyle w:val="Contents1"/>
            <w:tabs>
              <w:tab w:val="clear" w:pos="720"/>
              <w:tab w:val="right" w:pos="9638" w:leader="dot"/>
            </w:tabs>
            <w:rPr/>
          </w:pPr>
          <w:hyperlink w:anchor="__RefHeading___Toc9510_2977050583">
            <w:r>
              <w:rPr>
                <w:webHidden/>
                <w:rStyle w:val="IndexLink"/>
              </w:rPr>
              <w:t>12 Codeset and Code Files Impact</w:t>
              <w:tab/>
              <w:t>32</w:t>
            </w:r>
          </w:hyperlink>
        </w:p>
        <w:p>
          <w:pPr>
            <w:pStyle w:val="Contents2"/>
            <w:tabs>
              <w:tab w:val="clear" w:pos="720"/>
              <w:tab w:val="right" w:pos="9638" w:leader="dot"/>
            </w:tabs>
            <w:rPr/>
          </w:pPr>
          <w:hyperlink w:anchor="__RefHeading___Toc9512_2977050583">
            <w:r>
              <w:rPr>
                <w:webHidden/>
                <w:rStyle w:val="IndexLink"/>
              </w:rPr>
              <w:t>12.1 New width module and implementation sequence</w:t>
              <w:tab/>
              <w:t>32</w:t>
            </w:r>
          </w:hyperlink>
        </w:p>
        <w:p>
          <w:pPr>
            <w:pStyle w:val="Contents2"/>
            <w:tabs>
              <w:tab w:val="clear" w:pos="720"/>
              <w:tab w:val="right" w:pos="9638" w:leader="dot"/>
            </w:tabs>
            <w:rPr/>
          </w:pPr>
          <w:hyperlink w:anchor="__RefHeading___Toc9514_2977050583">
            <w:r>
              <w:rPr>
                <w:webHidden/>
                <w:rStyle w:val="IndexLink"/>
              </w:rPr>
              <w:t>12.2 Existing files modified</w:t>
              <w:tab/>
              <w:t>32</w:t>
            </w:r>
          </w:hyperlink>
        </w:p>
        <w:p>
          <w:pPr>
            <w:pStyle w:val="Contents2"/>
            <w:tabs>
              <w:tab w:val="clear" w:pos="720"/>
              <w:tab w:val="right" w:pos="9638" w:leader="dot"/>
            </w:tabs>
            <w:rPr/>
          </w:pPr>
          <w:hyperlink w:anchor="__RefHeading___Toc9516_2977050583">
            <w:r>
              <w:rPr>
                <w:webHidden/>
                <w:rStyle w:val="IndexLink"/>
              </w:rPr>
              <w:t>12.3 Requirements</w:t>
              <w:tab/>
              <w:t>33</w:t>
            </w:r>
          </w:hyperlink>
          <w:r>
            <w:rPr>
              <w:rStyle w:val="IndexLink"/>
            </w:rPr>
            <w:fldChar w:fldCharType="end"/>
          </w:r>
        </w:p>
      </w:sdtContent>
    </w:sdt>
    <w:p>
      <w:pPr>
        <w:pStyle w:val="Normal"/>
        <w:spacing w:before="0" w:after="0"/>
        <w:rPr/>
      </w:pPr>
      <w:r>
        <w:rPr/>
      </w:r>
    </w:p>
    <w:p>
      <w:pPr>
        <w:pStyle w:val="Normal"/>
        <w:rPr/>
      </w:pPr>
      <w:r>
        <w:rPr/>
      </w:r>
      <w:r>
        <w:br w:type="page"/>
      </w:r>
    </w:p>
    <w:p>
      <w:pPr>
        <w:pStyle w:val="Heading1"/>
        <w:rPr/>
      </w:pPr>
      <w:bookmarkStart w:id="0" w:name="__RefHeading___Toc9384_2977050583"/>
      <w:bookmarkStart w:id="1" w:name="CSA_H_1"/>
      <w:bookmarkEnd w:id="0"/>
      <w:r>
        <w:rPr/>
        <w:t>Overview</w:t>
      </w:r>
      <w:bookmarkEnd w:id="1"/>
    </w:p>
    <w:p>
      <w:pPr>
        <w:pStyle w:val="Heading2"/>
        <w:rPr/>
      </w:pPr>
      <w:bookmarkStart w:id="2" w:name="__RefHeading___Toc9386_2977050583"/>
      <w:bookmarkStart w:id="3" w:name="CSA_H_1_1"/>
      <w:bookmarkEnd w:id="2"/>
      <w:r>
        <w:rPr/>
        <w:t>Purpose and intended benefit</w:t>
      </w:r>
      <w:bookmarkEnd w:id="3"/>
    </w:p>
    <w:p>
      <w:pPr>
        <w:pStyle w:val="Normal"/>
        <w:widowControl/>
        <w:rPr/>
      </w:pPr>
      <w:r>
        <w:rPr/>
        <w:t>This enhancement uses spectral parameterisation to achieve compression in the residual stream (specifically, in the token embedding axis).</w:t>
      </w:r>
    </w:p>
    <w:p>
      <w:pPr>
        <w:pStyle w:val="Normal"/>
        <w:widowControl/>
        <w:rPr/>
      </w:pPr>
      <w:r>
        <w:rPr/>
        <w:t xml:space="preserve">Its purpose is to reduce memory: learned embeddings, residual activations and the residual-facing axes of the large weight matrices become smaller. </w:t>
      </w:r>
    </w:p>
    <w:p>
      <w:pPr>
        <w:pStyle w:val="Normal"/>
        <w:widowControl/>
        <w:rPr/>
      </w:pPr>
      <w:r>
        <w:rPr/>
        <w:t>Significantly, the model is trained in the compact spectral representation from the outset. It is not required to retain a larger learned embedding table and project that table on every forward pass, which is an alternative, probably less efficient, means of achieving a compact residual representation.</w:t>
      </w:r>
      <w:r>
        <w:rPr>
          <w:color w:val="5E6B78"/>
          <w:sz w:val="17"/>
        </w:rPr>
        <w:t xml:space="preserve">   [CSA</w:t>
        <w:noBreakHyphen/>
        <w:t>OBJ</w:t>
        <w:noBreakHyphen/>
        <w:t>001, CSA</w:t>
        <w:noBreakHyphen/>
        <w:t>OBJ</w:t>
        <w:noBreakHyphen/>
        <w:t>002]</w:t>
      </w:r>
    </w:p>
    <w:p>
      <w:pPr>
        <w:pStyle w:val="Normal"/>
        <w:widowControl/>
        <w:rPr/>
      </w:pPr>
      <w:r>
        <w:rPr/>
        <w:t>It is analogous with THOG depth compression in that it likewise uses a fixed basis and learned spectral coefficients. Depth compression represents variation of weights across layers; the present enhancement compresses embeddings / residual vectors across the feature coordinate. An important difference is that the current version of THOG depth compression entails rematerialisation of weights. Residual stream re-parameterisation does not do the equivalent of this: residual vectors remain in coefficient space without being expanded.</w:t>
      </w:r>
    </w:p>
    <w:p>
      <w:pPr>
        <w:pStyle w:val="Normal"/>
        <w:widowControl/>
        <w:rPr/>
      </w:pPr>
      <w:r>
        <w:rPr/>
        <w:t>Using residual stream re-parameterisation does not reduce sequence length or the number of executed transformer blocks.</w:t>
      </w:r>
      <w:r>
        <w:rPr>
          <w:color w:val="5E6B78"/>
          <w:sz w:val="17"/>
        </w:rPr>
        <w:t xml:space="preserve">  [CSA</w:t>
        <w:noBreakHyphen/>
        <w:t>OBJ</w:t>
        <w:noBreakHyphen/>
        <w:t>003, CSA</w:t>
        <w:noBreakHyphen/>
        <w:t>OBJ</w:t>
        <w:noBreakHyphen/>
        <w:t>004]</w:t>
      </w:r>
    </w:p>
    <w:p>
      <w:pPr>
        <w:pStyle w:val="Normal"/>
        <w:widowControl/>
        <w:rPr/>
      </w:pPr>
      <w:r>
        <w:rPr/>
        <w:t xml:space="preserve">Residual stream re-parameterisation is independent of and can be used in conjunction with depth compression. </w:t>
      </w:r>
    </w:p>
    <w:p>
      <w:pPr>
        <w:pStyle w:val="Normal"/>
        <w:widowControl/>
        <w:rPr/>
      </w:pPr>
      <w:r>
        <w:rPr/>
        <w:t>Chebyshev is used as the compressor example throughout this document.</w:t>
      </w:r>
    </w:p>
    <w:p>
      <w:pPr>
        <w:pStyle w:val="Heading2"/>
        <w:rPr/>
      </w:pPr>
      <w:bookmarkStart w:id="4" w:name="__RefHeading___Toc9388_2977050583"/>
      <w:bookmarkEnd w:id="4"/>
      <w:r>
        <w:rPr/>
        <w:t>S</w:t>
      </w:r>
      <w:bookmarkStart w:id="5" w:name="CSA_H_1_2"/>
      <w:r>
        <w:rPr/>
        <w:t>pectral Param</w:t>
      </w:r>
      <w:r>
        <w:rPr/>
        <w:t>e</w:t>
      </w:r>
      <w:r>
        <w:rPr/>
        <w:t>terization Enhanced</w:t>
      </w:r>
      <w:bookmarkEnd w:id="5"/>
      <w:r>
        <w:rPr/>
        <w:t xml:space="preserve"> LayerNorrm</w:t>
      </w:r>
    </w:p>
    <w:p>
      <w:pPr>
        <w:pStyle w:val="Normal"/>
        <w:widowControl/>
        <w:rPr/>
      </w:pPr>
      <w:r>
        <w:rPr/>
        <w:t>A “spectral param</w:t>
      </w:r>
      <w:r>
        <w:rPr/>
        <w:t>e</w:t>
      </w:r>
      <w:r>
        <w:rPr/>
        <w:t>terization enhanced” version of LayerNorm is used to instantiate the enhancement. Each LayerNorm layer is so enhanced.</w:t>
      </w:r>
    </w:p>
    <w:p>
      <w:pPr>
        <w:pStyle w:val="Normal"/>
        <w:widowControl/>
        <w:rPr/>
      </w:pPr>
      <w:r>
        <w:rPr/>
        <w:t>This modified LayerNorm incorporates spectral compression and decompression (‘analysis’ and ‘synthesis’) to construct an affordance that will drive (initially random) coefficients towards values that encode useful spectral representations.</w:t>
      </w:r>
    </w:p>
    <w:p>
      <w:pPr>
        <w:pStyle w:val="Normal"/>
        <w:widowControl/>
        <w:rPr/>
      </w:pPr>
      <w:r>
        <w:rPr/>
        <w:t>More specifically, the modified LayerNorm operation comprises (i) synthesis of feature vectors; (ii) normalization of feature vectors in feature vector space (the base LayerNorm function); and (iii) analysis of the result back into coefficients. These three stages define the operation mathematically; the implementation algebraically combines them so that the full feature vectors are not constructed.</w:t>
      </w:r>
    </w:p>
    <w:p>
      <w:pPr>
        <w:pStyle w:val="Normal"/>
        <w:widowControl/>
        <w:rPr/>
      </w:pPr>
      <w:r>
        <w:rPr/>
        <w:t>LayerNorm works directly with spectral coefficients, without expanding the feature values they represent. The vocabulary head (LMHead) likewise operates directly on the final coefficients, without expansion.</w:t>
      </w:r>
      <w:r>
        <w:rPr>
          <w:color w:val="5E6B78"/>
          <w:sz w:val="17"/>
        </w:rPr>
        <w:t xml:space="preserve">  [CSA</w:t>
        <w:noBreakHyphen/>
        <w:t>OBJ</w:t>
        <w:noBreakHyphen/>
        <w:t>005]</w:t>
      </w:r>
    </w:p>
    <w:p>
      <w:pPr>
        <w:pStyle w:val="Normal"/>
        <w:widowControl/>
        <w:rPr/>
      </w:pPr>
      <w:r>
        <w:rPr>
          <w:shd w:fill="auto" w:val="clear"/>
        </w:rPr>
        <w:t>The implementation will re-use THOG’s central catalogue of supported spectral bases, their versions, and how to construct them.</w:t>
      </w:r>
    </w:p>
    <w:p>
      <w:pPr>
        <w:pStyle w:val="Normal"/>
        <w:widowControl/>
        <w:rPr/>
      </w:pPr>
      <w:r>
        <w:rPr/>
        <w:t>Attention head channels and the MLP hidden width will retain their original widths and therefore will (normally) remain wider than the compressed residual stream</w:t>
      </w:r>
      <w:r>
        <w:rPr>
          <w:color w:val="5E6B78"/>
          <w:sz w:val="17"/>
        </w:rPr>
        <w:t>[CSA</w:t>
        <w:noBreakHyphen/>
        <w:t>OBJ</w:t>
        <w:noBreakHyphen/>
        <w:t>006, CSA</w:t>
        <w:noBreakHyphen/>
        <w:t>OBJ</w:t>
        <w:noBreakHyphen/>
        <w:t>007]</w:t>
      </w:r>
    </w:p>
    <w:p>
      <w:pPr>
        <w:pStyle w:val="Heading2"/>
        <w:rPr/>
      </w:pPr>
      <w:bookmarkStart w:id="6" w:name="__RefHeading___Toc9390_2977050583"/>
      <w:bookmarkStart w:id="7" w:name="CSA_H_1_3"/>
      <w:bookmarkEnd w:id="6"/>
      <w:r>
        <w:rPr/>
        <w:t>Scope and Evidence</w:t>
      </w:r>
      <w:bookmarkEnd w:id="7"/>
    </w:p>
    <w:p>
      <w:pPr>
        <w:pStyle w:val="Normal"/>
        <w:widowControl/>
        <w:rPr/>
      </w:pPr>
      <w:r>
        <w:rPr/>
        <w:t xml:space="preserve">This documents constitutes a proposed architecture, requirements specification and  implementation specification. </w:t>
      </w:r>
    </w:p>
    <w:p>
      <w:pPr>
        <w:pStyle w:val="Normal"/>
        <w:widowControl/>
        <w:rPr/>
      </w:pPr>
      <w:r>
        <w:rPr/>
        <w:t>The modified LayerNorm has an algebraically exact compact form for the represented vector, but reducing the retained width changes the model’s available representations. This is likely to impacrt language-model quality and learning speed. Earlier causal toy models established useful feasibility evidence for compact computation; but did not and could not address performance. Acceptance therefore includes fresh numerical, storage, causality, and training comparisons.</w:t>
      </w:r>
      <w:r>
        <w:rPr>
          <w:color w:val="5E6B78"/>
          <w:sz w:val="17"/>
        </w:rPr>
        <w:t xml:space="preserve">  [CSA</w:t>
        <w:noBreakHyphen/>
        <w:t>OBJ</w:t>
        <w:noBreakHyphen/>
        <w:t>008]</w:t>
      </w:r>
    </w:p>
    <w:p>
      <w:pPr>
        <w:pStyle w:val="Heading2"/>
        <w:widowControl/>
        <w:rPr/>
      </w:pPr>
      <w:bookmarkStart w:id="8" w:name="__RefHeading___Toc9392_2977050583"/>
      <w:bookmarkEnd w:id="8"/>
      <w:r>
        <w:rPr/>
        <w:t>Structure of Requirements</w:t>
      </w:r>
    </w:p>
    <w:p>
      <w:pPr>
        <w:pStyle w:val="Normal"/>
        <w:widowControl/>
        <w:rPr/>
      </w:pPr>
      <w:r>
        <w:rPr/>
        <w:t xml:space="preserve">Each numbered descriptive subsection identifies the requirements that express its material statements. </w:t>
      </w:r>
    </w:p>
    <w:p>
      <w:pPr>
        <w:pStyle w:val="Normal"/>
        <w:widowControl/>
        <w:rPr/>
      </w:pPr>
      <w:r>
        <w:rPr/>
        <w:t>A requirement ID has the form ‘CSA’ followed by the section mnemonic and a sequence number.</w:t>
      </w:r>
    </w:p>
    <w:p>
      <w:pPr>
        <w:pStyle w:val="Normal"/>
        <w:widowControl/>
        <w:rPr/>
      </w:pPr>
      <w:r>
        <w:rPr/>
        <w:t>Version 0.1 covers fixed width, fixed basis selection, and bounded observational instrumentation; automatic order selection and learned basis coordinates are outside its implementation scope.</w:t>
      </w:r>
      <w:r>
        <w:rPr>
          <w:color w:val="5E6B78"/>
          <w:sz w:val="17"/>
        </w:rPr>
        <w:t xml:space="preserve">  [CSA</w:t>
        <w:noBreakHyphen/>
        <w:t>OBJ</w:t>
        <w:noBreakHyphen/>
        <w:t>009, CSA</w:t>
        <w:noBreakHyphen/>
        <w:t>OBJ</w:t>
        <w:noBreakHyphen/>
        <w:t>010]</w:t>
      </w:r>
    </w:p>
    <w:p>
      <w:pPr>
        <w:pStyle w:val="Heading2"/>
        <w:rPr/>
      </w:pPr>
      <w:bookmarkStart w:id="9" w:name="__RefHeading___Toc9394_2977050583"/>
      <w:bookmarkStart w:id="10" w:name="CSA_H_1_4"/>
      <w:bookmarkEnd w:id="9"/>
      <w:r>
        <w:rPr/>
        <w:t>Requirements</w:t>
      </w:r>
      <w:bookmarkEnd w:id="10"/>
    </w:p>
    <w:p>
      <w:pPr>
        <w:pStyle w:val="Requirement"/>
        <w:keepLines/>
        <w:rPr/>
      </w:pPr>
      <w:bookmarkStart w:id="11" w:name="CSA_OBJ_001"/>
      <w:r>
        <w:rPr>
          <w:b/>
          <w:color w:val="1F4E79"/>
        </w:rPr>
        <w:t>CSA-OBJ-001</w:t>
      </w:r>
      <w:r>
        <w:rPr/>
        <w:t xml:space="preserve">  The model shall store token embeddings directly as learned spectral coefficient vectors of the retained width.</w:t>
      </w:r>
      <w:bookmarkEnd w:id="11"/>
    </w:p>
    <w:p>
      <w:pPr>
        <w:pStyle w:val="Requirement"/>
        <w:keepLines/>
        <w:rPr/>
      </w:pPr>
      <w:bookmarkStart w:id="12" w:name="CSA_OBJ_002"/>
      <w:r>
        <w:rPr>
          <w:b/>
          <w:color w:val="1F4E79"/>
        </w:rPr>
        <w:t>CSA-OBJ-002</w:t>
      </w:r>
      <w:r>
        <w:rPr/>
        <w:t xml:space="preserve">  Width compression shall reduce the residual-facing dimensions of stored weight operators as well as the residual activations.</w:t>
      </w:r>
      <w:bookmarkEnd w:id="12"/>
    </w:p>
    <w:p>
      <w:pPr>
        <w:pStyle w:val="Requirement"/>
        <w:keepLines/>
        <w:rPr/>
      </w:pPr>
      <w:bookmarkStart w:id="13" w:name="CSA_OBJ_003"/>
      <w:r>
        <w:rPr>
          <w:b/>
          <w:color w:val="1F4E79"/>
        </w:rPr>
        <w:t>CSA-OBJ-003</w:t>
      </w:r>
      <w:r>
        <w:rPr/>
        <w:t xml:space="preserve">  Width and depth compression shall be independently selectable and jointly usable.</w:t>
      </w:r>
      <w:bookmarkEnd w:id="13"/>
    </w:p>
    <w:p>
      <w:pPr>
        <w:pStyle w:val="Requirement"/>
        <w:keepLines/>
        <w:rPr/>
      </w:pPr>
      <w:bookmarkStart w:id="14" w:name="CSA_OBJ_004"/>
      <w:r>
        <w:rPr>
          <w:b/>
          <w:color w:val="1F4E79"/>
        </w:rPr>
        <w:t>CSA-OBJ-004</w:t>
      </w:r>
      <w:r>
        <w:rPr/>
        <w:t xml:space="preserve">  Width compression shall preserve token count, causal sequence order, and the configured number of executed blocks.</w:t>
      </w:r>
      <w:bookmarkEnd w:id="14"/>
    </w:p>
    <w:p>
      <w:pPr>
        <w:pStyle w:val="Requirement"/>
        <w:keepLines/>
        <w:rPr/>
      </w:pPr>
      <w:bookmarkStart w:id="15" w:name="CSA_OBJ_005"/>
      <w:r>
        <w:rPr>
          <w:b/>
          <w:color w:val="1F4E79"/>
        </w:rPr>
        <w:t>CSA-OBJ-005</w:t>
      </w:r>
      <w:r>
        <w:rPr/>
        <w:t xml:space="preserve">  The preferred variant shall use compact projected LayerNorm and a direct coefficient-to-vocabulary head without expanded residuals in normal execution.</w:t>
      </w:r>
      <w:bookmarkEnd w:id="15"/>
    </w:p>
    <w:p>
      <w:pPr>
        <w:pStyle w:val="Requirement"/>
        <w:keepLines/>
        <w:rPr/>
      </w:pPr>
      <w:bookmarkStart w:id="16" w:name="CSA_OBJ_006"/>
      <w:r>
        <w:rPr>
          <w:b/>
          <w:color w:val="1F4E79"/>
        </w:rPr>
        <w:t>CSA-OBJ-006</w:t>
      </w:r>
      <w:r>
        <w:rPr/>
        <w:t xml:space="preserve">  Width basis selection shall use the shared THOG plug-in registry, with Chebyshev as the documented worked example.</w:t>
      </w:r>
      <w:bookmarkEnd w:id="16"/>
    </w:p>
    <w:p>
      <w:pPr>
        <w:pStyle w:val="Requirement"/>
        <w:keepLines/>
        <w:rPr/>
      </w:pPr>
      <w:bookmarkStart w:id="17" w:name="CSA_OBJ_007"/>
      <w:r>
        <w:rPr>
          <w:b/>
          <w:color w:val="1F4E79"/>
        </w:rPr>
        <w:t>CSA-OBJ-007</w:t>
      </w:r>
      <w:r>
        <w:rPr/>
        <w:t xml:space="preserve">  Version 0.1 shall preserve the existing attention internal width and MLP hidden width.</w:t>
      </w:r>
      <w:bookmarkEnd w:id="17"/>
    </w:p>
    <w:p>
      <w:pPr>
        <w:pStyle w:val="Requirement"/>
        <w:keepLines/>
        <w:rPr/>
      </w:pPr>
      <w:bookmarkStart w:id="18" w:name="CSA_OBJ_008"/>
      <w:r>
        <w:rPr>
          <w:b/>
          <w:color w:val="1F4E79"/>
        </w:rPr>
        <w:t>CSA-OBJ-008</w:t>
      </w:r>
      <w:r>
        <w:rPr/>
        <w:t xml:space="preserve">  Release claims shall distinguish mathematical equivalence of projected LayerNorm from unproven quality, memory, and timing results for the complete variant.</w:t>
      </w:r>
      <w:bookmarkEnd w:id="18"/>
    </w:p>
    <w:p>
      <w:pPr>
        <w:pStyle w:val="Requirement"/>
        <w:keepLines/>
        <w:rPr/>
      </w:pPr>
      <w:bookmarkStart w:id="19" w:name="CSA_OBJ_009"/>
      <w:r>
        <w:rPr>
          <w:b/>
          <w:color w:val="1F4E79"/>
        </w:rPr>
        <w:t>CSA-OBJ-009</w:t>
      </w:r>
      <w:r>
        <w:rPr/>
        <w:t xml:space="preserve">  Every material descriptive statement shall have an identified requirement, and every requirement shall have descriptive coverage.</w:t>
      </w:r>
      <w:bookmarkEnd w:id="19"/>
    </w:p>
    <w:p>
      <w:pPr>
        <w:pStyle w:val="Requirement"/>
        <w:keepLines/>
        <w:rPr/>
      </w:pPr>
      <w:bookmarkStart w:id="20" w:name="CSA_OBJ_010"/>
      <w:r>
        <w:rPr>
          <w:b/>
          <w:color w:val="1F4E79"/>
        </w:rPr>
        <w:t>CSA-OBJ-010</w:t>
      </w:r>
      <w:r>
        <w:rPr/>
        <w:t xml:space="preserve">  Version 0.1 shall use a fixed retained width and fixed basis, without automatic width adaptation or learned basis coordinates.</w:t>
      </w:r>
      <w:bookmarkEnd w:id="20"/>
    </w:p>
    <w:p>
      <w:pPr>
        <w:pStyle w:val="Heading1"/>
        <w:rPr/>
      </w:pPr>
      <w:bookmarkStart w:id="21" w:name="__RefHeading___Toc9396_2977050583"/>
      <w:bookmarkStart w:id="22" w:name="CSA_H_2"/>
      <w:bookmarkEnd w:id="21"/>
      <w:r>
        <w:rPr/>
        <w:t>Representation and Spectral Basis</w:t>
      </w:r>
      <w:bookmarkEnd w:id="22"/>
    </w:p>
    <w:p>
      <w:pPr>
        <w:pStyle w:val="Normal"/>
        <w:numPr>
          <w:ilvl w:val="1"/>
          <w:numId w:val="1"/>
        </w:numPr>
        <w:rPr/>
      </w:pPr>
      <w:bookmarkStart w:id="23" w:name="__RefHeading___Toc9398_29770505831"/>
      <w:bookmarkStart w:id="24" w:name="CSA_H_2_11"/>
      <w:bookmarkStart w:id="25" w:name="CSA_H_2_1"/>
      <w:bookmarkEnd w:id="23"/>
      <w:bookmarkEnd w:id="25"/>
      <w:r>
        <w:rPr>
          <w:rFonts w:eastAsia="Liberation Sans" w:cs="Liberation Sans"/>
          <w:b/>
          <w:bCs/>
          <w:color w:val="1F2937"/>
          <w:sz w:val="26"/>
          <w:szCs w:val="26"/>
        </w:rPr>
        <w:t>Notation used throughout the specification</w:t>
      </w:r>
      <w:bookmarkEnd w:id="24"/>
      <w:r>
        <w:rPr>
          <w:rFonts w:eastAsia="Liberation Sans" w:cs="Liberation Sans"/>
          <w:b/>
          <w:bCs/>
          <w:color w:val="1F2937"/>
          <w:sz w:val="26"/>
          <w:szCs w:val="26"/>
        </w:rPr>
        <w:t xml:space="preserve"> </w:t>
      </w:r>
      <w:r>
        <w:rPr>
          <w:color w:val="5E6B78"/>
          <w:sz w:val="17"/>
        </w:rPr>
        <w:t xml:space="preserve"> [CSA</w:t>
        <w:noBreakHyphen/>
        <w:t>REP</w:t>
        <w:noBreakHyphen/>
        <w:t>001, CSA</w:t>
        <w:noBreakHyphen/>
        <w:t>REP</w:t>
        <w:noBreakHyphen/>
        <w:t>002]</w:t>
      </w:r>
    </w:p>
    <w:tbl>
      <w:tblPr>
        <w:tblW w:w="9638" w:type="dxa"/>
        <w:jc w:val="left"/>
        <w:tblInd w:w="-8" w:type="dxa"/>
        <w:tblLayout w:type="fixed"/>
        <w:tblCellMar>
          <w:top w:w="90" w:type="dxa"/>
          <w:left w:w="100" w:type="dxa"/>
          <w:bottom w:w="90" w:type="dxa"/>
          <w:right w:w="100" w:type="dxa"/>
        </w:tblCellMar>
      </w:tblPr>
      <w:tblGrid>
        <w:gridCol w:w="1134"/>
        <w:gridCol w:w="6404"/>
        <w:gridCol w:w="2100"/>
      </w:tblGrid>
      <w:tr>
        <w:trPr>
          <w:tblHeader w:val="true"/>
        </w:trPr>
        <w:tc>
          <w:tcPr>
            <w:tcW w:w="113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Symbol</w:t>
            </w:r>
          </w:p>
        </w:tc>
        <w:tc>
          <w:tcPr>
            <w:tcW w:w="6404"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Meaning</w:t>
            </w:r>
          </w:p>
        </w:tc>
        <w:tc>
          <w:tcPr>
            <w:tcW w:w="21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Reference feature width; --n-embd.</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CSA-REP-001</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Compact coefficient count; actual residual width.</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CSA-REP-001</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L and P</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Executed layer (block) count and, when selected, depth coefficient count.</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CSA-REP-003</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A and F</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Attention internal width and MLP hidden width; initially A = D and F = 4D in the existing GPT path.</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CSA-REP-003</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 V and T</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Token vectors in an operation, vocabulary size, and configured context capacity.</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CSA-REP-003</w:t>
            </w:r>
          </w:p>
        </w:tc>
      </w:tr>
      <w:tr>
        <w:trPr>
          <w:cantSplit w:val="true"/>
        </w:trPr>
        <w:tc>
          <w:tcPr>
            <w:tcW w:w="113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 and c</w:t>
            </w:r>
          </w:p>
        </w:tc>
        <w:tc>
          <w:tcPr>
            <w:tcW w:w="6404"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Fixed analysis matrix of shape r × D, and one coefficient column vector of length r.</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CSA-REP-004</w:t>
            </w:r>
          </w:p>
        </w:tc>
      </w:tr>
      <w:tr>
        <w:trPr>
          <w:cantSplit w:val="true"/>
        </w:trPr>
        <w:tc>
          <w:tcPr>
            <w:tcW w:w="1134" w:type="dxa"/>
            <w:tcBorders>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r>
          </w:p>
        </w:tc>
        <w:tc>
          <w:tcPr>
            <w:tcW w:w="6404" w:type="dxa"/>
            <w:tcBorders>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r>
          </w:p>
        </w:tc>
        <w:tc>
          <w:tcPr>
            <w:tcW w:w="2100" w:type="dxa"/>
            <w:tcBorders>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r>
          </w:p>
        </w:tc>
      </w:tr>
    </w:tbl>
    <w:p>
      <w:pPr>
        <w:pStyle w:val="Normal"/>
        <w:spacing w:lineRule="auto" w:line="360" w:before="0" w:after="60"/>
        <w:rPr/>
      </w:pPr>
      <w:r>
        <w:rPr/>
      </w:r>
    </w:p>
    <w:p>
      <w:pPr>
        <w:pStyle w:val="Normal"/>
        <w:widowControl/>
        <w:rPr/>
      </w:pPr>
      <w:r>
        <w:rPr/>
        <w:t xml:space="preserve">Equations use column vectors and output-by-input matrices. Storage APIs that use row vectors apply the corresponding transposes. Shape reports must label which convention they use; a transpose does not change the parameter count. </w:t>
      </w:r>
      <w:r>
        <w:rPr>
          <w:rFonts w:eastAsia="Liberation Sans" w:cs="Liberation Sans"/>
          <w:color w:val="5E6B78"/>
          <w:sz w:val="17"/>
        </w:rPr>
        <w:t xml:space="preserve"> [CSA</w:t>
        <w:noBreakHyphen/>
        <w:t>REP</w:t>
        <w:noBreakHyphen/>
        <w:t>005]</w:t>
      </w:r>
    </w:p>
    <w:p>
      <w:pPr>
        <w:pStyle w:val="Heading2"/>
        <w:rPr/>
      </w:pPr>
      <w:bookmarkStart w:id="26" w:name="__RefHeading___Toc9400_2977050583"/>
      <w:bookmarkStart w:id="27" w:name="CSA_H_2_2"/>
      <w:bookmarkEnd w:id="26"/>
      <w:r>
        <w:rPr/>
        <w:t xml:space="preserve">Chebyshev </w:t>
      </w:r>
      <w:r>
        <w:rPr/>
        <w:t>C</w:t>
      </w:r>
      <w:r>
        <w:rPr/>
        <w:t>onstruction</w:t>
      </w:r>
      <w:bookmarkEnd w:id="27"/>
    </w:p>
    <w:p>
      <w:pPr>
        <w:pStyle w:val="Normal"/>
        <w:widowControl/>
        <w:rPr/>
      </w:pPr>
      <w:r>
        <w:rPr/>
        <w:t>Definitions from linear algebra:</w:t>
      </w:r>
    </w:p>
    <w:p>
      <w:pPr>
        <w:pStyle w:val="Normal"/>
        <w:widowControl/>
        <w:rPr/>
      </w:pPr>
      <w:r>
        <w:rPr>
          <w:b/>
          <w:bCs/>
        </w:rPr>
        <w:t xml:space="preserve">Q: </w:t>
      </w:r>
      <w:r>
        <w:rPr/>
        <w:t>an orthonormal basis.</w:t>
      </w:r>
    </w:p>
    <w:p>
      <w:pPr>
        <w:pStyle w:val="Normal"/>
        <w:widowControl/>
        <w:rPr/>
      </w:pPr>
      <w:r>
        <w:rPr>
          <w:b/>
          <w:bCs/>
        </w:rPr>
        <w:t>R</w:t>
      </w:r>
      <w:r>
        <w:rPr/>
        <w:t>: triangular matrix recording the scaling and mixing used.</w:t>
      </w:r>
    </w:p>
    <w:p>
      <w:pPr>
        <w:pStyle w:val="Normal"/>
        <w:widowControl/>
        <w:rPr/>
      </w:pPr>
      <w:r>
        <w:rPr>
          <w:b/>
          <w:bCs/>
        </w:rPr>
        <w:t>QR factorisation</w:t>
      </w:r>
      <w:r>
        <w:rPr/>
        <w:t>: decomposes a matrix as (A=QR), where Q has orthonormal columns—mutually perpendicular vectors of unit length—and (R) is upper triangular.</w:t>
      </w:r>
    </w:p>
    <w:p>
      <w:pPr>
        <w:pStyle w:val="Normal"/>
        <w:widowControl/>
        <w:spacing w:before="340" w:after="119"/>
        <w:rPr/>
      </w:pPr>
      <w:r>
        <w:rPr/>
        <w:t xml:space="preserve">In the existing </w:t>
      </w:r>
      <w:r>
        <w:rPr/>
        <w:t xml:space="preserve">(THOG) </w:t>
      </w:r>
      <w:r>
        <w:rPr/>
        <w:t>Chebyshev family, D ordered feature coordinates are sampled uniformly from −1 to +1. The raw basis columns are T₀ through Tᵣ</w:t>
      </w:r>
      <w:r>
        <w:rPr>
          <w:rFonts w:eastAsia="DejaVu Sans" w:cs="DejaVu Sans" w:ascii="DejaVu Sans" w:hAnsi="DejaVu Sans"/>
        </w:rPr>
        <w:t>₋</w:t>
      </w:r>
      <w:r>
        <w:rPr/>
        <w:t>₁. These polynomials are evaluated at the fixed coordinates, not at the activation values. Reduced QR with THOG’s deterministic positive-diagonal convention produces orthonormal columns Q; C is Q transposed. Stored coefficients are therefore coordinates in an orthonormalized Chebyshev-derived basis, rather than coefficients of an unnormalized textbook Chebyshev series.</w:t>
      </w:r>
      <w:r>
        <w:rPr>
          <w:color w:val="5E6B78"/>
          <w:sz w:val="17"/>
        </w:rPr>
        <w:t xml:space="preserve">  [CSA</w:t>
        <w:noBreakHyphen/>
        <w:t>REP</w:t>
        <w:noBreakHyphen/>
        <w:t>006, CSA</w:t>
        <w:noBreakHyphen/>
        <w:t>REP</w:t>
        <w:noBreakHyphen/>
        <w:t>007]</w:t>
      </w:r>
    </w:p>
    <w:p>
      <w:pPr>
        <w:pStyle w:val="Normal"/>
        <w:keepNext w:val="true"/>
        <w:keepLines/>
        <w:spacing w:before="80" w:after="80"/>
        <w:jc w:val="center"/>
        <w:rPr/>
      </w:pPr>
      <w:r>
        <w:rPr/>
        <w:drawing>
          <wp:inline distT="0" distB="0" distL="0" distR="0">
            <wp:extent cx="1801495" cy="164465"/>
            <wp:effectExtent l="0" t="0" r="0" b="0"/>
            <wp:docPr id="1" name="Picture 1" descr="T_0(z)=1,\qquad T_1(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_0(z)=1,\qquad T_1(z)=z"/>
                    <pic:cNvPicPr>
                      <a:picLocks noChangeAspect="1" noChangeArrowheads="1"/>
                    </pic:cNvPicPr>
                  </pic:nvPicPr>
                  <pic:blipFill>
                    <a:blip r:embed="rId2"/>
                    <a:stretch>
                      <a:fillRect/>
                    </a:stretch>
                  </pic:blipFill>
                  <pic:spPr bwMode="auto">
                    <a:xfrm>
                      <a:off x="0" y="0"/>
                      <a:ext cx="1801495" cy="164465"/>
                    </a:xfrm>
                    <a:prstGeom prst="rect">
                      <a:avLst/>
                    </a:prstGeom>
                  </pic:spPr>
                </pic:pic>
              </a:graphicData>
            </a:graphic>
          </wp:inline>
        </w:drawing>
      </w:r>
    </w:p>
    <w:p>
      <w:pPr>
        <w:pStyle w:val="Normal"/>
        <w:keepNext w:val="true"/>
        <w:keepLines/>
        <w:spacing w:before="80" w:after="80"/>
        <w:jc w:val="center"/>
        <w:rPr/>
      </w:pPr>
      <w:r>
        <w:rPr/>
        <w:drawing>
          <wp:inline distT="0" distB="0" distL="0" distR="0">
            <wp:extent cx="2194560" cy="164465"/>
            <wp:effectExtent l="0" t="0" r="0" b="0"/>
            <wp:docPr id="2" name="Picture 2" descr="T_{k+1}(z)=2zT_k(z)-T_{k-1}(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_{k+1}(z)=2zT_k(z)-T_{k-1}(z)"/>
                    <pic:cNvPicPr>
                      <a:picLocks noChangeAspect="1" noChangeArrowheads="1"/>
                    </pic:cNvPicPr>
                  </pic:nvPicPr>
                  <pic:blipFill>
                    <a:blip r:embed="rId3"/>
                    <a:stretch>
                      <a:fillRect/>
                    </a:stretch>
                  </pic:blipFill>
                  <pic:spPr bwMode="auto">
                    <a:xfrm>
                      <a:off x="0" y="0"/>
                      <a:ext cx="2194560" cy="164465"/>
                    </a:xfrm>
                    <a:prstGeom prst="rect">
                      <a:avLst/>
                    </a:prstGeom>
                  </pic:spPr>
                </pic:pic>
              </a:graphicData>
            </a:graphic>
          </wp:inline>
        </w:drawing>
      </w:r>
    </w:p>
    <w:p>
      <w:pPr>
        <w:pStyle w:val="SpecReference"/>
        <w:jc w:val="right"/>
        <w:rPr/>
      </w:pPr>
      <w:r>
        <w:rPr/>
        <w:t>[CSA</w:t>
        <w:noBreakHyphen/>
        <w:t>REP</w:t>
        <w:noBreakHyphen/>
        <w:t>006]</w:t>
      </w:r>
    </w:p>
    <w:p>
      <w:pPr>
        <w:pStyle w:val="Normal"/>
        <w:keepNext w:val="true"/>
        <w:keepLines/>
        <w:spacing w:before="80" w:after="80"/>
        <w:jc w:val="center"/>
        <w:rPr/>
      </w:pPr>
      <w:r>
        <w:rPr/>
        <w:drawing>
          <wp:inline distT="0" distB="0" distL="0" distR="0">
            <wp:extent cx="3212465" cy="213360"/>
            <wp:effectExtent l="0" t="0" r="0" b="0"/>
            <wp:docPr id="3" name="Picture 3" descr="B_{ji}=T_i(z_j),\quad B=QR,\quad C=Q^{\mathsf{T}},\quad CC^{\mathsf{T}}=I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_{ji}=T_i(z_j),\quad B=QR,\quad C=Q^{\mathsf{T}},\quad CC^{\mathsf{T}}=I_r"/>
                    <pic:cNvPicPr>
                      <a:picLocks noChangeAspect="1" noChangeArrowheads="1"/>
                    </pic:cNvPicPr>
                  </pic:nvPicPr>
                  <pic:blipFill>
                    <a:blip r:embed="rId4"/>
                    <a:stretch>
                      <a:fillRect/>
                    </a:stretch>
                  </pic:blipFill>
                  <pic:spPr bwMode="auto">
                    <a:xfrm>
                      <a:off x="0" y="0"/>
                      <a:ext cx="3212465" cy="213360"/>
                    </a:xfrm>
                    <a:prstGeom prst="rect">
                      <a:avLst/>
                    </a:prstGeom>
                  </pic:spPr>
                </pic:pic>
              </a:graphicData>
            </a:graphic>
          </wp:inline>
        </w:drawing>
      </w:r>
    </w:p>
    <w:p>
      <w:pPr>
        <w:pStyle w:val="SpecReference"/>
        <w:jc w:val="right"/>
        <w:rPr/>
      </w:pPr>
      <w:r>
        <w:rPr/>
        <w:t>[CSA</w:t>
        <w:noBreakHyphen/>
        <w:t>REP</w:t>
        <w:noBreakHyphen/>
        <w:t>007]</w:t>
      </w:r>
    </w:p>
    <w:p>
      <w:pPr>
        <w:pStyle w:val="Normal"/>
        <w:widowControl/>
        <w:rPr/>
      </w:pPr>
      <w:r>
        <w:rPr/>
        <w:t>The constant first mode is positive and has value 1/√D at every feature coordinate. In this convention r coefficients correspond to raw polynomial degrees zero through r−1. Calling r an “order” follows THOG’s coefficient-count convention; it must not be interpreted as retaining r+1 coefficients.</w:t>
      </w:r>
      <w:r>
        <w:rPr>
          <w:color w:val="5E6B78"/>
          <w:sz w:val="17"/>
        </w:rPr>
        <w:t xml:space="preserve">  [CSA</w:t>
        <w:noBreakHyphen/>
        <w:t>REP</w:t>
        <w:noBreakHyphen/>
        <w:t>008]</w:t>
      </w:r>
    </w:p>
    <w:p>
      <w:pPr>
        <w:pStyle w:val="Normal"/>
        <w:widowControl/>
        <w:rPr/>
      </w:pPr>
      <w:r>
        <w:rPr/>
        <w:t>A high polynomial order on an equally spaced grid can be poorly conditioned before QR. Orthonormal output alone does not prove that the intended polynomial span is numerically resolved. Basis construction must check numerical rank and stabilization accuracy and report its conditioning. A failing construction is rejected before model allocation, with the requested dimensions and basis version identified. The memory examples do not certify every Chebyshev order at every D.</w:t>
      </w:r>
      <w:r>
        <w:rPr>
          <w:color w:val="5E6B78"/>
          <w:sz w:val="17"/>
        </w:rPr>
        <w:t xml:space="preserve">  [CSA</w:t>
        <w:noBreakHyphen/>
        <w:t>REP</w:t>
        <w:noBreakHyphen/>
        <w:t>009]</w:t>
      </w:r>
    </w:p>
    <w:p>
      <w:pPr>
        <w:pStyle w:val="Normal"/>
        <w:widowControl/>
        <w:rPr/>
      </w:pPr>
      <w:r>
        <w:rPr/>
        <w:t>A float64 construction check for the existing uniform-grid Chebyshev version found a raw-basis condition number of about 111 at D = 1024, r = 128, but about 3.4 × 10¹⁷ at r = 512. Under the standard tolerance ε_machine × max(D, r) × largest singular value, the latter is numerically rank deficient. This is a basis-construction diagnostic, not a training result. DCT avoids this raw-polynomial conditioning issue and is the initial alternative for a half-width experiment; changing the Chebyshev sampling grid would require a distinct registered policy or version.</w:t>
      </w:r>
      <w:r>
        <w:rPr>
          <w:color w:val="5E6B78"/>
          <w:sz w:val="17"/>
        </w:rPr>
        <w:t xml:space="preserve">  [CSA</w:t>
        <w:noBreakHyphen/>
        <w:t>REP</w:t>
        <w:noBreakHyphen/>
        <w:t>013]</w:t>
      </w:r>
    </w:p>
    <w:p>
      <w:pPr>
        <w:pStyle w:val="Heading2"/>
        <w:rPr/>
      </w:pPr>
      <w:bookmarkStart w:id="28" w:name="__RefHeading___Toc9402_2977050583"/>
      <w:bookmarkStart w:id="29" w:name="CSA_H_2_3"/>
      <w:bookmarkEnd w:id="28"/>
      <w:r>
        <w:rPr/>
        <w:t xml:space="preserve">Analysis, </w:t>
      </w:r>
      <w:r>
        <w:rPr/>
        <w:t>S</w:t>
      </w:r>
      <w:r>
        <w:rPr/>
        <w:t xml:space="preserve">ynthesis and </w:t>
      </w:r>
      <w:r>
        <w:rPr/>
        <w:t>I</w:t>
      </w:r>
      <w:r>
        <w:rPr/>
        <w:t xml:space="preserve">nformation </w:t>
      </w:r>
      <w:r>
        <w:rPr/>
        <w:t>L</w:t>
      </w:r>
      <w:r>
        <w:rPr/>
        <w:t>oss</w:t>
      </w:r>
      <w:bookmarkEnd w:id="29"/>
    </w:p>
    <w:p>
      <w:pPr>
        <w:pStyle w:val="Normal"/>
        <w:keepNext w:val="true"/>
        <w:keepLines/>
        <w:spacing w:before="80" w:after="80"/>
        <w:jc w:val="center"/>
        <w:rPr/>
      </w:pPr>
      <w:r>
        <w:rPr/>
        <w:drawing>
          <wp:inline distT="0" distB="0" distL="0" distR="0">
            <wp:extent cx="2792095" cy="189230"/>
            <wp:effectExtent l="0" t="0" r="0" b="0"/>
            <wp:docPr id="4" name="Picture 4" descr="c=Cx,\qquad \widehat{x}=C^{\mathsf{T}}c,\qquad C^{\mathsf{T}}Cx=\Pi_r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x,\qquad \widehat{x}=C^{\mathsf{T}}c,\qquad C^{\mathsf{T}}Cx=\Pi_r x"/>
                    <pic:cNvPicPr>
                      <a:picLocks noChangeAspect="1" noChangeArrowheads="1"/>
                    </pic:cNvPicPr>
                  </pic:nvPicPr>
                  <pic:blipFill>
                    <a:blip r:embed="rId5"/>
                    <a:stretch>
                      <a:fillRect/>
                    </a:stretch>
                  </pic:blipFill>
                  <pic:spPr bwMode="auto">
                    <a:xfrm>
                      <a:off x="0" y="0"/>
                      <a:ext cx="2792095" cy="189230"/>
                    </a:xfrm>
                    <a:prstGeom prst="rect">
                      <a:avLst/>
                    </a:prstGeom>
                  </pic:spPr>
                </pic:pic>
              </a:graphicData>
            </a:graphic>
          </wp:inline>
        </w:drawing>
      </w:r>
    </w:p>
    <w:p>
      <w:pPr>
        <w:pStyle w:val="SpecReference"/>
        <w:jc w:val="right"/>
        <w:rPr/>
      </w:pPr>
      <w:r>
        <w:rPr/>
        <w:t>[CSA</w:t>
        <w:noBreakHyphen/>
        <w:t>REP</w:t>
        <w:noBreakHyphen/>
        <w:t>010]</w:t>
      </w:r>
    </w:p>
    <w:p>
      <w:pPr>
        <w:pStyle w:val="Normal"/>
        <w:widowControl/>
        <w:rPr/>
      </w:pPr>
      <w:r>
        <w:rPr/>
        <w:t>Analysis takes feature samples x to retained coefficients c. Synthesis evaluates the represented function at the D feature coordinates. When r is smaller than D, synthesizing an analysed arbitrary vector gives its projection onto the retained subspace, not recovery of the discarded information. A model trained with direct coefficient embeddings chooses its representation within that subspace from the outset; it has no larger learned input vector that must first be reconstructed.</w:t>
      </w:r>
      <w:r>
        <w:rPr>
          <w:color w:val="5E6B78"/>
          <w:sz w:val="17"/>
        </w:rPr>
        <w:t xml:space="preserve">  [CSA</w:t>
        <w:noBreakHyphen/>
        <w:t>REP</w:t>
        <w:noBreakHyphen/>
        <w:t>010, CSA</w:t>
        <w:noBreakHyphen/>
        <w:t>REP</w:t>
        <w:noBreakHyphen/>
        <w:t>011]</w:t>
      </w:r>
    </w:p>
    <w:p>
      <w:pPr>
        <w:pStyle w:val="Normal"/>
        <w:widowControl/>
        <w:rPr/>
      </w:pPr>
      <w:r>
        <w:rPr/>
        <w:t>The fixed transform is linear in the vector values. The Chebyshev machinery is the particular set of entries in C, its retained subspace, and the constrained operators built with it. Polynomial evaluation at basis-construction time does not turn the subsequent matrix multiplication into a nonlinear activation function.</w:t>
      </w:r>
      <w:r>
        <w:rPr>
          <w:color w:val="5E6B78"/>
          <w:sz w:val="17"/>
        </w:rPr>
        <w:t xml:space="preserve">  [CSA</w:t>
        <w:noBreakHyphen/>
        <w:t>REP</w:t>
        <w:noBreakHyphen/>
        <w:t>012]</w:t>
      </w:r>
    </w:p>
    <w:p>
      <w:pPr>
        <w:pStyle w:val="Heading2"/>
        <w:rPr/>
      </w:pPr>
      <w:bookmarkStart w:id="30" w:name="__RefHeading___Toc9404_2977050583"/>
      <w:bookmarkStart w:id="31" w:name="CSA_H_2_4"/>
      <w:bookmarkEnd w:id="30"/>
      <w:r>
        <w:rPr/>
        <w:t>Requirements</w:t>
      </w:r>
      <w:bookmarkEnd w:id="31"/>
    </w:p>
    <w:p>
      <w:pPr>
        <w:pStyle w:val="Requirement"/>
        <w:keepLines/>
        <w:rPr/>
      </w:pPr>
      <w:bookmarkStart w:id="32" w:name="CSA_REP_001"/>
      <w:r>
        <w:rPr>
          <w:b/>
          <w:color w:val="1F4E79"/>
        </w:rPr>
        <w:t>CSA-REP-001</w:t>
      </w:r>
      <w:r>
        <w:rPr/>
        <w:t xml:space="preserve">  Resolved configuration shall distinguish reference width D from retained coefficient count r and actual residual tensor width.</w:t>
      </w:r>
      <w:bookmarkEnd w:id="32"/>
    </w:p>
    <w:p>
      <w:pPr>
        <w:pStyle w:val="Requirement"/>
        <w:keepLines/>
        <w:rPr/>
      </w:pPr>
      <w:bookmarkStart w:id="33" w:name="CSA_REP_002"/>
      <w:r>
        <w:rPr>
          <w:b/>
          <w:color w:val="1F4E79"/>
        </w:rPr>
        <w:t>CSA-REP-002</w:t>
      </w:r>
      <w:r>
        <w:rPr/>
        <w:t xml:space="preserve">  Coefficient indices shall denote feature-basis modes without mixing token positions or layer indices.</w:t>
      </w:r>
      <w:bookmarkEnd w:id="33"/>
    </w:p>
    <w:p>
      <w:pPr>
        <w:pStyle w:val="Requirement"/>
        <w:keepLines/>
        <w:rPr/>
      </w:pPr>
      <w:bookmarkStart w:id="34" w:name="CSA_REP_003"/>
      <w:r>
        <w:rPr>
          <w:b/>
          <w:color w:val="1F4E79"/>
        </w:rPr>
        <w:t>CSA-REP-003</w:t>
      </w:r>
      <w:r>
        <w:rPr/>
        <w:t xml:space="preserve">  Shape and memory reports shall record L, P when selected, A, F, N, V, and T with the meanings in Section 2.1.</w:t>
      </w:r>
      <w:bookmarkEnd w:id="34"/>
    </w:p>
    <w:p>
      <w:pPr>
        <w:pStyle w:val="Requirement"/>
        <w:keepLines/>
        <w:rPr/>
      </w:pPr>
      <w:bookmarkStart w:id="35" w:name="CSA_REP_004"/>
      <w:r>
        <w:rPr>
          <w:b/>
          <w:color w:val="1F4E79"/>
        </w:rPr>
        <w:t>CSA-REP-004</w:t>
      </w:r>
      <w:r>
        <w:rPr/>
        <w:t xml:space="preserve">  The width representation shall use a fixed analysis matrix C of shape r × D and coefficient vectors of length r.</w:t>
      </w:r>
      <w:bookmarkEnd w:id="35"/>
    </w:p>
    <w:p>
      <w:pPr>
        <w:pStyle w:val="Requirement"/>
        <w:keepLines/>
        <w:rPr/>
      </w:pPr>
      <w:bookmarkStart w:id="36" w:name="CSA_REP_005"/>
      <w:r>
        <w:rPr>
          <w:b/>
          <w:color w:val="1F4E79"/>
        </w:rPr>
        <w:t>CSA-REP-005</w:t>
      </w:r>
      <w:r>
        <w:rPr/>
        <w:t xml:space="preserve">  Operator descriptions and exported shape metadata shall specify their matrix orientation.</w:t>
      </w:r>
      <w:bookmarkEnd w:id="36"/>
    </w:p>
    <w:p>
      <w:pPr>
        <w:pStyle w:val="Requirement"/>
        <w:keepLines/>
        <w:rPr/>
      </w:pPr>
      <w:bookmarkStart w:id="37" w:name="CSA_REP_006"/>
      <w:r>
        <w:rPr>
          <w:b/>
          <w:color w:val="1F4E79"/>
        </w:rPr>
        <w:t>CSA-REP-006</w:t>
      </w:r>
      <w:r>
        <w:rPr/>
        <w:t xml:space="preserve">  The Chebyshev example shall use the registered coordinate policy and first-kind polynomial recurrence for the requested D and r.</w:t>
      </w:r>
      <w:bookmarkEnd w:id="37"/>
    </w:p>
    <w:p>
      <w:pPr>
        <w:pStyle w:val="Requirement"/>
        <w:keepLines/>
        <w:rPr/>
      </w:pPr>
      <w:bookmarkStart w:id="38" w:name="CSA_REP_007"/>
      <w:r>
        <w:rPr>
          <w:b/>
          <w:color w:val="1F4E79"/>
        </w:rPr>
        <w:t>CSA-REP-007</w:t>
      </w:r>
      <w:r>
        <w:rPr/>
        <w:t xml:space="preserve">  Chebyshev construction shall use the registered deterministic QR policy and identify stored coordinates as orthonormalized Chebyshev-derived coefficients.</w:t>
      </w:r>
      <w:bookmarkEnd w:id="38"/>
    </w:p>
    <w:p>
      <w:pPr>
        <w:pStyle w:val="Requirement"/>
        <w:keepLines/>
        <w:rPr/>
      </w:pPr>
      <w:bookmarkStart w:id="39" w:name="CSA_REP_008"/>
      <w:r>
        <w:rPr>
          <w:b/>
          <w:color w:val="1F4E79"/>
        </w:rPr>
        <w:t>CSA-REP-008</w:t>
      </w:r>
      <w:r>
        <w:rPr/>
        <w:t xml:space="preserve">  For the Chebyshev constant-mode path, mode zero shall equal the positive constant 1/√D, and WIDTH.order shall mean coefficient count.</w:t>
      </w:r>
      <w:bookmarkEnd w:id="39"/>
    </w:p>
    <w:p>
      <w:pPr>
        <w:pStyle w:val="Requirement"/>
        <w:keepLines/>
        <w:rPr/>
      </w:pPr>
      <w:bookmarkStart w:id="40" w:name="CSA_REP_009"/>
      <w:r>
        <w:rPr>
          <w:b/>
          <w:color w:val="1F4E79"/>
        </w:rPr>
        <w:t>CSA-REP-009</w:t>
      </w:r>
      <w:r>
        <w:rPr/>
        <w:t xml:space="preserve">  Basis construction shall validate numerical rank and stabilization accuracy, record conditioning, and reject numerically unresolved requests before model allocation.</w:t>
      </w:r>
      <w:bookmarkEnd w:id="40"/>
    </w:p>
    <w:p>
      <w:pPr>
        <w:pStyle w:val="Requirement"/>
        <w:keepLines/>
        <w:rPr/>
      </w:pPr>
      <w:bookmarkStart w:id="41" w:name="CSA_REP_010"/>
      <w:r>
        <w:rPr>
          <w:b/>
          <w:color w:val="1F4E79"/>
        </w:rPr>
        <w:t>CSA-REP-010</w:t>
      </w:r>
      <w:r>
        <w:rPr/>
        <w:t xml:space="preserve">  Documentation and diagnostics shall distinguish analysis Cx, synthesis Cᵀc, and the lossy projection CᵀCx when r &lt; D.</w:t>
      </w:r>
      <w:bookmarkEnd w:id="41"/>
    </w:p>
    <w:p>
      <w:pPr>
        <w:pStyle w:val="Requirement"/>
        <w:keepLines/>
        <w:rPr/>
      </w:pPr>
      <w:bookmarkStart w:id="42" w:name="CSA_REP_011"/>
      <w:r>
        <w:rPr>
          <w:b/>
          <w:color w:val="1F4E79"/>
        </w:rPr>
        <w:t>CSA-REP-011</w:t>
      </w:r>
      <w:r>
        <w:rPr/>
        <w:t xml:space="preserve">  Normal training shall not require a full-width learned input vector as the source of each coefficient embedding.</w:t>
      </w:r>
      <w:bookmarkEnd w:id="42"/>
    </w:p>
    <w:p>
      <w:pPr>
        <w:pStyle w:val="Requirement"/>
        <w:keepLines/>
        <w:rPr/>
      </w:pPr>
      <w:bookmarkStart w:id="43" w:name="CSA_REP_012"/>
      <w:r>
        <w:rPr>
          <w:b/>
          <w:color w:val="1F4E79"/>
        </w:rPr>
        <w:t>CSA-REP-012</w:t>
      </w:r>
      <w:r>
        <w:rPr/>
        <w:t xml:space="preserve">  Documentation shall identify C and its constrained operators as the spectral machinery and shall describe their linearity in activation values.</w:t>
      </w:r>
      <w:bookmarkEnd w:id="43"/>
    </w:p>
    <w:p>
      <w:pPr>
        <w:pStyle w:val="Requirement"/>
        <w:keepLines/>
        <w:rPr/>
      </w:pPr>
      <w:bookmarkStart w:id="44" w:name="CSA_REP_013"/>
      <w:r>
        <w:rPr>
          <w:b/>
          <w:color w:val="1F4E79"/>
        </w:rPr>
        <w:t>CSA-REP-013</w:t>
      </w:r>
      <w:r>
        <w:rPr/>
        <w:t xml:space="preserve">  Construction diagnostics shall use a declared float64 rank tolerance and distinguish conditioning limits of the existing Chebyshev grid from model-training performance.</w:t>
      </w:r>
      <w:bookmarkEnd w:id="44"/>
    </w:p>
    <w:p>
      <w:pPr>
        <w:pStyle w:val="Heading1"/>
        <w:rPr/>
      </w:pPr>
      <w:bookmarkStart w:id="45" w:name="__RefHeading___Toc9406_2977050583"/>
      <w:bookmarkEnd w:id="45"/>
      <w:r>
        <w:rPr/>
        <w:t>T</w:t>
      </w:r>
      <w:bookmarkStart w:id="46" w:name="CSA_H_3"/>
      <w:r>
        <w:rPr/>
        <w:t xml:space="preserve">he Spectral </w:t>
      </w:r>
      <w:r>
        <w:rPr/>
        <w:t xml:space="preserve">Reparameterisation </w:t>
      </w:r>
      <w:r>
        <w:rPr/>
        <w:t>Affordance</w:t>
      </w:r>
      <w:bookmarkEnd w:id="46"/>
    </w:p>
    <w:p>
      <w:pPr>
        <w:pStyle w:val="Heading2"/>
        <w:rPr/>
      </w:pPr>
      <w:bookmarkStart w:id="47" w:name="__RefHeading___Toc9408_2977050583"/>
      <w:bookmarkStart w:id="48" w:name="CSA_H_3_1"/>
      <w:bookmarkEnd w:id="47"/>
      <w:r>
        <w:rPr/>
        <w:t xml:space="preserve">Learning the </w:t>
      </w:r>
      <w:r>
        <w:rPr/>
        <w:t>R</w:t>
      </w:r>
      <w:r>
        <w:rPr/>
        <w:t xml:space="preserve">epresented </w:t>
      </w:r>
      <w:r>
        <w:rPr/>
        <w:t>I</w:t>
      </w:r>
      <w:r>
        <w:rPr/>
        <w:t>nput directly</w:t>
      </w:r>
      <w:bookmarkEnd w:id="48"/>
    </w:p>
    <w:p>
      <w:pPr>
        <w:pStyle w:val="Normal"/>
        <w:widowControl/>
        <w:rPr/>
      </w:pPr>
      <w:r>
        <w:rPr/>
        <w:t>The token table contains V rows of r trainable coefficients. A token lookup selects a row; the training loss updates that row in the ordinary way. The model does not need to be told by an additional input projection that these numbers are coefficients: t</w:t>
      </w:r>
      <w:r>
        <w:rPr/>
        <w:t xml:space="preserve">hat </w:t>
      </w:r>
      <w:r>
        <w:rPr/>
        <w:t xml:space="preserve">interpretation is </w:t>
      </w:r>
      <w:r>
        <w:rPr/>
        <w:t xml:space="preserve">coerced </w:t>
      </w:r>
      <w:r>
        <w:rPr/>
        <w:t xml:space="preserve">by the downstream </w:t>
      </w:r>
      <w:r>
        <w:rPr/>
        <w:t xml:space="preserve">LayerNorm </w:t>
      </w:r>
      <w:r>
        <w:rPr/>
        <w:t xml:space="preserve">operations, </w:t>
      </w:r>
      <w:r>
        <w:rPr/>
        <w:t xml:space="preserve">which </w:t>
      </w:r>
      <w:r>
        <w:rPr/>
        <w:t>use C. For learned positional embeddings, the position table also contains coefficient rows, so addition of token and position embeddings happens in the same coordinates.</w:t>
      </w:r>
      <w:r>
        <w:rPr>
          <w:color w:val="5E6B78"/>
          <w:sz w:val="17"/>
        </w:rPr>
        <w:t xml:space="preserve">  [CSA</w:t>
        <w:noBreakHyphen/>
        <w:t>LRN</w:t>
        <w:noBreakHyphen/>
        <w:t>001, CSA</w:t>
        <w:noBreakHyphen/>
        <w:t>LRN</w:t>
        <w:noBreakHyphen/>
        <w:t>002]</w:t>
      </w:r>
    </w:p>
    <w:p>
      <w:pPr>
        <w:pStyle w:val="Normal"/>
        <w:widowControl/>
        <w:rPr/>
      </w:pPr>
      <w:r>
        <w:rPr/>
        <w:t>The objective remains next-token cross-entropy over the vocabulary. Optimization jointly adjusts token coefficients, positional coefficients, compact weight operators, normalization parameters, and any selected depth coefficient banks. Those learned quantities can adapt to both width and depth constraints because the forward computation and its gradients contain both constraints. This establishes a trainable constrained model; it does not guarantee that its best achievable loss equals the uncompressed model’s.</w:t>
      </w:r>
      <w:r>
        <w:rPr>
          <w:color w:val="5E6B78"/>
          <w:sz w:val="17"/>
        </w:rPr>
        <w:t xml:space="preserve">  [CSA</w:t>
        <w:noBreakHyphen/>
        <w:t>LRN</w:t>
        <w:noBreakHyphen/>
        <w:t>003, CSA</w:t>
        <w:noBreakHyphen/>
        <w:t>LRN</w:t>
        <w:noBreakHyphen/>
        <w:t>004]</w:t>
      </w:r>
    </w:p>
    <w:p>
      <w:pPr>
        <w:pStyle w:val="Heading2"/>
        <w:rPr/>
      </w:pPr>
      <w:bookmarkStart w:id="49" w:name="__RefHeading___Toc9410_2977050583"/>
      <w:bookmarkStart w:id="50" w:name="CSA_H_3_2"/>
      <w:bookmarkEnd w:id="49"/>
      <w:r>
        <w:rPr/>
        <w:t xml:space="preserve">What </w:t>
      </w:r>
      <w:r>
        <w:rPr/>
        <w:t>B</w:t>
      </w:r>
      <w:r>
        <w:rPr/>
        <w:t xml:space="preserve">ackpropagation </w:t>
      </w:r>
      <w:r>
        <w:rPr/>
        <w:t>S</w:t>
      </w:r>
      <w:r>
        <w:rPr/>
        <w:t>upplies</w:t>
      </w:r>
      <w:bookmarkEnd w:id="50"/>
    </w:p>
    <w:p>
      <w:pPr>
        <w:pStyle w:val="Normal"/>
        <w:widowControl/>
        <w:rPr/>
      </w:pPr>
      <w:r>
        <w:rPr/>
        <w:t>Training directly in coefficients has no separate input-analysis stage to learn. Backpropagation optimizes coefficient values; it does not secretly execute analysis of an unobserved full embedding. There is nevertheless a useful mathematical connection: the adjoint of synthesis applies C to a feature-space gradient. This is gradient transport through the representation, not an analysis transform of the input data.</w:t>
      </w:r>
      <w:r>
        <w:rPr>
          <w:color w:val="5E6B78"/>
          <w:sz w:val="17"/>
        </w:rPr>
        <w:t xml:space="preserve">  [CSA</w:t>
        <w:noBreakHyphen/>
        <w:t>LRN</w:t>
        <w:noBreakHyphen/>
        <w:t>005]</w:t>
      </w:r>
    </w:p>
    <w:p>
      <w:pPr>
        <w:pStyle w:val="Normal"/>
        <w:keepNext w:val="true"/>
        <w:keepLines/>
        <w:spacing w:before="80" w:after="80"/>
        <w:jc w:val="center"/>
        <w:rPr/>
      </w:pPr>
      <w:r>
        <w:rPr/>
        <w:drawing>
          <wp:inline distT="0" distB="0" distL="0" distR="0">
            <wp:extent cx="2030095" cy="189230"/>
            <wp:effectExtent l="0" t="0" r="0" b="0"/>
            <wp:docPr id="5" name="Picture 5" descr="x=C^{\mathsf{T}}c\quad\Longrightarrow\quad \nabla_c\ell=C\nabla_x\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x=C^{\mathsf{T}}c\quad\Longrightarrow\quad \nabla_c\ell=C\nabla_x\ell"/>
                    <pic:cNvPicPr>
                      <a:picLocks noChangeAspect="1" noChangeArrowheads="1"/>
                    </pic:cNvPicPr>
                  </pic:nvPicPr>
                  <pic:blipFill>
                    <a:blip r:embed="rId6"/>
                    <a:stretch>
                      <a:fillRect/>
                    </a:stretch>
                  </pic:blipFill>
                  <pic:spPr bwMode="auto">
                    <a:xfrm>
                      <a:off x="0" y="0"/>
                      <a:ext cx="2030095" cy="189230"/>
                    </a:xfrm>
                    <a:prstGeom prst="rect">
                      <a:avLst/>
                    </a:prstGeom>
                  </pic:spPr>
                </pic:pic>
              </a:graphicData>
            </a:graphic>
          </wp:inline>
        </w:drawing>
      </w:r>
    </w:p>
    <w:p>
      <w:pPr>
        <w:pStyle w:val="SpecReference"/>
        <w:jc w:val="right"/>
        <w:rPr/>
      </w:pPr>
      <w:r>
        <w:rPr/>
        <w:t>[CSA</w:t>
        <w:noBreakHyphen/>
        <w:t>LRN</w:t>
        <w:noBreakHyphen/>
        <w:t>005]</w:t>
      </w:r>
    </w:p>
    <w:p>
      <w:pPr>
        <w:pStyle w:val="Normal"/>
        <w:widowControl/>
        <w:rPr/>
      </w:pPr>
      <w:r>
        <w:rPr/>
        <w:t>For the projected LayerNorm, both Cᵀ before normalization and C after normalization are explicit in the defining mathematics. Their composition is explicit in the folded G and projected bias used by the implementation. Accordingly, “only synthesis is explicit” accurately describes directly learned coefficients followed by evaluation, but is not a literal description of the complete width-normalization operation. The apparent missing half of the machinery is resolved by direct parameterization at input and operator composition inside normalization.</w:t>
      </w:r>
      <w:r>
        <w:rPr>
          <w:color w:val="5E6B78"/>
          <w:sz w:val="17"/>
        </w:rPr>
        <w:t xml:space="preserve">  [CSA</w:t>
        <w:noBreakHyphen/>
        <w:t>LRN</w:t>
        <w:noBreakHyphen/>
        <w:t>006]</w:t>
      </w:r>
    </w:p>
    <w:p>
      <w:pPr>
        <w:pStyle w:val="Heading2"/>
        <w:rPr/>
      </w:pPr>
      <w:bookmarkStart w:id="51" w:name="__RefHeading___Toc9412_2977050583"/>
      <w:bookmarkStart w:id="52" w:name="CSA_H_3_3"/>
      <w:bookmarkEnd w:id="51"/>
      <w:r>
        <w:rPr/>
        <w:t xml:space="preserve">Relationship to THOG </w:t>
      </w:r>
      <w:r>
        <w:rPr/>
        <w:t>D</w:t>
      </w:r>
      <w:r>
        <w:rPr/>
        <w:t xml:space="preserve">epth </w:t>
      </w:r>
      <w:r>
        <w:rPr/>
        <w:t>C</w:t>
      </w:r>
      <w:r>
        <w:rPr/>
        <w:t>ompression</w:t>
      </w:r>
      <w:bookmarkEnd w:id="52"/>
    </w:p>
    <w:p>
      <w:pPr>
        <w:pStyle w:val="Normal"/>
        <w:widowControl/>
        <w:rPr/>
      </w:pPr>
      <w:r>
        <w:rPr/>
        <w:t>THOG learns coefficient matrices across depth and evaluates their fixed basis at each layer coordinate. There is no need to analyse a separate trainable collection of materialized layer matrices when training those coefficients from scratch. Loss gradients accumulate into the coefficient matrices through the basis evaluations. Width embeddings follow the same learning principle, although width LayerNorm additionally includes a projection after feature-space normalization. In the formula below, Θ</w:t>
      </w:r>
      <w:r>
        <w:rPr>
          <w:rFonts w:eastAsia="DejaVu Sans" w:cs="DejaVu Sans" w:ascii="DejaVu Sans" w:hAnsi="DejaVu Sans"/>
        </w:rPr>
        <w:t>ₚ</w:t>
      </w:r>
      <w:r>
        <w:rPr/>
        <w:t xml:space="preserve"> is a learned coefficient matrix, d</w:t>
      </w:r>
      <w:r>
        <w:rPr>
          <w:rFonts w:eastAsia="DejaVu Sans" w:cs="DejaVu Sans" w:ascii="DejaVu Sans" w:hAnsi="DejaVu Sans"/>
        </w:rPr>
        <w:t>ₗ</w:t>
      </w:r>
      <w:r>
        <w:rPr/>
        <w:t xml:space="preserve"> is a layer coordinate, and a</w:t>
      </w:r>
      <w:r>
        <w:rPr>
          <w:rFonts w:eastAsia="DejaVu Sans" w:cs="DejaVu Sans" w:ascii="DejaVu Sans" w:hAnsi="DejaVu Sans"/>
        </w:rPr>
        <w:t>ₚ</w:t>
      </w:r>
      <w:r>
        <w:rPr/>
        <w:t>(d</w:t>
      </w:r>
      <w:r>
        <w:rPr>
          <w:rFonts w:eastAsia="DejaVu Sans" w:cs="DejaVu Sans" w:ascii="DejaVu Sans" w:hAnsi="DejaVu Sans"/>
        </w:rPr>
        <w:t>ₗ</w:t>
      </w:r>
      <w:r>
        <w:rPr/>
        <w:t>) is the fixed basis value there.</w:t>
      </w:r>
      <w:r>
        <w:rPr>
          <w:color w:val="5E6B78"/>
          <w:sz w:val="17"/>
        </w:rPr>
        <w:t xml:space="preserve">  [CSA</w:t>
        <w:noBreakHyphen/>
        <w:t>LRN</w:t>
        <w:noBreakHyphen/>
        <w:t>007]</w:t>
      </w:r>
    </w:p>
    <w:p>
      <w:pPr>
        <w:pStyle w:val="Normal"/>
        <w:keepNext w:val="true"/>
        <w:keepLines/>
        <w:spacing w:before="80" w:after="80"/>
        <w:jc w:val="center"/>
        <w:rPr/>
      </w:pPr>
      <w:r>
        <w:rPr/>
        <w:drawing>
          <wp:inline distT="0" distB="0" distL="0" distR="0">
            <wp:extent cx="1356360" cy="481965"/>
            <wp:effectExtent l="0" t="0" r="0" b="0"/>
            <wp:docPr id="6" name="Picture 6" descr="W_l=\sum_{p=0}^{P-1} a_p(d_l)\Theta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_l=\sum_{p=0}^{P-1} a_p(d_l)\Theta_p"/>
                    <pic:cNvPicPr>
                      <a:picLocks noChangeAspect="1" noChangeArrowheads="1"/>
                    </pic:cNvPicPr>
                  </pic:nvPicPr>
                  <pic:blipFill>
                    <a:blip r:embed="rId7"/>
                    <a:stretch>
                      <a:fillRect/>
                    </a:stretch>
                  </pic:blipFill>
                  <pic:spPr bwMode="auto">
                    <a:xfrm>
                      <a:off x="0" y="0"/>
                      <a:ext cx="1356360" cy="481965"/>
                    </a:xfrm>
                    <a:prstGeom prst="rect">
                      <a:avLst/>
                    </a:prstGeom>
                  </pic:spPr>
                </pic:pic>
              </a:graphicData>
            </a:graphic>
          </wp:inline>
        </w:drawing>
      </w:r>
    </w:p>
    <w:p>
      <w:pPr>
        <w:pStyle w:val="Normal"/>
        <w:keepNext w:val="true"/>
        <w:keepLines/>
        <w:spacing w:before="80" w:after="80"/>
        <w:jc w:val="center"/>
        <w:rPr/>
      </w:pPr>
      <w:r>
        <w:rPr/>
        <w:drawing>
          <wp:inline distT="0" distB="0" distL="0" distR="0">
            <wp:extent cx="1383665" cy="469265"/>
            <wp:effectExtent l="0" t="0" r="0" b="0"/>
            <wp:docPr id="7" name="Picture 7" descr="\frac{\partial\ell}{\partial\Theta_p}=\sum_{l=0}^{L-1}a_p(d_l)\frac{\partial\ell}{\partial W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rac{\partial\ell}{\partial\Theta_p}=\sum_{l=0}^{L-1}a_p(d_l)\frac{\partial\ell}{\partial W_l}"/>
                    <pic:cNvPicPr>
                      <a:picLocks noChangeAspect="1" noChangeArrowheads="1"/>
                    </pic:cNvPicPr>
                  </pic:nvPicPr>
                  <pic:blipFill>
                    <a:blip r:embed="rId8"/>
                    <a:stretch>
                      <a:fillRect/>
                    </a:stretch>
                  </pic:blipFill>
                  <pic:spPr bwMode="auto">
                    <a:xfrm>
                      <a:off x="0" y="0"/>
                      <a:ext cx="1383665" cy="469265"/>
                    </a:xfrm>
                    <a:prstGeom prst="rect">
                      <a:avLst/>
                    </a:prstGeom>
                  </pic:spPr>
                </pic:pic>
              </a:graphicData>
            </a:graphic>
          </wp:inline>
        </w:drawing>
      </w:r>
    </w:p>
    <w:p>
      <w:pPr>
        <w:pStyle w:val="SpecReference"/>
        <w:jc w:val="right"/>
        <w:rPr/>
      </w:pPr>
      <w:r>
        <w:rPr/>
        <w:t>[CSA</w:t>
        <w:noBreakHyphen/>
        <w:t>LRN</w:t>
        <w:noBreakHyphen/>
        <w:t>007]</w:t>
      </w:r>
    </w:p>
    <w:p>
      <w:pPr>
        <w:pStyle w:val="Normal"/>
        <w:widowControl/>
        <w:rPr/>
      </w:pPr>
      <w:r>
        <w:rPr/>
        <w:t>Evaluating a depth-defined matrix and applying it directly by a sum of coefficient-matrix contractions are algebraically equivalent. Avoiding the intermediate layer matrix changes storage and execution, not what the coefficient bank means. The shared principle is learned coordinates with a fixed synthesis rule; width and depth need not use the same basis family.</w:t>
      </w:r>
      <w:r>
        <w:rPr>
          <w:color w:val="5E6B78"/>
          <w:sz w:val="17"/>
        </w:rPr>
        <w:t xml:space="preserve">  [CSA</w:t>
        <w:noBreakHyphen/>
        <w:t>LRN</w:t>
        <w:noBreakHyphen/>
        <w:t>008]</w:t>
      </w:r>
    </w:p>
    <w:p>
      <w:pPr>
        <w:pStyle w:val="Heading2"/>
        <w:rPr/>
      </w:pPr>
      <w:bookmarkStart w:id="53" w:name="__RefHeading___Toc9414_2977050583"/>
      <w:bookmarkStart w:id="54" w:name="CSA_H_3_4"/>
      <w:bookmarkEnd w:id="53"/>
      <w:r>
        <w:rPr/>
        <w:t xml:space="preserve">What </w:t>
      </w:r>
      <w:r>
        <w:rPr/>
        <w:t>M</w:t>
      </w:r>
      <w:r>
        <w:rPr/>
        <w:t xml:space="preserve">akes this </w:t>
      </w:r>
      <w:r>
        <w:rPr/>
        <w:t>M</w:t>
      </w:r>
      <w:r>
        <w:rPr/>
        <w:t xml:space="preserve">ore than a </w:t>
      </w:r>
      <w:r>
        <w:rPr/>
        <w:t>S</w:t>
      </w:r>
      <w:r>
        <w:rPr/>
        <w:t xml:space="preserve">mall </w:t>
      </w:r>
      <w:r>
        <w:rPr/>
        <w:t>E</w:t>
      </w:r>
      <w:r>
        <w:rPr/>
        <w:t xml:space="preserve">mbedding </w:t>
      </w:r>
      <w:r>
        <w:rPr/>
        <w:t>W</w:t>
      </w:r>
      <w:r>
        <w:rPr/>
        <w:t>idth</w:t>
      </w:r>
      <w:bookmarkEnd w:id="54"/>
    </w:p>
    <w:p>
      <w:pPr>
        <w:pStyle w:val="Normal"/>
        <w:widowControl/>
        <w:rPr/>
      </w:pPr>
      <w:r>
        <w:rPr/>
        <w:t xml:space="preserve">An unconstrained fixed linear map can be absorbed into freely learned linear weights. The retained basis alone therefore does not prove a special Chebyshev benefit. Here the projected LayerNorm preserves reference-space normalization and constrains its coefficient-space affine operator to G = C diag(γ) Cᵀ, with γ learned as a D-vector. G is not an arbitrary trainable r × r matrix. </w:t>
      </w:r>
      <w:r>
        <w:rPr>
          <w:i/>
          <w:iCs/>
        </w:rPr>
        <w:t xml:space="preserve">This restriction, the reference-space mean and variance, and any basis-dependent diagnostic give C an operational role </w:t>
      </w:r>
      <w:r>
        <w:rPr>
          <w:i/>
          <w:iCs/>
        </w:rPr>
        <w:t>and constitutes the reparameterisation affordance provided by the enhancement</w:t>
      </w:r>
      <w:r>
        <w:rPr>
          <w:i/>
          <w:iCs/>
        </w:rPr>
        <w:t>.</w:t>
      </w:r>
      <w:r>
        <w:rPr>
          <w:color w:val="5E6B78"/>
          <w:sz w:val="17"/>
        </w:rPr>
        <w:t xml:space="preserve">  [CSA</w:t>
        <w:noBreakHyphen/>
        <w:t>LRN</w:t>
        <w:noBreakHyphen/>
        <w:t>009]</w:t>
      </w:r>
    </w:p>
    <w:p>
      <w:pPr>
        <w:pStyle w:val="Normal"/>
        <w:widowControl/>
        <w:rPr/>
      </w:pPr>
      <w:r>
        <w:rPr/>
        <w:t>When γ is uniform, G is a scalar multiple of the identity; the gain-mixing part then has no family-specific coupling. Learning nonuniform γ can introduce such coupling. The implementation should expose its strength so that a basis advantage is not assumed merely because the configuration names Chebyshev. The intended benefit is smaller stored representations, and empirical comparisons determine whether the resulting quality and execution cost are useful.</w:t>
      </w:r>
      <w:r>
        <w:rPr>
          <w:color w:val="5E6B78"/>
          <w:sz w:val="17"/>
        </w:rPr>
        <w:t xml:space="preserve">  [CSA</w:t>
        <w:noBreakHyphen/>
        <w:t>LRN</w:t>
        <w:noBreakHyphen/>
        <w:t>010]</w:t>
      </w:r>
    </w:p>
    <w:p>
      <w:pPr>
        <w:pStyle w:val="Heading2"/>
        <w:rPr/>
      </w:pPr>
      <w:bookmarkStart w:id="55" w:name="__RefHeading___Toc9416_2977050583"/>
      <w:bookmarkStart w:id="56" w:name="CSA_H_3_5"/>
      <w:bookmarkEnd w:id="55"/>
      <w:r>
        <w:rPr/>
        <w:t>Requirements</w:t>
      </w:r>
      <w:bookmarkEnd w:id="56"/>
    </w:p>
    <w:p>
      <w:pPr>
        <w:pStyle w:val="Requirement"/>
        <w:keepLines/>
        <w:rPr/>
      </w:pPr>
      <w:bookmarkStart w:id="57" w:name="CSA_LRN_001"/>
      <w:r>
        <w:rPr>
          <w:b/>
          <w:color w:val="1F4E79"/>
        </w:rPr>
        <w:t>CSA-LRN-001</w:t>
      </w:r>
      <w:r>
        <w:rPr/>
        <w:t xml:space="preserve">  Token coefficient rows shall be trainable parameters whose meaning is assigned by the fixed width basis and downstream operators.</w:t>
      </w:r>
      <w:bookmarkEnd w:id="57"/>
    </w:p>
    <w:p>
      <w:pPr>
        <w:pStyle w:val="Requirement"/>
        <w:keepLines/>
        <w:rPr/>
      </w:pPr>
      <w:bookmarkStart w:id="58" w:name="CSA_LRN_002"/>
      <w:r>
        <w:rPr>
          <w:b/>
          <w:color w:val="1F4E79"/>
        </w:rPr>
        <w:t>CSA-LRN-002</w:t>
      </w:r>
      <w:r>
        <w:rPr/>
        <w:t xml:space="preserve">  Learned positional embeddings shall be parameterized and added in the same coefficient coordinates as token embeddings.</w:t>
      </w:r>
      <w:bookmarkEnd w:id="58"/>
    </w:p>
    <w:p>
      <w:pPr>
        <w:pStyle w:val="Requirement"/>
        <w:keepLines/>
        <w:rPr/>
      </w:pPr>
      <w:bookmarkStart w:id="59" w:name="CSA_LRN_003"/>
      <w:r>
        <w:rPr>
          <w:b/>
          <w:color w:val="1F4E79"/>
        </w:rPr>
        <w:t>CSA-LRN-003</w:t>
      </w:r>
      <w:r>
        <w:rPr/>
        <w:t xml:space="preserve">  Training shall retain the next-token vocabulary cross-entropy objective and propagate its gradients through all selected width and depth parameters.</w:t>
      </w:r>
      <w:bookmarkEnd w:id="59"/>
    </w:p>
    <w:p>
      <w:pPr>
        <w:pStyle w:val="Requirement"/>
        <w:keepLines/>
        <w:rPr/>
      </w:pPr>
      <w:bookmarkStart w:id="60" w:name="CSA_LRN_004"/>
      <w:r>
        <w:rPr>
          <w:b/>
          <w:color w:val="1F4E79"/>
        </w:rPr>
        <w:t>CSA-LRN-004</w:t>
      </w:r>
      <w:r>
        <w:rPr/>
        <w:t xml:space="preserve">  Quality claims shall recognize that retained-width and depth constraints can change the best achievable loss.</w:t>
      </w:r>
      <w:bookmarkEnd w:id="60"/>
    </w:p>
    <w:p>
      <w:pPr>
        <w:pStyle w:val="Requirement"/>
        <w:keepLines/>
        <w:rPr/>
      </w:pPr>
      <w:bookmarkStart w:id="61" w:name="CSA_LRN_005"/>
      <w:r>
        <w:rPr>
          <w:b/>
          <w:color w:val="1F4E79"/>
        </w:rPr>
        <w:t>CSA-LRN-005</w:t>
      </w:r>
      <w:r>
        <w:rPr/>
        <w:t xml:space="preserve">  The learning explanation shall distinguish coefficient optimization from input analysis and identify the adjoint C used in synthesis-gradient transport.</w:t>
      </w:r>
      <w:bookmarkEnd w:id="61"/>
    </w:p>
    <w:p>
      <w:pPr>
        <w:pStyle w:val="Requirement"/>
        <w:keepLines/>
        <w:rPr/>
      </w:pPr>
      <w:bookmarkStart w:id="62" w:name="CSA_LRN_006"/>
      <w:r>
        <w:rPr>
          <w:b/>
          <w:color w:val="1F4E79"/>
        </w:rPr>
        <w:t>CSA-LRN-006</w:t>
      </w:r>
      <w:r>
        <w:rPr/>
        <w:t xml:space="preserve">  The width-normalization explanation shall identify both mathematical analysis and synthesis and their folded implementation, without claiming that analysis is supplied by loss alone.</w:t>
      </w:r>
      <w:bookmarkEnd w:id="62"/>
    </w:p>
    <w:p>
      <w:pPr>
        <w:pStyle w:val="Requirement"/>
        <w:keepLines/>
        <w:rPr/>
      </w:pPr>
      <w:bookmarkStart w:id="63" w:name="CSA_LRN_007"/>
      <w:r>
        <w:rPr>
          <w:b/>
          <w:color w:val="1F4E79"/>
        </w:rPr>
        <w:t>CSA-LRN-007</w:t>
      </w:r>
      <w:r>
        <w:rPr/>
        <w:t xml:space="preserve">  The depth analogy shall describe learned coefficient matrices, fixed basis evaluation, and gradient accumulation without requiring a separate full-weight analysis stage.</w:t>
      </w:r>
      <w:bookmarkEnd w:id="63"/>
    </w:p>
    <w:p>
      <w:pPr>
        <w:pStyle w:val="Requirement"/>
        <w:keepLines/>
        <w:rPr/>
      </w:pPr>
      <w:bookmarkStart w:id="64" w:name="CSA_LRN_008"/>
      <w:r>
        <w:rPr>
          <w:b/>
          <w:color w:val="1F4E79"/>
        </w:rPr>
        <w:t>CSA-LRN-008</w:t>
      </w:r>
      <w:r>
        <w:rPr/>
        <w:t xml:space="preserve">  Joint width and depth execution shall allow independently selected basis families and preserve the meaning of direct depth contractions.</w:t>
      </w:r>
      <w:bookmarkEnd w:id="64"/>
    </w:p>
    <w:p>
      <w:pPr>
        <w:pStyle w:val="Requirement"/>
        <w:keepLines/>
        <w:rPr/>
      </w:pPr>
      <w:bookmarkStart w:id="65" w:name="CSA_LRN_009"/>
      <w:r>
        <w:rPr>
          <w:b/>
          <w:color w:val="1F4E79"/>
        </w:rPr>
        <w:t>CSA-LRN-009</w:t>
      </w:r>
      <w:r>
        <w:rPr/>
        <w:t xml:space="preserve">  Projected LayerNorm shall derive G from C and a learned D-vector γ rather than learn a free r × r affine matrix.</w:t>
      </w:r>
      <w:bookmarkEnd w:id="65"/>
    </w:p>
    <w:p>
      <w:pPr>
        <w:pStyle w:val="Requirement"/>
        <w:keepLines/>
        <w:rPr/>
      </w:pPr>
      <w:bookmarkStart w:id="66" w:name="CSA_LRN_010"/>
      <w:r>
        <w:rPr>
          <w:b/>
          <w:color w:val="1F4E79"/>
        </w:rPr>
        <w:t>CSA-LRN-010</w:t>
      </w:r>
      <w:r>
        <w:rPr/>
        <w:t xml:space="preserve">  Instrumentation shall report the strength of nonuniform normalization gain and resulting basis coupling without treating a named basis as evidence of quality advantage.</w:t>
      </w:r>
      <w:bookmarkEnd w:id="66"/>
    </w:p>
    <w:p>
      <w:pPr>
        <w:pStyle w:val="Heading1"/>
        <w:rPr/>
      </w:pPr>
      <w:bookmarkStart w:id="67" w:name="__RefHeading___Toc9418_2977050583"/>
      <w:bookmarkStart w:id="68" w:name="CSA_H_4"/>
      <w:bookmarkEnd w:id="67"/>
      <w:r>
        <w:rPr/>
        <w:t>LayerNorm Mechanics and Placement</w:t>
      </w:r>
      <w:bookmarkEnd w:id="68"/>
    </w:p>
    <w:p>
      <w:pPr>
        <w:pStyle w:val="Heading2"/>
        <w:rPr/>
      </w:pPr>
      <w:bookmarkStart w:id="69" w:name="__RefHeading___Toc9420_2977050583"/>
      <w:bookmarkEnd w:id="69"/>
      <w:r>
        <w:rPr/>
        <w:t xml:space="preserve">Standard </w:t>
      </w:r>
      <w:bookmarkStart w:id="70" w:name="CSA_H_4_1"/>
      <w:r>
        <w:rPr/>
        <w:t>LayerNorm</w:t>
      </w:r>
      <w:bookmarkEnd w:id="70"/>
    </w:p>
    <w:p>
      <w:pPr>
        <w:pStyle w:val="Normal"/>
        <w:widowControl/>
        <w:rPr/>
      </w:pPr>
      <w:r>
        <w:rPr/>
        <w:t>Standard</w:t>
      </w:r>
      <w:r>
        <w:rPr/>
        <w:t xml:space="preserve"> LayerNorm computes the mean and population variance across the D features of each token independently. It then applies a feature-wise gain γ and, when enabled, bias β. The epsilon is the existing LayerNorm epsilon, currently 10</w:t>
      </w:r>
      <w:r>
        <w:rPr>
          <w:rFonts w:eastAsia="DejaVu Sans" w:cs="DejaVu Sans" w:ascii="DejaVu Sans" w:hAnsi="DejaVu Sans"/>
        </w:rPr>
        <w:t>⁻</w:t>
      </w:r>
      <w:r>
        <w:rPr/>
        <w:t>⁵ in the inspected THOG GPT path. Mean and variance are neither batch statistics nor statistics across sequence positions.</w:t>
      </w:r>
      <w:r>
        <w:rPr>
          <w:color w:val="5E6B78"/>
          <w:sz w:val="17"/>
        </w:rPr>
        <w:t xml:space="preserve">  [CSA</w:t>
        <w:noBreakHyphen/>
        <w:t>LN</w:t>
        <w:noBreakHyphen/>
        <w:t>001, CSA</w:t>
        <w:noBreakHyphen/>
        <w:t>LN</w:t>
        <w:noBreakHyphen/>
        <w:t>002]</w:t>
      </w:r>
    </w:p>
    <w:p>
      <w:pPr>
        <w:pStyle w:val="Normal"/>
        <w:keepNext w:val="true"/>
        <w:keepLines/>
        <w:spacing w:before="80" w:after="80"/>
        <w:jc w:val="center"/>
        <w:rPr/>
      </w:pPr>
      <w:r>
        <w:rPr/>
        <w:drawing>
          <wp:inline distT="0" distB="0" distL="0" distR="0">
            <wp:extent cx="2411095" cy="289560"/>
            <wp:effectExtent l="0" t="0" r="0" b="0"/>
            <wp:docPr id="8" name="Picture 8" descr="\mu(x)=\frac{\mathbf{1}^{\mathsf{T}}x}{D},\qquad v(x)=\frac{\lVert x-\mu(x)\mathbf{1}\rVer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u(x)=\frac{\mathbf{1}^{\mathsf{T}}x}{D},\qquad v(x)=\frac{\lVert x-\mu(x)\mathbf{1}\rVert^2}{D}"/>
                    <pic:cNvPicPr>
                      <a:picLocks noChangeAspect="1" noChangeArrowheads="1"/>
                    </pic:cNvPicPr>
                  </pic:nvPicPr>
                  <pic:blipFill>
                    <a:blip r:embed="rId9"/>
                    <a:stretch>
                      <a:fillRect/>
                    </a:stretch>
                  </pic:blipFill>
                  <pic:spPr bwMode="auto">
                    <a:xfrm>
                      <a:off x="0" y="0"/>
                      <a:ext cx="2411095" cy="289560"/>
                    </a:xfrm>
                    <a:prstGeom prst="rect">
                      <a:avLst/>
                    </a:prstGeom>
                  </pic:spPr>
                </pic:pic>
              </a:graphicData>
            </a:graphic>
          </wp:inline>
        </w:drawing>
      </w:r>
    </w:p>
    <w:p>
      <w:pPr>
        <w:pStyle w:val="SpecReference"/>
        <w:jc w:val="right"/>
        <w:rPr/>
      </w:pPr>
      <w:r>
        <w:rPr/>
        <w:t>[CSA</w:t>
        <w:noBreakHyphen/>
        <w:t>LN</w:t>
        <w:noBreakHyphen/>
        <w:t>001]</w:t>
      </w:r>
    </w:p>
    <w:p>
      <w:pPr>
        <w:pStyle w:val="Normal"/>
        <w:keepNext w:val="true"/>
        <w:keepLines/>
        <w:spacing w:before="80" w:after="80"/>
        <w:jc w:val="center"/>
        <w:rPr/>
      </w:pPr>
      <w:r>
        <w:rPr/>
        <w:drawing>
          <wp:inline distT="0" distB="0" distL="0" distR="0">
            <wp:extent cx="2194560" cy="316865"/>
            <wp:effectExtent l="0" t="0" r="0" b="0"/>
            <wp:docPr id="9" name="Picture 9" descr="\mathsf{LN}_D(x)=\mathsf{diag}(\gamma)\frac{x-\mu(x)\mathbf{1}}{\sqrt{v(x)+\epsilon}}+\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thsf{LN}_D(x)=\mathsf{diag}(\gamma)\frac{x-\mu(x)\mathbf{1}}{\sqrt{v(x)+\epsilon}}+\beta"/>
                    <pic:cNvPicPr>
                      <a:picLocks noChangeAspect="1" noChangeArrowheads="1"/>
                    </pic:cNvPicPr>
                  </pic:nvPicPr>
                  <pic:blipFill>
                    <a:blip r:embed="rId10"/>
                    <a:stretch>
                      <a:fillRect/>
                    </a:stretch>
                  </pic:blipFill>
                  <pic:spPr bwMode="auto">
                    <a:xfrm>
                      <a:off x="0" y="0"/>
                      <a:ext cx="2194560" cy="316865"/>
                    </a:xfrm>
                    <a:prstGeom prst="rect">
                      <a:avLst/>
                    </a:prstGeom>
                  </pic:spPr>
                </pic:pic>
              </a:graphicData>
            </a:graphic>
          </wp:inline>
        </w:drawing>
      </w:r>
    </w:p>
    <w:p>
      <w:pPr>
        <w:pStyle w:val="SpecReference"/>
        <w:jc w:val="right"/>
        <w:rPr/>
      </w:pPr>
      <w:r>
        <w:rPr/>
        <w:t>[CSA</w:t>
        <w:noBreakHyphen/>
        <w:t>LN</w:t>
        <w:noBreakHyphen/>
        <w:t>002]</w:t>
      </w:r>
    </w:p>
    <w:p>
      <w:pPr>
        <w:pStyle w:val="Heading2"/>
        <w:rPr/>
      </w:pPr>
      <w:bookmarkStart w:id="71" w:name="__RefHeading___Toc9422_2977050583"/>
      <w:bookmarkEnd w:id="71"/>
      <w:r>
        <w:rPr/>
        <w:t>S</w:t>
      </w:r>
      <w:bookmarkStart w:id="72" w:name="CSA_H_1_21"/>
      <w:r>
        <w:rPr/>
        <w:t>pectral Param</w:t>
      </w:r>
      <w:r>
        <w:rPr/>
        <w:t>e</w:t>
      </w:r>
      <w:r>
        <w:rPr/>
        <w:t>terization Enhanced</w:t>
      </w:r>
      <w:bookmarkStart w:id="73" w:name="CSA_H_4_2"/>
      <w:bookmarkEnd w:id="72"/>
      <w:r>
        <w:rPr/>
        <w:t xml:space="preserve"> LayerNorm</w:t>
      </w:r>
      <w:bookmarkEnd w:id="73"/>
    </w:p>
    <w:p>
      <w:pPr>
        <w:pStyle w:val="Normal"/>
        <w:keepNext w:val="true"/>
        <w:keepLines/>
        <w:spacing w:before="80" w:after="80"/>
        <w:jc w:val="center"/>
        <w:rPr/>
      </w:pPr>
      <w:r>
        <w:rPr/>
        <w:drawing>
          <wp:inline distT="0" distB="0" distL="0" distR="0">
            <wp:extent cx="1496695" cy="189230"/>
            <wp:effectExtent l="0" t="0" r="0" b="0"/>
            <wp:docPr id="10" name="Picture 10" descr="N_C(c)=C\,\mathsf{LN}_D(C^{\mathsf{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_C(c)=C\,\mathsf{LN}_D(C^{\mathsf{T}}c)"/>
                    <pic:cNvPicPr>
                      <a:picLocks noChangeAspect="1" noChangeArrowheads="1"/>
                    </pic:cNvPicPr>
                  </pic:nvPicPr>
                  <pic:blipFill>
                    <a:blip r:embed="rId11"/>
                    <a:stretch>
                      <a:fillRect/>
                    </a:stretch>
                  </pic:blipFill>
                  <pic:spPr bwMode="auto">
                    <a:xfrm>
                      <a:off x="0" y="0"/>
                      <a:ext cx="1496695" cy="189230"/>
                    </a:xfrm>
                    <a:prstGeom prst="rect">
                      <a:avLst/>
                    </a:prstGeom>
                  </pic:spPr>
                </pic:pic>
              </a:graphicData>
            </a:graphic>
          </wp:inline>
        </w:drawing>
      </w:r>
    </w:p>
    <w:p>
      <w:pPr>
        <w:pStyle w:val="SpecReference"/>
        <w:jc w:val="right"/>
        <w:rPr/>
      </w:pPr>
      <w:r>
        <w:rPr/>
        <w:t>[CSA</w:t>
        <w:noBreakHyphen/>
        <w:t>LN</w:t>
        <w:noBreakHyphen/>
        <w:t>003]</w:t>
      </w:r>
    </w:p>
    <w:p>
      <w:pPr>
        <w:pStyle w:val="Normal"/>
        <w:widowControl/>
        <w:rPr/>
      </w:pPr>
      <w:r>
        <w:rPr/>
        <w:t>This definition fixes what the compact normalization means. First, Cᵀ interprets c as D represented samples. Second, ordinary LayerNorm acts on those samples. Third, C analyses the result into the retained modes. Multiplication by a nonuniform γ and addition of β can create components outside the retained subspace; the final C removes them. Consequently the output is the projection of a feature-space-normalized represented vector, rather than a lossless encoding of every possible normalized D-vector.</w:t>
      </w:r>
      <w:r>
        <w:rPr>
          <w:color w:val="5E6B78"/>
          <w:sz w:val="17"/>
        </w:rPr>
        <w:t xml:space="preserve">  [CSA</w:t>
        <w:noBreakHyphen/>
        <w:t>LN</w:t>
        <w:noBreakHyphen/>
        <w:t>003, CSA</w:t>
        <w:noBreakHyphen/>
        <w:t>LN</w:t>
        <w:noBreakHyphen/>
        <w:t>004]</w:t>
      </w:r>
    </w:p>
    <w:p>
      <w:pPr>
        <w:pStyle w:val="Heading2"/>
        <w:rPr/>
      </w:pPr>
      <w:bookmarkStart w:id="74" w:name="__RefHeading___Toc9424_2977050583"/>
      <w:bookmarkStart w:id="75" w:name="CSA_H_4_3"/>
      <w:bookmarkEnd w:id="74"/>
      <w:r>
        <w:rPr/>
        <w:t xml:space="preserve">Folded </w:t>
      </w:r>
      <w:r>
        <w:rPr/>
        <w:t>F</w:t>
      </w:r>
      <w:r>
        <w:rPr/>
        <w:t>ormula for Chebyshev</w:t>
      </w:r>
      <w:bookmarkEnd w:id="75"/>
    </w:p>
    <w:p>
      <w:pPr>
        <w:pStyle w:val="Normal"/>
        <w:widowControl/>
        <w:rPr/>
      </w:pPr>
      <w:r>
        <w:rPr/>
        <w:t>For the orthonormal Chebyshev basis with its positive constant first mode, the reference mean is c₀/√D. Removing the mean is equivalent to zeroing c₀. The reference variance is the squared norm of the remaining coefficients divided by D, not divided by r. These statistics can be calculated directly from c.</w:t>
      </w:r>
      <w:r>
        <w:rPr>
          <w:color w:val="5E6B78"/>
          <w:sz w:val="17"/>
        </w:rPr>
        <w:t xml:space="preserve">  [CSA</w:t>
        <w:noBreakHyphen/>
        <w:t>LN</w:t>
        <w:noBreakHyphen/>
        <w:t>005]</w:t>
      </w:r>
    </w:p>
    <w:p>
      <w:pPr>
        <w:pStyle w:val="Normal"/>
        <w:keepNext w:val="true"/>
        <w:keepLines/>
        <w:spacing w:before="80" w:after="80"/>
        <w:jc w:val="center"/>
        <w:rPr/>
      </w:pPr>
      <w:r>
        <w:rPr/>
        <w:drawing>
          <wp:inline distT="0" distB="0" distL="0" distR="0">
            <wp:extent cx="2831465" cy="316865"/>
            <wp:effectExtent l="0" t="0" r="0" b="0"/>
            <wp:docPr id="11" name="Picture 11" descr="\widetilde{c}=c-c_0e_0,\qquad\mu=\frac{c_0}{\sqrt{D}},\qquad v=\frac{\lVert\widetilde{c}\rVert^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idetilde{c}=c-c_0e_0,\qquad\mu=\frac{c_0}{\sqrt{D}},\qquad v=\frac{\lVert\widetilde{c}\rVert^2}{D}"/>
                    <pic:cNvPicPr>
                      <a:picLocks noChangeAspect="1" noChangeArrowheads="1"/>
                    </pic:cNvPicPr>
                  </pic:nvPicPr>
                  <pic:blipFill>
                    <a:blip r:embed="rId12"/>
                    <a:stretch>
                      <a:fillRect/>
                    </a:stretch>
                  </pic:blipFill>
                  <pic:spPr bwMode="auto">
                    <a:xfrm>
                      <a:off x="0" y="0"/>
                      <a:ext cx="2831465" cy="316865"/>
                    </a:xfrm>
                    <a:prstGeom prst="rect">
                      <a:avLst/>
                    </a:prstGeom>
                  </pic:spPr>
                </pic:pic>
              </a:graphicData>
            </a:graphic>
          </wp:inline>
        </w:drawing>
      </w:r>
    </w:p>
    <w:p>
      <w:pPr>
        <w:pStyle w:val="SpecReference"/>
        <w:jc w:val="right"/>
        <w:rPr/>
      </w:pPr>
      <w:r>
        <w:rPr/>
        <w:t>[CSA</w:t>
        <w:noBreakHyphen/>
        <w:t>LN</w:t>
        <w:noBreakHyphen/>
        <w:t>005]</w:t>
      </w:r>
    </w:p>
    <w:p>
      <w:pPr>
        <w:pStyle w:val="Normal"/>
        <w:keepNext w:val="true"/>
        <w:keepLines/>
        <w:spacing w:before="80" w:after="80"/>
        <w:jc w:val="center"/>
        <w:rPr/>
      </w:pPr>
      <w:r>
        <w:rPr/>
        <w:drawing>
          <wp:inline distT="0" distB="0" distL="0" distR="0">
            <wp:extent cx="2182495" cy="189230"/>
            <wp:effectExtent l="0" t="0" r="0" b="0"/>
            <wp:docPr id="12" name="Picture 12" descr="G=C\,\mathsf{diag}(\gamma)C^{\mathsf{T}},\qquad b=C\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C\,\mathsf{diag}(\gamma)C^{\mathsf{T}},\qquad b=C\beta"/>
                    <pic:cNvPicPr>
                      <a:picLocks noChangeAspect="1" noChangeArrowheads="1"/>
                    </pic:cNvPicPr>
                  </pic:nvPicPr>
                  <pic:blipFill>
                    <a:blip r:embed="rId13"/>
                    <a:stretch>
                      <a:fillRect/>
                    </a:stretch>
                  </pic:blipFill>
                  <pic:spPr bwMode="auto">
                    <a:xfrm>
                      <a:off x="0" y="0"/>
                      <a:ext cx="2182495" cy="189230"/>
                    </a:xfrm>
                    <a:prstGeom prst="rect">
                      <a:avLst/>
                    </a:prstGeom>
                  </pic:spPr>
                </pic:pic>
              </a:graphicData>
            </a:graphic>
          </wp:inline>
        </w:drawing>
      </w:r>
    </w:p>
    <w:p>
      <w:pPr>
        <w:pStyle w:val="SpecReference"/>
        <w:jc w:val="right"/>
        <w:rPr/>
      </w:pPr>
      <w:r>
        <w:rPr/>
        <w:t>[CSA</w:t>
        <w:noBreakHyphen/>
        <w:t>LN</w:t>
        <w:noBreakHyphen/>
        <w:t>006]</w:t>
      </w:r>
    </w:p>
    <w:p>
      <w:pPr>
        <w:pStyle w:val="Normal"/>
        <w:keepNext w:val="true"/>
        <w:keepLines/>
        <w:spacing w:before="80" w:after="80"/>
        <w:jc w:val="center"/>
        <w:rPr/>
      </w:pPr>
      <w:r>
        <w:rPr/>
        <w:drawing>
          <wp:inline distT="0" distB="0" distL="0" distR="0">
            <wp:extent cx="1661160" cy="328930"/>
            <wp:effectExtent l="0" t="0" r="0" b="0"/>
            <wp:docPr id="13" name="Picture 13" descr="N_C(c)=\frac{G\widetilde{c}}{\sqrt{\lVert\widetilde{c}\rVert^2/D+\epsilo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N_C(c)=\frac{G\widetilde{c}}{\sqrt{\lVert\widetilde{c}\rVert^2/D+\epsilon}}+b"/>
                    <pic:cNvPicPr>
                      <a:picLocks noChangeAspect="1" noChangeArrowheads="1"/>
                    </pic:cNvPicPr>
                  </pic:nvPicPr>
                  <pic:blipFill>
                    <a:blip r:embed="rId14"/>
                    <a:stretch>
                      <a:fillRect/>
                    </a:stretch>
                  </pic:blipFill>
                  <pic:spPr bwMode="auto">
                    <a:xfrm>
                      <a:off x="0" y="0"/>
                      <a:ext cx="1661160" cy="328930"/>
                    </a:xfrm>
                    <a:prstGeom prst="rect">
                      <a:avLst/>
                    </a:prstGeom>
                  </pic:spPr>
                </pic:pic>
              </a:graphicData>
            </a:graphic>
          </wp:inline>
        </w:drawing>
      </w:r>
    </w:p>
    <w:p>
      <w:pPr>
        <w:pStyle w:val="SpecReference"/>
        <w:jc w:val="right"/>
        <w:rPr/>
      </w:pPr>
      <w:r>
        <w:rPr/>
        <w:t>[CSA</w:t>
        <w:noBreakHyphen/>
        <w:t>LN</w:t>
        <w:noBreakHyphen/>
        <w:t>007]</w:t>
      </w:r>
    </w:p>
    <w:p>
      <w:pPr>
        <w:pStyle w:val="Normal"/>
        <w:widowControl/>
        <w:rPr/>
      </w:pPr>
      <w:r>
        <w:rPr/>
        <w:t>G has shape r × r and the projected bias b has length r. γ and β remain learned reference-space D-vectors; they are small relative to the large matrices. Each normalization site has its own gain and bias, while C is shared across the model. If the existing bias option is disabled, β and b are absent. G and b are derived values, not additional independent learned parameters. A new run starts with gain one and enabled bias zero, following the existing LayerNorm initialization.</w:t>
      </w:r>
      <w:r>
        <w:rPr>
          <w:color w:val="5E6B78"/>
          <w:sz w:val="17"/>
        </w:rPr>
        <w:t xml:space="preserve">  [CSA</w:t>
        <w:noBreakHyphen/>
        <w:t>LN</w:t>
        <w:noBreakHyphen/>
        <w:t>006, CSA</w:t>
        <w:noBreakHyphen/>
        <w:t>LN</w:t>
        <w:noBreakHyphen/>
        <w:t>008, CSA</w:t>
        <w:noBreakHyphen/>
        <w:t>LN</w:t>
        <w:noBreakHyphen/>
        <w:t>018]</w:t>
      </w:r>
    </w:p>
    <w:p>
      <w:pPr>
        <w:pStyle w:val="Heading2"/>
        <w:rPr/>
      </w:pPr>
      <w:bookmarkStart w:id="76" w:name="__RefHeading___Toc9426_2977050583"/>
      <w:bookmarkStart w:id="77" w:name="CSA_H_4_4"/>
      <w:bookmarkEnd w:id="76"/>
      <w:r>
        <w:rPr/>
        <w:t xml:space="preserve">The </w:t>
      </w:r>
      <w:r>
        <w:rPr/>
        <w:t>A</w:t>
      </w:r>
      <w:r>
        <w:rPr/>
        <w:t xml:space="preserve">nalysis </w:t>
      </w:r>
      <w:r>
        <w:rPr/>
        <w:t>(Compression) C</w:t>
      </w:r>
      <w:r>
        <w:rPr/>
        <w:t>omponent</w:t>
      </w:r>
      <w:bookmarkEnd w:id="77"/>
    </w:p>
    <w:p>
      <w:pPr>
        <w:pStyle w:val="Normal"/>
        <w:widowControl/>
        <w:rPr/>
      </w:pPr>
      <w:r>
        <w:rPr/>
        <w:t>The computer does not have to perform two per-token matrix multiplications around a D-wide vector. It builds G by scaling C’s columns by γ and multiplying the result by Cᵀ. It projects the D-vector β once into b. The token operation then uses centered coefficients, their reference variance, G, and b. Thus analysis is present explicitly in the operator definition and composition, while the N × D residual intermediate is absent from normal execution. A D × D diagonal matrix must never be allocated.</w:t>
      </w:r>
      <w:r>
        <w:rPr>
          <w:color w:val="5E6B78"/>
          <w:sz w:val="17"/>
        </w:rPr>
        <w:t xml:space="preserve">  [CSA</w:t>
        <w:noBreakHyphen/>
        <w:t>LN</w:t>
        <w:noBreakHyphen/>
        <w:t>009, CSA</w:t>
        <w:noBreakHyphen/>
        <w:t>LN</w:t>
        <w:noBreakHyphen/>
        <w:t>010]</w:t>
      </w:r>
    </w:p>
    <w:p>
      <w:pPr>
        <w:pStyle w:val="Normal"/>
        <w:widowControl/>
        <w:rPr/>
      </w:pPr>
      <w:r>
        <w:rPr/>
        <w:t>Element by element, G combines analysis mode a, gain at feature sample j, and synthesis mode b, summing over the D feature samples. The left C factor performs analysis and the right C factor performs synthesis. The bias sum contains analysis alone. These sums construct an operator before it acts on token coefficients; they do not require each token’s D sampled values to exist as an intermediate array.</w:t>
      </w:r>
      <w:r>
        <w:rPr>
          <w:color w:val="5E6B78"/>
          <w:sz w:val="17"/>
        </w:rPr>
        <w:t xml:space="preserve">  [CSA</w:t>
        <w:noBreakHyphen/>
        <w:t>LN</w:t>
        <w:noBreakHyphen/>
        <w:t>006, CSA</w:t>
        <w:noBreakHyphen/>
        <w:t>LN</w:t>
        <w:noBreakHyphen/>
        <w:t>010]</w:t>
      </w:r>
    </w:p>
    <w:p>
      <w:pPr>
        <w:pStyle w:val="Normal"/>
        <w:keepNext w:val="true"/>
        <w:keepLines/>
        <w:spacing w:before="80" w:after="80"/>
        <w:jc w:val="center"/>
        <w:rPr/>
      </w:pPr>
      <w:r>
        <w:rPr/>
        <w:drawing>
          <wp:inline distT="0" distB="0" distL="0" distR="0">
            <wp:extent cx="2843530" cy="481965"/>
            <wp:effectExtent l="0" t="0" r="0" b="0"/>
            <wp:docPr id="14" name="Picture 14" descr="G_{ab}=\sum_{j=0}^{D-1}C_{aj}\gamma_jC_{bj},\qquad b_a=\sum_{j=0}^{D-1}C_{aj}\beta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_{ab}=\sum_{j=0}^{D-1}C_{aj}\gamma_jC_{bj},\qquad b_a=\sum_{j=0}^{D-1}C_{aj}\beta_j"/>
                    <pic:cNvPicPr>
                      <a:picLocks noChangeAspect="1" noChangeArrowheads="1"/>
                    </pic:cNvPicPr>
                  </pic:nvPicPr>
                  <pic:blipFill>
                    <a:blip r:embed="rId15"/>
                    <a:stretch>
                      <a:fillRect/>
                    </a:stretch>
                  </pic:blipFill>
                  <pic:spPr bwMode="auto">
                    <a:xfrm>
                      <a:off x="0" y="0"/>
                      <a:ext cx="2843530" cy="481965"/>
                    </a:xfrm>
                    <a:prstGeom prst="rect">
                      <a:avLst/>
                    </a:prstGeom>
                  </pic:spPr>
                </pic:pic>
              </a:graphicData>
            </a:graphic>
          </wp:inline>
        </w:drawing>
      </w:r>
    </w:p>
    <w:p>
      <w:pPr>
        <w:pStyle w:val="SpecReference"/>
        <w:jc w:val="right"/>
        <w:rPr/>
      </w:pPr>
      <w:r>
        <w:rPr/>
        <w:t>[CSA</w:t>
        <w:noBreakHyphen/>
        <w:t>LN</w:t>
        <w:noBreakHyphen/>
        <w:t>006, CSA</w:t>
        <w:noBreakHyphen/>
        <w:t>LN</w:t>
        <w:noBreakHyphen/>
        <w:t>010]</w:t>
      </w:r>
    </w:p>
    <w:p>
      <w:pPr>
        <w:pStyle w:val="Normal"/>
        <w:widowControl/>
        <w:rPr/>
      </w:pPr>
      <w:r>
        <w:rPr/>
        <w:t>The gain construction still costs O(Dr²) work per normalization operator, and application costs O(Nr²). Version 0.1 must account for this work. A straightforward construction uses a temporary r × D scaled basis; column tiling can bound that temporary. It is a basis-construction intermediate, not an expanded batch of residual activations.</w:t>
      </w:r>
      <w:r>
        <w:rPr>
          <w:color w:val="5E6B78"/>
          <w:sz w:val="17"/>
        </w:rPr>
        <w:t xml:space="preserve">  [CSA</w:t>
        <w:noBreakHyphen/>
        <w:t>LN</w:t>
        <w:noBreakHyphen/>
        <w:t>011]</w:t>
      </w:r>
    </w:p>
    <w:p>
      <w:pPr>
        <w:pStyle w:val="Heading2"/>
        <w:rPr/>
      </w:pPr>
      <w:bookmarkStart w:id="78" w:name="__RefHeading___Toc9428_2977050583"/>
      <w:bookmarkStart w:id="79" w:name="CSA_H_4_5"/>
      <w:bookmarkEnd w:id="78"/>
      <w:r>
        <w:rPr/>
        <w:t>General formula for registered orthonormal bases</w:t>
      </w:r>
      <w:bookmarkEnd w:id="79"/>
    </w:p>
    <w:p>
      <w:pPr>
        <w:pStyle w:val="Normal"/>
        <w:widowControl/>
        <w:rPr/>
      </w:pPr>
      <w:r>
        <w:rPr/>
        <w:t>A plug-in may provide an orthonormal basis without a constant first mode. The Chebyshev shortcut must then be replaced by the general formula below. Here u = C1, q = Cγ, and the variance is clamped only against small negative roundoff before epsilon is added. The formula remains valid even when the constant vector is not contained in the retained subspace. A nonorthonormal plug-in requires a separately specified metric and is outside the v0.1 width contract.</w:t>
      </w:r>
      <w:r>
        <w:rPr>
          <w:color w:val="5E6B78"/>
          <w:sz w:val="17"/>
        </w:rPr>
        <w:t xml:space="preserve">  [CSA</w:t>
        <w:noBreakHyphen/>
        <w:t>LN</w:t>
        <w:noBreakHyphen/>
        <w:t>012, CSA</w:t>
        <w:noBreakHyphen/>
        <w:t>LN</w:t>
        <w:noBreakHyphen/>
        <w:t>013]</w:t>
      </w:r>
    </w:p>
    <w:p>
      <w:pPr>
        <w:pStyle w:val="Normal"/>
        <w:keepNext w:val="true"/>
        <w:keepLines/>
        <w:spacing w:before="80" w:after="80"/>
        <w:jc w:val="center"/>
        <w:rPr/>
      </w:pPr>
      <w:r>
        <w:rPr/>
        <w:drawing>
          <wp:inline distT="0" distB="0" distL="0" distR="0">
            <wp:extent cx="1471930" cy="164465"/>
            <wp:effectExtent l="0" t="0" r="0" b="0"/>
            <wp:docPr id="15" name="Picture 15" descr="u=C\mathbf{1},\qquad q=C\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C\mathbf{1},\qquad q=C\gamma"/>
                    <pic:cNvPicPr>
                      <a:picLocks noChangeAspect="1" noChangeArrowheads="1"/>
                    </pic:cNvPicPr>
                  </pic:nvPicPr>
                  <pic:blipFill>
                    <a:blip r:embed="rId16"/>
                    <a:stretch>
                      <a:fillRect/>
                    </a:stretch>
                  </pic:blipFill>
                  <pic:spPr bwMode="auto">
                    <a:xfrm>
                      <a:off x="0" y="0"/>
                      <a:ext cx="1471930" cy="164465"/>
                    </a:xfrm>
                    <a:prstGeom prst="rect">
                      <a:avLst/>
                    </a:prstGeom>
                  </pic:spPr>
                </pic:pic>
              </a:graphicData>
            </a:graphic>
          </wp:inline>
        </w:drawing>
      </w:r>
    </w:p>
    <w:p>
      <w:pPr>
        <w:pStyle w:val="Normal"/>
        <w:keepNext w:val="true"/>
        <w:keepLines/>
        <w:spacing w:before="80" w:after="80"/>
        <w:jc w:val="center"/>
        <w:rPr/>
      </w:pPr>
      <w:r>
        <w:rPr/>
        <w:drawing>
          <wp:inline distT="0" distB="0" distL="0" distR="0">
            <wp:extent cx="1877695" cy="289560"/>
            <wp:effectExtent l="0" t="0" r="0" b="0"/>
            <wp:docPr id="16" name="Picture 16" descr="\mu=\frac{u^{\mathsf{T}}c}{D},\qquad v=\frac{\lVert c\rVert^2}{D}-\m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u=\frac{u^{\mathsf{T}}c}{D},\qquad v=\frac{\lVert c\rVert^2}{D}-\mu^2"/>
                    <pic:cNvPicPr>
                      <a:picLocks noChangeAspect="1" noChangeArrowheads="1"/>
                    </pic:cNvPicPr>
                  </pic:nvPicPr>
                  <pic:blipFill>
                    <a:blip r:embed="rId17"/>
                    <a:stretch>
                      <a:fillRect/>
                    </a:stretch>
                  </pic:blipFill>
                  <pic:spPr bwMode="auto">
                    <a:xfrm>
                      <a:off x="0" y="0"/>
                      <a:ext cx="1877695" cy="289560"/>
                    </a:xfrm>
                    <a:prstGeom prst="rect">
                      <a:avLst/>
                    </a:prstGeom>
                  </pic:spPr>
                </pic:pic>
              </a:graphicData>
            </a:graphic>
          </wp:inline>
        </w:drawing>
      </w:r>
    </w:p>
    <w:p>
      <w:pPr>
        <w:pStyle w:val="SpecReference"/>
        <w:jc w:val="right"/>
        <w:rPr/>
      </w:pPr>
      <w:r>
        <w:rPr/>
        <w:t>[CSA</w:t>
        <w:noBreakHyphen/>
        <w:t>LN</w:t>
        <w:noBreakHyphen/>
        <w:t>012]</w:t>
      </w:r>
    </w:p>
    <w:p>
      <w:pPr>
        <w:pStyle w:val="Normal"/>
        <w:keepNext w:val="true"/>
        <w:keepLines/>
        <w:spacing w:before="80" w:after="80"/>
        <w:jc w:val="center"/>
        <w:rPr/>
      </w:pPr>
      <w:r>
        <w:rPr/>
        <w:drawing>
          <wp:inline distT="0" distB="0" distL="0" distR="0">
            <wp:extent cx="1828800" cy="316865"/>
            <wp:effectExtent l="0" t="0" r="0" b="0"/>
            <wp:docPr id="17" name="Picture 17" descr="N_C(c)=\frac{Gc-\mu q}{\sqrt{\mathsf{max}(v,0)+\epsilo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_C(c)=\frac{Gc-\mu q}{\sqrt{\mathsf{max}(v,0)+\epsilon}}+b"/>
                    <pic:cNvPicPr>
                      <a:picLocks noChangeAspect="1" noChangeArrowheads="1"/>
                    </pic:cNvPicPr>
                  </pic:nvPicPr>
                  <pic:blipFill>
                    <a:blip r:embed="rId18"/>
                    <a:stretch>
                      <a:fillRect/>
                    </a:stretch>
                  </pic:blipFill>
                  <pic:spPr bwMode="auto">
                    <a:xfrm>
                      <a:off x="0" y="0"/>
                      <a:ext cx="1828800" cy="316865"/>
                    </a:xfrm>
                    <a:prstGeom prst="rect">
                      <a:avLst/>
                    </a:prstGeom>
                  </pic:spPr>
                </pic:pic>
              </a:graphicData>
            </a:graphic>
          </wp:inline>
        </w:drawing>
      </w:r>
    </w:p>
    <w:p>
      <w:pPr>
        <w:pStyle w:val="SpecReference"/>
        <w:jc w:val="right"/>
        <w:rPr/>
      </w:pPr>
      <w:r>
        <w:rPr/>
        <w:t>[CSA</w:t>
        <w:noBreakHyphen/>
        <w:t>LN</w:t>
        <w:noBreakHyphen/>
        <w:t>012]</w:t>
      </w:r>
    </w:p>
    <w:p>
      <w:pPr>
        <w:pStyle w:val="Heading2"/>
        <w:rPr/>
      </w:pPr>
      <w:bookmarkStart w:id="80" w:name="__RefHeading___Toc9430_2977050583"/>
      <w:bookmarkStart w:id="81" w:name="CSA_H_4_6"/>
      <w:bookmarkEnd w:id="80"/>
      <w:r>
        <w:rPr/>
        <w:t xml:space="preserve">Why all </w:t>
      </w:r>
      <w:r>
        <w:rPr/>
        <w:t>N</w:t>
      </w:r>
      <w:r>
        <w:rPr/>
        <w:t xml:space="preserve">ormalization </w:t>
      </w:r>
      <w:r>
        <w:rPr/>
        <w:t>B</w:t>
      </w:r>
      <w:r>
        <w:rPr/>
        <w:t xml:space="preserve">oundaries </w:t>
      </w:r>
      <w:r>
        <w:rPr/>
        <w:t>Will U</w:t>
      </w:r>
      <w:r>
        <w:rPr/>
        <w:t>se it</w:t>
      </w:r>
      <w:bookmarkEnd w:id="81"/>
    </w:p>
    <w:p>
      <w:pPr>
        <w:pStyle w:val="Normal"/>
        <w:widowControl/>
        <w:rPr/>
      </w:pPr>
      <w:r>
        <w:rPr/>
        <w:t>In the existing pre-norm GPT, ln_1 prepares the residual for attention and ln_2 prepares the updated residual for the MLP. Both consumers operate on the same compact representation, so both norms must use the same reference-space meaning. Replacing only one leaves the other branch with ordinary coefficient-statistic LayerNorm, which defines a different model. The final ln_f before the vocabulary head must use the projected definition for the same reason.</w:t>
      </w:r>
      <w:r>
        <w:rPr>
          <w:color w:val="5E6B78"/>
          <w:sz w:val="17"/>
        </w:rPr>
        <w:t xml:space="preserve">  [CSA</w:t>
        <w:noBreakHyphen/>
        <w:t>LN</w:t>
        <w:noBreakHyphen/>
        <w:t>014]</w:t>
      </w:r>
    </w:p>
    <w:p>
      <w:pPr>
        <w:pStyle w:val="Normal"/>
        <w:widowControl/>
        <w:rPr/>
      </w:pPr>
      <w:r>
        <w:rPr/>
        <w:t>LayerNorm is a pragmatic placement because the existing architecture already requires normalization at these boundaries. It lets the basis govern a real operation without forcing every token through an explicit D-wide synthesis. It is not a mathematical assertion that LayerNorm is the only possible placement or that this placement is empirically optimal. Residual additions remain in coefficients; ordinary attention softmax and MLP GELU provide their existing nonlinearities.</w:t>
      </w:r>
      <w:r>
        <w:rPr>
          <w:color w:val="5E6B78"/>
          <w:sz w:val="17"/>
        </w:rPr>
        <w:t xml:space="preserve">  [CSA</w:t>
        <w:noBreakHyphen/>
        <w:t>LN</w:t>
        <w:noBreakHyphen/>
        <w:t>015]</w:t>
      </w:r>
    </w:p>
    <w:p>
      <w:pPr>
        <w:pStyle w:val="Heading2"/>
        <w:rPr/>
      </w:pPr>
      <w:bookmarkStart w:id="82" w:name="__RefHeading___Toc9432_2977050583"/>
      <w:bookmarkStart w:id="83" w:name="CSA_H_4_7"/>
      <w:bookmarkEnd w:id="82"/>
      <w:r>
        <w:rPr/>
        <w:t xml:space="preserve">Gradients </w:t>
      </w:r>
      <w:r>
        <w:rPr/>
        <w:t>P</w:t>
      </w:r>
      <w:r>
        <w:rPr/>
        <w:t xml:space="preserve">recision and </w:t>
      </w:r>
      <w:r>
        <w:rPr/>
        <w:t>L</w:t>
      </w:r>
      <w:r>
        <w:rPr/>
        <w:t>ifecycle</w:t>
      </w:r>
      <w:bookmarkEnd w:id="83"/>
    </w:p>
    <w:p>
      <w:pPr>
        <w:pStyle w:val="Normal"/>
        <w:widowControl/>
        <w:rPr/>
      </w:pPr>
      <w:r>
        <w:rPr/>
        <w:t>Construction of G and b must remain differentiable with respect to γ and β. Backpropagation through the compact formula must match the explicit reference computation for c, γ, and β. A cached G must never survive a parameter change or silently detach gradients. Version 0.1 may recompute it on each training forward; inference may cache it while parameters, basis, device, and precision remain unchanged. Mixed-precision execution computes sensitive statistics and gain accumulation at least in float32.</w:t>
      </w:r>
      <w:r>
        <w:rPr>
          <w:color w:val="5E6B78"/>
          <w:sz w:val="17"/>
        </w:rPr>
        <w:t xml:space="preserve">  [CSA</w:t>
        <w:noBreakHyphen/>
        <w:t>LN</w:t>
        <w:noBreakHyphen/>
        <w:t>016, CSA</w:t>
        <w:noBreakHyphen/>
        <w:t>LN</w:t>
        <w:noBreakHyphen/>
        <w:t>017]</w:t>
      </w:r>
    </w:p>
    <w:p>
      <w:pPr>
        <w:pStyle w:val="Heading2"/>
        <w:rPr/>
      </w:pPr>
      <w:bookmarkStart w:id="84" w:name="__RefHeading___Toc9434_2977050583"/>
      <w:bookmarkStart w:id="85" w:name="CSA_H_4_8"/>
      <w:bookmarkEnd w:id="84"/>
      <w:r>
        <w:rPr/>
        <w:t>Requirements</w:t>
      </w:r>
      <w:bookmarkEnd w:id="85"/>
    </w:p>
    <w:p>
      <w:pPr>
        <w:pStyle w:val="Requirement"/>
        <w:keepLines/>
        <w:rPr/>
      </w:pPr>
      <w:bookmarkStart w:id="86" w:name="CSA_LN_001"/>
      <w:r>
        <w:rPr>
          <w:b/>
          <w:color w:val="1F4E79"/>
        </w:rPr>
        <w:t>CSA-LN-001</w:t>
      </w:r>
      <w:r>
        <w:rPr/>
        <w:t xml:space="preserve">  LayerNorm statistics shall be computed per token over its D represented features using population variance.</w:t>
      </w:r>
      <w:bookmarkEnd w:id="86"/>
    </w:p>
    <w:p>
      <w:pPr>
        <w:pStyle w:val="Requirement"/>
        <w:keepLines/>
        <w:rPr/>
      </w:pPr>
      <w:bookmarkStart w:id="87" w:name="CSA_LN_002"/>
      <w:r>
        <w:rPr>
          <w:b/>
          <w:color w:val="1F4E79"/>
        </w:rPr>
        <w:t>CSA-LN-002</w:t>
      </w:r>
      <w:r>
        <w:rPr/>
        <w:t xml:space="preserve">  Projected LayerNorm shall preserve the existing epsilon and optional reference-space feature-wise affine gain and bias.</w:t>
      </w:r>
      <w:bookmarkEnd w:id="87"/>
    </w:p>
    <w:p>
      <w:pPr>
        <w:pStyle w:val="Requirement"/>
        <w:keepLines/>
        <w:rPr/>
      </w:pPr>
      <w:bookmarkStart w:id="88" w:name="CSA_LN_003"/>
      <w:r>
        <w:rPr>
          <w:b/>
          <w:color w:val="1F4E79"/>
        </w:rPr>
        <w:t>CSA-LN-003</w:t>
      </w:r>
      <w:r>
        <w:rPr/>
        <w:t xml:space="preserve">  Every projected normalization shall apply analysis to reference-space LayerNorm of the synthesized coefficient vector, as defined in Section 4.2.</w:t>
      </w:r>
      <w:bookmarkEnd w:id="88"/>
    </w:p>
    <w:p>
      <w:pPr>
        <w:pStyle w:val="Requirement"/>
        <w:keepLines/>
        <w:rPr/>
      </w:pPr>
      <w:bookmarkStart w:id="89" w:name="CSA_LN_004"/>
      <w:r>
        <w:rPr>
          <w:b/>
          <w:color w:val="1F4E79"/>
        </w:rPr>
        <w:t>CSA-LN-004</w:t>
      </w:r>
      <w:r>
        <w:rPr/>
        <w:t xml:space="preserve">  Normalization documentation and diagnostics shall identify the post-affine projection and its possible discarded components.</w:t>
      </w:r>
      <w:bookmarkEnd w:id="89"/>
    </w:p>
    <w:p>
      <w:pPr>
        <w:pStyle w:val="Requirement"/>
        <w:keepLines/>
        <w:rPr/>
      </w:pPr>
      <w:bookmarkStart w:id="90" w:name="CSA_LN_005"/>
      <w:r>
        <w:rPr>
          <w:b/>
          <w:color w:val="1F4E79"/>
        </w:rPr>
        <w:t>CSA-LN-005</w:t>
      </w:r>
      <w:r>
        <w:rPr/>
        <w:t xml:space="preserve">  The constant-mode shortcut shall use mean c₀/√D, zero-centered mode zero, and the sum of squared centered coefficients divided by D as its variance.</w:t>
      </w:r>
      <w:bookmarkEnd w:id="90"/>
    </w:p>
    <w:p>
      <w:pPr>
        <w:pStyle w:val="Requirement"/>
        <w:keepLines/>
        <w:rPr/>
      </w:pPr>
      <w:bookmarkStart w:id="91" w:name="CSA_LN_006"/>
      <w:r>
        <w:rPr>
          <w:b/>
          <w:color w:val="1F4E79"/>
        </w:rPr>
        <w:t>CSA-LN-006</w:t>
      </w:r>
      <w:r>
        <w:rPr/>
        <w:t xml:space="preserve">  Normalization gain and bias shall be derived as G = C diag(γ) Cᵀ and b = Cβ.</w:t>
      </w:r>
      <w:bookmarkEnd w:id="91"/>
    </w:p>
    <w:p>
      <w:pPr>
        <w:pStyle w:val="Requirement"/>
        <w:keepLines/>
        <w:rPr/>
      </w:pPr>
      <w:bookmarkStart w:id="92" w:name="CSA_LN_007"/>
      <w:r>
        <w:rPr>
          <w:b/>
          <w:color w:val="1F4E79"/>
        </w:rPr>
        <w:t>CSA-LN-007</w:t>
      </w:r>
      <w:r>
        <w:rPr/>
        <w:t xml:space="preserve">  The Chebyshev compact forward shall apply G to centered coefficients divided by √(variance + epsilon), then add b when enabled.</w:t>
      </w:r>
      <w:bookmarkEnd w:id="92"/>
    </w:p>
    <w:p>
      <w:pPr>
        <w:pStyle w:val="Requirement"/>
        <w:keepLines/>
        <w:rPr/>
      </w:pPr>
      <w:bookmarkStart w:id="93" w:name="CSA_LN_008"/>
      <w:r>
        <w:rPr>
          <w:b/>
          <w:color w:val="1F4E79"/>
        </w:rPr>
        <w:t>CSA-LN-008</w:t>
      </w:r>
      <w:r>
        <w:rPr/>
        <w:t xml:space="preserve">  Each normalization site shall own its affine parameters while sharing the fixed C; derived G and b shall not be independently trainable parameters.</w:t>
      </w:r>
      <w:bookmarkEnd w:id="93"/>
    </w:p>
    <w:p>
      <w:pPr>
        <w:pStyle w:val="Requirement"/>
        <w:keepLines/>
        <w:rPr/>
      </w:pPr>
      <w:bookmarkStart w:id="94" w:name="CSA_LN_009"/>
      <w:r>
        <w:rPr>
          <w:b/>
          <w:color w:val="1F4E79"/>
        </w:rPr>
        <w:t>CSA-LN-009</w:t>
      </w:r>
      <w:r>
        <w:rPr/>
        <w:t xml:space="preserve">  Normal normalization execution shall avoid an N × D represented-feature activation and any D × D diagonal allocation.</w:t>
      </w:r>
      <w:bookmarkEnd w:id="94"/>
    </w:p>
    <w:p>
      <w:pPr>
        <w:pStyle w:val="Requirement"/>
        <w:keepLines/>
        <w:rPr/>
      </w:pPr>
      <w:bookmarkStart w:id="95" w:name="CSA_LN_010"/>
      <w:r>
        <w:rPr>
          <w:b/>
          <w:color w:val="1F4E79"/>
        </w:rPr>
        <w:t>CSA-LN-010</w:t>
      </w:r>
      <w:r>
        <w:rPr/>
        <w:t xml:space="preserve">  G construction shall implement diagonal multiplication by column scaling, with β projected directly as a D-vector.</w:t>
      </w:r>
      <w:bookmarkEnd w:id="95"/>
    </w:p>
    <w:p>
      <w:pPr>
        <w:pStyle w:val="Requirement"/>
        <w:keepLines/>
        <w:rPr/>
      </w:pPr>
      <w:bookmarkStart w:id="96" w:name="CSA_LN_011"/>
      <w:r>
        <w:rPr>
          <w:b/>
          <w:color w:val="1F4E79"/>
        </w:rPr>
        <w:t>CSA-LN-011</w:t>
      </w:r>
      <w:r>
        <w:rPr/>
        <w:t xml:space="preserve">  Execution reporting shall account for gain-construction and gain-application work and the r × D construction temporary or its bounded tiled equivalent.</w:t>
      </w:r>
      <w:bookmarkEnd w:id="96"/>
    </w:p>
    <w:p>
      <w:pPr>
        <w:pStyle w:val="Requirement"/>
        <w:keepLines/>
        <w:rPr/>
      </w:pPr>
      <w:bookmarkStart w:id="97" w:name="CSA_LN_012"/>
      <w:r>
        <w:rPr>
          <w:b/>
          <w:color w:val="1F4E79"/>
        </w:rPr>
        <w:t>CSA-LN-012</w:t>
      </w:r>
      <w:r>
        <w:rPr/>
        <w:t xml:space="preserve">  Orthonormal plug-ins without a constant first mode shall use the general mean, variance, centering-gain, and projected-bias formula in Section 4.5.</w:t>
      </w:r>
      <w:bookmarkEnd w:id="97"/>
    </w:p>
    <w:p>
      <w:pPr>
        <w:pStyle w:val="Requirement"/>
        <w:keepLines/>
        <w:rPr/>
      </w:pPr>
      <w:bookmarkStart w:id="98" w:name="CSA_LN_013"/>
      <w:r>
        <w:rPr>
          <w:b/>
          <w:color w:val="1F4E79"/>
        </w:rPr>
        <w:t>CSA-LN-013</w:t>
      </w:r>
      <w:r>
        <w:rPr/>
        <w:t xml:space="preserve">  Version 0.1 width plug-ins shall supply an orthonormal basis; nonorthonormal representations shall be rejected with a capability explanation.</w:t>
      </w:r>
      <w:bookmarkEnd w:id="98"/>
    </w:p>
    <w:p>
      <w:pPr>
        <w:pStyle w:val="Requirement"/>
        <w:keepLines/>
        <w:rPr/>
      </w:pPr>
      <w:bookmarkStart w:id="99" w:name="CSA_LN_014"/>
      <w:r>
        <w:rPr>
          <w:b/>
          <w:color w:val="1F4E79"/>
        </w:rPr>
        <w:t>CSA-LN-014</w:t>
      </w:r>
      <w:r>
        <w:rPr/>
        <w:t xml:space="preserve">  Both per-block pre-attention and pre-MLP LayerNorms, and the final LayerNorm, shall use projected normalization whenever width compression is selected.</w:t>
      </w:r>
      <w:bookmarkEnd w:id="99"/>
    </w:p>
    <w:p>
      <w:pPr>
        <w:pStyle w:val="Requirement"/>
        <w:keepLines/>
        <w:rPr/>
      </w:pPr>
      <w:bookmarkStart w:id="100" w:name="CSA_LN_015"/>
      <w:r>
        <w:rPr>
          <w:b/>
          <w:color w:val="1F4E79"/>
        </w:rPr>
        <w:t>CSA-LN-015</w:t>
      </w:r>
      <w:r>
        <w:rPr/>
        <w:t xml:space="preserve">  The placement explanation shall identify the existing normalization boundaries and shall qualify optimality as unproven.</w:t>
      </w:r>
      <w:bookmarkEnd w:id="100"/>
    </w:p>
    <w:p>
      <w:pPr>
        <w:pStyle w:val="Requirement"/>
        <w:keepLines/>
        <w:rPr/>
      </w:pPr>
      <w:bookmarkStart w:id="101" w:name="CSA_LN_016"/>
      <w:r>
        <w:rPr>
          <w:b/>
          <w:color w:val="1F4E79"/>
        </w:rPr>
        <w:t>CSA-LN-016</w:t>
      </w:r>
      <w:r>
        <w:rPr/>
        <w:t xml:space="preserve">  Training shall preserve gradients through G and b and invalidate derived caches after any relevant parameter, basis, device, or precision change.</w:t>
      </w:r>
      <w:bookmarkEnd w:id="101"/>
    </w:p>
    <w:p>
      <w:pPr>
        <w:pStyle w:val="Requirement"/>
        <w:keepLines/>
        <w:rPr/>
      </w:pPr>
      <w:bookmarkStart w:id="102" w:name="CSA_LN_017"/>
      <w:r>
        <w:rPr>
          <w:b/>
          <w:color w:val="1F4E79"/>
        </w:rPr>
        <w:t>CSA-LN-017</w:t>
      </w:r>
      <w:r>
        <w:rPr/>
        <w:t xml:space="preserve">  Mixed-precision normalization statistics and gain accumulation shall use at least float32 precision and pass explicit-reference gradient tests.</w:t>
      </w:r>
      <w:bookmarkEnd w:id="102"/>
    </w:p>
    <w:p>
      <w:pPr>
        <w:pStyle w:val="Requirement"/>
        <w:keepLines/>
        <w:rPr/>
      </w:pPr>
      <w:bookmarkStart w:id="103" w:name="CSA_LN_018"/>
      <w:r>
        <w:rPr>
          <w:b/>
          <w:color w:val="1F4E79"/>
        </w:rPr>
        <w:t>CSA-LN-018</w:t>
      </w:r>
      <w:r>
        <w:rPr/>
        <w:t xml:space="preserve">  Fresh-run normalization gain shall initialize to one and enabled normalization bias to zero.</w:t>
      </w:r>
      <w:bookmarkEnd w:id="103"/>
    </w:p>
    <w:p>
      <w:pPr>
        <w:pStyle w:val="Heading1"/>
        <w:rPr/>
      </w:pPr>
      <w:bookmarkStart w:id="104" w:name="__RefHeading___Toc9436_2977050583"/>
      <w:bookmarkStart w:id="105" w:name="CSA_H_5"/>
      <w:bookmarkEnd w:id="104"/>
      <w:r>
        <w:rPr/>
        <w:t>Model Architecture and Direct Execution</w:t>
      </w:r>
      <w:bookmarkEnd w:id="105"/>
    </w:p>
    <w:p>
      <w:pPr>
        <w:pStyle w:val="Heading2"/>
        <w:rPr/>
      </w:pPr>
      <w:bookmarkStart w:id="106" w:name="__RefHeading___Toc9438_2977050583"/>
      <w:bookmarkStart w:id="107" w:name="CSA_H_5_1"/>
      <w:bookmarkEnd w:id="106"/>
      <w:r>
        <w:rPr/>
        <w:t>Embeddings positions and residual flow</w:t>
      </w:r>
      <w:bookmarkEnd w:id="107"/>
    </w:p>
    <w:p>
      <w:pPr>
        <w:pStyle w:val="Normal"/>
        <w:widowControl/>
        <w:rPr/>
      </w:pPr>
      <w:r>
        <w:rPr/>
        <w:t>The learned token table Z has shape V × r and the learned position table U has shape T × r. The input residual is the sum of the selected rows, followed by the existing embedding dropout in coefficient coordinates. There is no full-width token table, no routine C(t + p) operation, and no synthesis at input. Version 0.1 targets the current learned-position GPT path; a positional mechanism that requires other coordinates needs an explicit compatible adapter before it can be selected.</w:t>
      </w:r>
      <w:r>
        <w:rPr>
          <w:color w:val="5E6B78"/>
          <w:sz w:val="17"/>
        </w:rPr>
        <w:t xml:space="preserve">  [CSA</w:t>
        <w:noBreakHyphen/>
        <w:t>ARC</w:t>
        <w:noBreakHyphen/>
        <w:t>001, CSA</w:t>
        <w:noBreakHyphen/>
        <w:t>ARC</w:t>
        <w:noBreakHyphen/>
        <w:t>002]</w:t>
      </w:r>
    </w:p>
    <w:p>
      <w:pPr>
        <w:pStyle w:val="Normal"/>
        <w:keepNext w:val="true"/>
        <w:keepLines/>
        <w:spacing w:before="80" w:after="80"/>
        <w:jc w:val="center"/>
        <w:rPr/>
      </w:pPr>
      <w:r>
        <w:rPr/>
        <w:drawing>
          <wp:inline distT="0" distB="0" distL="0" distR="0">
            <wp:extent cx="1332230" cy="213360"/>
            <wp:effectExtent l="0" t="0" r="0" b="0"/>
            <wp:docPr id="18" name="Picture 18" descr="c_t=Z_{\mathsf{token}(t)}^{\mathsf{T}}+U_t^{\maths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_t=Z_{\mathsf{token}(t)}^{\mathsf{T}}+U_t^{\mathsf{T}}"/>
                    <pic:cNvPicPr>
                      <a:picLocks noChangeAspect="1" noChangeArrowheads="1"/>
                    </pic:cNvPicPr>
                  </pic:nvPicPr>
                  <pic:blipFill>
                    <a:blip r:embed="rId19"/>
                    <a:stretch>
                      <a:fillRect/>
                    </a:stretch>
                  </pic:blipFill>
                  <pic:spPr bwMode="auto">
                    <a:xfrm>
                      <a:off x="0" y="0"/>
                      <a:ext cx="1332230" cy="213360"/>
                    </a:xfrm>
                    <a:prstGeom prst="rect">
                      <a:avLst/>
                    </a:prstGeom>
                  </pic:spPr>
                </pic:pic>
              </a:graphicData>
            </a:graphic>
          </wp:inline>
        </w:drawing>
      </w:r>
    </w:p>
    <w:p>
      <w:pPr>
        <w:pStyle w:val="SpecReference"/>
        <w:jc w:val="right"/>
        <w:rPr/>
      </w:pPr>
      <w:r>
        <w:rPr/>
        <w:t>[CSA</w:t>
        <w:noBreakHyphen/>
        <w:t>ARC</w:t>
        <w:noBreakHyphen/>
        <w:t>001]</w:t>
      </w:r>
    </w:p>
    <w:p>
      <w:pPr>
        <w:pStyle w:val="Normal"/>
        <w:widowControl/>
        <w:rPr/>
      </w:pPr>
      <w:r>
        <w:rPr/>
        <w:t>Each block retains the pre-norm GPT order: projected ln_1, causal attention, coefficient residual addition, projected ln_2, MLP, and coefficient residual addition. Token-wise normalization and feature transforms do not access future tokens. The usual triangular attention mask remains the only mechanism permitting information exchange between sequence positions.</w:t>
      </w:r>
      <w:r>
        <w:rPr>
          <w:color w:val="5E6B78"/>
          <w:sz w:val="17"/>
        </w:rPr>
        <w:t xml:space="preserve">  [CSA</w:t>
        <w:noBreakHyphen/>
        <w:t>ARC</w:t>
        <w:noBreakHyphen/>
        <w:t>003, CSA</w:t>
        <w:noBreakHyphen/>
        <w:t>ARC</w:t>
        <w:noBreakHyphen/>
        <w:t>004]</w:t>
      </w:r>
    </w:p>
    <w:p>
      <w:pPr>
        <w:pStyle w:val="Heading2"/>
        <w:rPr/>
      </w:pPr>
      <w:bookmarkStart w:id="108" w:name="__RefHeading___Toc9440_2977050583"/>
      <w:bookmarkStart w:id="109" w:name="CSA_H_5_2"/>
      <w:bookmarkEnd w:id="108"/>
      <w:r>
        <w:rPr/>
        <w:t>Attention and MLP shapes</w:t>
      </w:r>
      <w:bookmarkEnd w:id="109"/>
    </w:p>
    <w:p>
      <w:pPr>
        <w:pStyle w:val="SpecCaption"/>
        <w:rPr/>
      </w:pPr>
      <w:r>
        <w:rPr/>
        <w:t>Stored compact operator shapes using output-by-input orientation</w:t>
      </w:r>
    </w:p>
    <w:tbl>
      <w:tblPr>
        <w:tblW w:w="9639" w:type="dxa"/>
        <w:jc w:val="left"/>
        <w:tblInd w:w="-8" w:type="dxa"/>
        <w:tblLayout w:type="fixed"/>
        <w:tblCellMar>
          <w:top w:w="90" w:type="dxa"/>
          <w:left w:w="100" w:type="dxa"/>
          <w:bottom w:w="90" w:type="dxa"/>
          <w:right w:w="100" w:type="dxa"/>
        </w:tblCellMar>
      </w:tblPr>
      <w:tblGrid>
        <w:gridCol w:w="2608"/>
        <w:gridCol w:w="2097"/>
        <w:gridCol w:w="2268"/>
        <w:gridCol w:w="2665"/>
      </w:tblGrid>
      <w:tr>
        <w:trPr>
          <w:tblHeader w:val="true"/>
        </w:trPr>
        <w:tc>
          <w:tcPr>
            <w:tcW w:w="260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Operator</w:t>
            </w:r>
          </w:p>
        </w:tc>
        <w:tc>
          <w:tcPr>
            <w:tcW w:w="2097"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Dense shape</w:t>
            </w:r>
          </w:p>
        </w:tc>
        <w:tc>
          <w:tcPr>
            <w:tcW w:w="226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Compact shape</w:t>
            </w:r>
          </w:p>
        </w:tc>
        <w:tc>
          <w:tcPr>
            <w:tcW w:w="2665"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26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Combined QKV</w:t>
            </w:r>
          </w:p>
        </w:tc>
        <w:tc>
          <w:tcPr>
            <w:tcW w:w="209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3A × D</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3A × r</w:t>
            </w:r>
          </w:p>
        </w:tc>
        <w:tc>
          <w:tcPr>
            <w:tcW w:w="266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CSA-ARC-005</w:t>
            </w:r>
          </w:p>
        </w:tc>
      </w:tr>
      <w:tr>
        <w:trPr>
          <w:cantSplit w:val="true"/>
        </w:trPr>
        <w:tc>
          <w:tcPr>
            <w:tcW w:w="26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Attention output</w:t>
            </w:r>
          </w:p>
        </w:tc>
        <w:tc>
          <w:tcPr>
            <w:tcW w:w="209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 × A</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 × A</w:t>
            </w:r>
          </w:p>
        </w:tc>
        <w:tc>
          <w:tcPr>
            <w:tcW w:w="266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CSA-ARC-005</w:t>
            </w:r>
          </w:p>
        </w:tc>
      </w:tr>
      <w:tr>
        <w:trPr>
          <w:cantSplit w:val="true"/>
        </w:trPr>
        <w:tc>
          <w:tcPr>
            <w:tcW w:w="26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MLP up</w:t>
            </w:r>
          </w:p>
        </w:tc>
        <w:tc>
          <w:tcPr>
            <w:tcW w:w="209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F × D</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F × r</w:t>
            </w:r>
          </w:p>
        </w:tc>
        <w:tc>
          <w:tcPr>
            <w:tcW w:w="266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CSA-ARC-006</w:t>
            </w:r>
          </w:p>
        </w:tc>
      </w:tr>
      <w:tr>
        <w:trPr>
          <w:cantSplit w:val="true"/>
        </w:trPr>
        <w:tc>
          <w:tcPr>
            <w:tcW w:w="260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MLP down</w:t>
            </w:r>
          </w:p>
        </w:tc>
        <w:tc>
          <w:tcPr>
            <w:tcW w:w="209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 × F</w:t>
            </w:r>
          </w:p>
        </w:tc>
        <w:tc>
          <w:tcPr>
            <w:tcW w:w="226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 × F</w:t>
            </w:r>
          </w:p>
        </w:tc>
        <w:tc>
          <w:tcPr>
            <w:tcW w:w="2665"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CSA-ARC-006</w:t>
            </w:r>
          </w:p>
        </w:tc>
      </w:tr>
    </w:tbl>
    <w:p>
      <w:pPr>
        <w:pStyle w:val="Normal"/>
        <w:spacing w:lineRule="auto" w:line="360" w:before="0" w:after="60"/>
        <w:rPr/>
      </w:pPr>
      <w:r>
        <w:rPr/>
      </w:r>
    </w:p>
    <w:p>
      <w:pPr>
        <w:pStyle w:val="Normal"/>
        <w:widowControl/>
        <w:rPr/>
      </w:pPr>
      <w:r>
        <w:rPr/>
        <w:t>The model learns these compact operators directly. QKV still produces three A-wide arrays, reshaped into the existing number of heads and head channels. A, rather than r, must be divisible by the head count. Attention output returns to r coefficients. This reduces the residual-facing matrix axes while preserving the current attention mechanism and KV-cache channel count.</w:t>
      </w:r>
      <w:r>
        <w:rPr>
          <w:color w:val="5E6B78"/>
          <w:sz w:val="17"/>
        </w:rPr>
        <w:t xml:space="preserve">  [CSA</w:t>
        <w:noBreakHyphen/>
        <w:t>ARC</w:t>
        <w:noBreakHyphen/>
        <w:t>005, CSA</w:t>
        <w:noBreakHyphen/>
        <w:t>ARC</w:t>
        <w:noBreakHyphen/>
        <w:t>007]</w:t>
      </w:r>
    </w:p>
    <w:p>
      <w:pPr>
        <w:pStyle w:val="Normal"/>
        <w:widowControl/>
        <w:rPr/>
      </w:pPr>
      <w:r>
        <w:rPr/>
        <w:t>Linear maps between coefficients and internal channels use ordinary matrix multiplication. They do not require multiplying two Chebyshev polynomial series. For example, the compact input-facing operator corresponding to a hypothetical full operator W is K = WCᵀ; the model learns K directly, so W need not exist in storage or computation. The representation changes the matrix axes and their meaning, while the matrix-contraction machinery remains standard.</w:t>
      </w:r>
      <w:r>
        <w:rPr>
          <w:color w:val="5E6B78"/>
          <w:sz w:val="17"/>
        </w:rPr>
        <w:t xml:space="preserve">  [CSA</w:t>
        <w:noBreakHyphen/>
        <w:t>ARC</w:t>
        <w:noBreakHyphen/>
        <w:t>015]</w:t>
      </w:r>
    </w:p>
    <w:p>
      <w:pPr>
        <w:pStyle w:val="Normal"/>
        <w:widowControl/>
        <w:rPr/>
      </w:pPr>
      <w:r>
        <w:rPr/>
        <w:t>Fresh-run coefficient tables and compact linear operators use the existing initializer for their parameter role, applied to their actual stored shape. Joint depth retains the existing coefficient-bank initialization policy. This keeps the new representation separate from an unrequested change of initialization scheme and requires no additional initialization hyperparameter.</w:t>
      </w:r>
      <w:r>
        <w:rPr>
          <w:color w:val="5E6B78"/>
          <w:sz w:val="17"/>
        </w:rPr>
        <w:t xml:space="preserve">  [CSA</w:t>
        <w:noBreakHyphen/>
        <w:t>ARC</w:t>
        <w:noBreakHyphen/>
        <w:t>016]</w:t>
      </w:r>
    </w:p>
    <w:p>
      <w:pPr>
        <w:pStyle w:val="Normal"/>
        <w:widowControl/>
        <w:rPr/>
      </w:pPr>
      <w:r>
        <w:rPr/>
        <w:t>The MLP maps r coefficients to F hidden values, applies ordinary GELU there, and maps back to r coefficients. F remains the current GPT hidden size. These F hidden values are ordinary internal channels, not D represented feature samples. Regular GELU is therefore usable without a feature-synthesis step or a tiled synthesized-feature GELU. This architecture does not assert that applying GELU to arbitrary retained coefficients equals projecting GELU of a synthesized vector.</w:t>
      </w:r>
      <w:r>
        <w:rPr>
          <w:color w:val="5E6B78"/>
          <w:sz w:val="17"/>
        </w:rPr>
        <w:t xml:space="preserve">  [CSA</w:t>
        <w:noBreakHyphen/>
        <w:t>ARC</w:t>
        <w:noBreakHyphen/>
        <w:t>006, CSA</w:t>
        <w:noBreakHyphen/>
        <w:t>ARC</w:t>
        <w:noBreakHyphen/>
        <w:t>008]</w:t>
      </w:r>
    </w:p>
    <w:p>
      <w:pPr>
        <w:pStyle w:val="Normal"/>
        <w:widowControl/>
        <w:rPr/>
      </w:pPr>
      <w:r>
        <w:rPr/>
        <w:t>Existing dropout probabilities and bias enablement remain applicable. Input-facing biases live in their produced channel dimension; residual-output biases have length r. Width does not introduce an additional nonlinear activation or change dropout into feature-space dropout.</w:t>
      </w:r>
      <w:r>
        <w:rPr>
          <w:color w:val="5E6B78"/>
          <w:sz w:val="17"/>
        </w:rPr>
        <w:t xml:space="preserve">  [CSA</w:t>
        <w:noBreakHyphen/>
        <w:t>ARC</w:t>
        <w:noBreakHyphen/>
        <w:t>009]</w:t>
      </w:r>
    </w:p>
    <w:p>
      <w:pPr>
        <w:pStyle w:val="Heading2"/>
        <w:rPr/>
      </w:pPr>
      <w:bookmarkStart w:id="110" w:name="__RefHeading___Toc9442_2977050583"/>
      <w:bookmarkStart w:id="111" w:name="CSA_H_5_3"/>
      <w:bookmarkEnd w:id="110"/>
      <w:r>
        <w:rPr/>
        <w:t>Direct vocabulary projection</w:t>
      </w:r>
      <w:bookmarkEnd w:id="111"/>
    </w:p>
    <w:p>
      <w:pPr>
        <w:pStyle w:val="Normal"/>
        <w:widowControl/>
        <w:rPr/>
      </w:pPr>
      <w:r>
        <w:rPr/>
        <w:t>After projected ln_f, the head maps r coefficients to V ordinary logits. With weight tying, the learned token coefficient table also supplies the head weights. With an existing untied-head mode, the head stores its own V × r matrix. Softmax and cross-entropy remain vocabulary operations. There is no polynomial over vocabulary IDs and no late D-wide reconstruction of logits.</w:t>
      </w:r>
      <w:r>
        <w:rPr>
          <w:color w:val="5E6B78"/>
          <w:sz w:val="17"/>
        </w:rPr>
        <w:t xml:space="preserve">  [CSA</w:t>
        <w:noBreakHyphen/>
        <w:t>ARC</w:t>
        <w:noBreakHyphen/>
        <w:t>010]</w:t>
      </w:r>
    </w:p>
    <w:p>
      <w:pPr>
        <w:pStyle w:val="Normal"/>
        <w:keepNext w:val="true"/>
        <w:keepLines/>
        <w:spacing w:before="80" w:after="80"/>
        <w:jc w:val="center"/>
        <w:rPr/>
      </w:pPr>
      <w:r>
        <w:rPr/>
        <w:drawing>
          <wp:inline distT="0" distB="0" distL="0" distR="0">
            <wp:extent cx="3124200" cy="164465"/>
            <wp:effectExtent l="0" t="0" r="0" b="0"/>
            <wp:docPr id="19" name="Picture 19" descr="z=Z\,N_C(c_{\mathsf{final}})\qquad\mathsf{or}\qquad z=H_c\,N_C(c_{\mathsf{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z=Z\,N_C(c_{\mathsf{final}})\qquad\mathsf{or}\qquad z=H_c\,N_C(c_{\mathsf{final}})"/>
                    <pic:cNvPicPr>
                      <a:picLocks noChangeAspect="1" noChangeArrowheads="1"/>
                    </pic:cNvPicPr>
                  </pic:nvPicPr>
                  <pic:blipFill>
                    <a:blip r:embed="rId20"/>
                    <a:stretch>
                      <a:fillRect/>
                    </a:stretch>
                  </pic:blipFill>
                  <pic:spPr bwMode="auto">
                    <a:xfrm>
                      <a:off x="0" y="0"/>
                      <a:ext cx="3124200" cy="164465"/>
                    </a:xfrm>
                    <a:prstGeom prst="rect">
                      <a:avLst/>
                    </a:prstGeom>
                  </pic:spPr>
                </pic:pic>
              </a:graphicData>
            </a:graphic>
          </wp:inline>
        </w:drawing>
      </w:r>
    </w:p>
    <w:p>
      <w:pPr>
        <w:pStyle w:val="SpecReference"/>
        <w:jc w:val="right"/>
        <w:rPr/>
      </w:pPr>
      <w:r>
        <w:rPr/>
        <w:t>[CSA</w:t>
        <w:noBreakHyphen/>
        <w:t>ARC</w:t>
        <w:noBreakHyphen/>
        <w:t>010]</w:t>
      </w:r>
    </w:p>
    <w:p>
      <w:pPr>
        <w:pStyle w:val="Normal"/>
        <w:widowControl/>
        <w:rPr/>
      </w:pPr>
      <w:r>
        <w:rPr/>
        <w:t>For a hypothetical full-feature head H, its action on a synthesized residual is H Cᵀc. The product H Cᵀ is a compact head operator; it illustrates how synthesis can be absorbed into a linear consumer. In this preferred variant that compact operator is learned directly. A larger H is neither stored nor constructed during training.</w:t>
      </w:r>
      <w:r>
        <w:rPr>
          <w:color w:val="5E6B78"/>
          <w:sz w:val="17"/>
        </w:rPr>
        <w:t xml:space="preserve">  [CSA</w:t>
        <w:noBreakHyphen/>
        <w:t>ARC</w:t>
        <w:noBreakHyphen/>
        <w:t>011]</w:t>
      </w:r>
    </w:p>
    <w:p>
      <w:pPr>
        <w:pStyle w:val="Heading2"/>
        <w:rPr/>
      </w:pPr>
      <w:bookmarkStart w:id="112" w:name="__RefHeading___Toc9444_2977050583"/>
      <w:bookmarkStart w:id="113" w:name="CSA_H_5_4"/>
      <w:bookmarkEnd w:id="112"/>
      <w:r>
        <w:rPr/>
        <w:t>Combination with depth compression</w:t>
      </w:r>
      <w:bookmarkEnd w:id="113"/>
    </w:p>
    <w:p>
      <w:pPr>
        <w:pStyle w:val="Normal"/>
        <w:widowControl/>
        <w:rPr/>
      </w:pPr>
      <w:r>
        <w:rPr/>
        <w:t>When depth compression is off, each of the L blocks owns compact operators with the shapes above. When depth is on, the model stores P coefficient operators of those same compact shapes for each participating family. The layer-specific compact operator is their fixed depth-basis combination. Its action can be computed by accumulating P contractions without materializing a layer matrix, and without synthesizing the width-facing axis to D.</w:t>
      </w:r>
      <w:r>
        <w:rPr>
          <w:color w:val="5E6B78"/>
          <w:sz w:val="17"/>
        </w:rPr>
        <w:t xml:space="preserve">  [CSA</w:t>
        <w:noBreakHyphen/>
        <w:t>ARC</w:t>
        <w:noBreakHyphen/>
        <w:t>012]</w:t>
      </w:r>
    </w:p>
    <w:p>
      <w:pPr>
        <w:pStyle w:val="Normal"/>
        <w:keepNext w:val="true"/>
        <w:keepLines/>
        <w:spacing w:before="80" w:after="80"/>
        <w:jc w:val="center"/>
        <w:rPr/>
      </w:pPr>
      <w:r>
        <w:rPr/>
        <w:drawing>
          <wp:inline distT="0" distB="0" distL="0" distR="0">
            <wp:extent cx="1993265" cy="481965"/>
            <wp:effectExtent l="0" t="0" r="0" b="0"/>
            <wp:docPr id="20" name="Picture 20" descr="y=W_lh=\sum_{p=0}^{P-1}a_p(d_l)(\Theta_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y=W_lh=\sum_{p=0}^{P-1}a_p(d_l)(\Theta_ph)"/>
                    <pic:cNvPicPr>
                      <a:picLocks noChangeAspect="1" noChangeArrowheads="1"/>
                    </pic:cNvPicPr>
                  </pic:nvPicPr>
                  <pic:blipFill>
                    <a:blip r:embed="rId21"/>
                    <a:stretch>
                      <a:fillRect/>
                    </a:stretch>
                  </pic:blipFill>
                  <pic:spPr bwMode="auto">
                    <a:xfrm>
                      <a:off x="0" y="0"/>
                      <a:ext cx="1993265" cy="481965"/>
                    </a:xfrm>
                    <a:prstGeom prst="rect">
                      <a:avLst/>
                    </a:prstGeom>
                  </pic:spPr>
                </pic:pic>
              </a:graphicData>
            </a:graphic>
          </wp:inline>
        </w:drawing>
      </w:r>
    </w:p>
    <w:p>
      <w:pPr>
        <w:pStyle w:val="SpecReference"/>
        <w:jc w:val="right"/>
        <w:rPr/>
      </w:pPr>
      <w:r>
        <w:rPr/>
        <w:t>[CSA</w:t>
        <w:noBreakHyphen/>
        <w:t>ARC</w:t>
        <w:noBreakHyphen/>
        <w:t>012]</w:t>
      </w:r>
    </w:p>
    <w:p>
      <w:pPr>
        <w:pStyle w:val="Normal"/>
        <w:widowControl/>
        <w:rPr/>
      </w:pPr>
      <w:r>
        <w:rPr/>
        <w:t>The existing option controlling depth participation of LayerNorm and bias vectors retains its meaning. Whether those vectors are independent per block or depth-compressed does not disable width normalization. The final LayerNorm remains a final normalization site rather than an additional sampled depth layer. The initial joint path supports fixed depth; PLASTIC depth scheduling and simultaneous additional element geometries require separate compatibility work and are rejected rather than silently combined in v0.1.</w:t>
      </w:r>
      <w:r>
        <w:rPr>
          <w:color w:val="5E6B78"/>
          <w:sz w:val="17"/>
        </w:rPr>
        <w:t xml:space="preserve">  [CSA</w:t>
        <w:noBreakHyphen/>
        <w:t>ARC</w:t>
        <w:noBreakHyphen/>
        <w:t>013, CSA</w:t>
        <w:noBreakHyphen/>
        <w:t>ARC</w:t>
        <w:noBreakHyphen/>
        <w:t>014]</w:t>
      </w:r>
    </w:p>
    <w:p>
      <w:pPr>
        <w:pStyle w:val="Heading2"/>
        <w:rPr/>
      </w:pPr>
      <w:bookmarkStart w:id="114" w:name="__RefHeading___Toc9446_2977050583"/>
      <w:bookmarkStart w:id="115" w:name="CSA_H_5_5"/>
      <w:bookmarkEnd w:id="114"/>
      <w:r>
        <w:rPr/>
        <w:t>Requirements</w:t>
      </w:r>
      <w:bookmarkEnd w:id="115"/>
    </w:p>
    <w:p>
      <w:pPr>
        <w:pStyle w:val="Requirement"/>
        <w:keepLines/>
        <w:rPr/>
      </w:pPr>
      <w:bookmarkStart w:id="116" w:name="CSA_ARC_001"/>
      <w:r>
        <w:rPr>
          <w:b/>
          <w:color w:val="1F4E79"/>
        </w:rPr>
        <w:t>CSA-ARC-001</w:t>
      </w:r>
      <w:r>
        <w:rPr/>
        <w:t xml:space="preserve">  The model shall store Z as V × r and learned U as T × r and form the input residual by coefficient-space lookup and addition.</w:t>
      </w:r>
      <w:bookmarkEnd w:id="116"/>
    </w:p>
    <w:p>
      <w:pPr>
        <w:pStyle w:val="Requirement"/>
        <w:keepLines/>
        <w:rPr/>
      </w:pPr>
      <w:bookmarkStart w:id="117" w:name="CSA_ARC_002"/>
      <w:r>
        <w:rPr>
          <w:b/>
          <w:color w:val="1F4E79"/>
        </w:rPr>
        <w:t>CSA-ARC-002</w:t>
      </w:r>
      <w:r>
        <w:rPr/>
        <w:t xml:space="preserve">  Version 0.1 shall support the current learned-position GPT path and reject positional mechanisms without a declared width-compatible adapter.</w:t>
      </w:r>
      <w:bookmarkEnd w:id="117"/>
    </w:p>
    <w:p>
      <w:pPr>
        <w:pStyle w:val="Requirement"/>
        <w:keepLines/>
        <w:rPr/>
      </w:pPr>
      <w:bookmarkStart w:id="118" w:name="CSA_ARC_003"/>
      <w:r>
        <w:rPr>
          <w:b/>
          <w:color w:val="1F4E79"/>
        </w:rPr>
        <w:t>CSA-ARC-003</w:t>
      </w:r>
      <w:r>
        <w:rPr/>
        <w:t xml:space="preserve">  Each block shall preserve pre-norm attention and MLP order with coefficient-space residual additions.</w:t>
      </w:r>
      <w:bookmarkEnd w:id="118"/>
    </w:p>
    <w:p>
      <w:pPr>
        <w:pStyle w:val="Requirement"/>
        <w:keepLines/>
        <w:rPr/>
      </w:pPr>
      <w:bookmarkStart w:id="119" w:name="CSA_ARC_004"/>
      <w:r>
        <w:rPr>
          <w:b/>
          <w:color w:val="1F4E79"/>
        </w:rPr>
        <w:t>CSA-ARC-004</w:t>
      </w:r>
      <w:r>
        <w:rPr/>
        <w:t xml:space="preserve">  Width transforms and normalization shall act independently per token, and attention shall retain its causal mask.</w:t>
      </w:r>
      <w:bookmarkEnd w:id="119"/>
    </w:p>
    <w:p>
      <w:pPr>
        <w:pStyle w:val="Requirement"/>
        <w:keepLines/>
        <w:rPr/>
      </w:pPr>
      <w:bookmarkStart w:id="120" w:name="CSA_ARC_005"/>
      <w:r>
        <w:rPr>
          <w:b/>
          <w:color w:val="1F4E79"/>
        </w:rPr>
        <w:t>CSA-ARC-005</w:t>
      </w:r>
      <w:r>
        <w:rPr/>
        <w:t xml:space="preserve">  QKV and attention-output operators shall be stored directly with shapes 3A × r and r × A.</w:t>
      </w:r>
      <w:bookmarkEnd w:id="120"/>
    </w:p>
    <w:p>
      <w:pPr>
        <w:pStyle w:val="Requirement"/>
        <w:keepLines/>
        <w:rPr/>
      </w:pPr>
      <w:bookmarkStart w:id="121" w:name="CSA_ARC_006"/>
      <w:r>
        <w:rPr>
          <w:b/>
          <w:color w:val="1F4E79"/>
        </w:rPr>
        <w:t>CSA-ARC-006</w:t>
      </w:r>
      <w:r>
        <w:rPr/>
        <w:t xml:space="preserve">  MLP up and down operators shall be stored directly with shapes F × r and r × F.</w:t>
      </w:r>
      <w:bookmarkEnd w:id="121"/>
    </w:p>
    <w:p>
      <w:pPr>
        <w:pStyle w:val="Requirement"/>
        <w:keepLines/>
        <w:rPr/>
      </w:pPr>
      <w:bookmarkStart w:id="122" w:name="CSA_ARC_007"/>
      <w:r>
        <w:rPr>
          <w:b/>
          <w:color w:val="1F4E79"/>
        </w:rPr>
        <w:t>CSA-ARC-007</w:t>
      </w:r>
      <w:r>
        <w:rPr/>
        <w:t xml:space="preserve">  Attention head divisibility and KV-cache dimensions shall be determined by A rather than the retained residual width r.</w:t>
      </w:r>
      <w:bookmarkEnd w:id="122"/>
    </w:p>
    <w:p>
      <w:pPr>
        <w:pStyle w:val="Requirement"/>
        <w:keepLines/>
        <w:rPr/>
      </w:pPr>
      <w:bookmarkStart w:id="123" w:name="CSA_ARC_008"/>
      <w:r>
        <w:rPr>
          <w:b/>
          <w:color w:val="1F4E79"/>
        </w:rPr>
        <w:t>CSA-ARC-008</w:t>
      </w:r>
      <w:r>
        <w:rPr/>
        <w:t xml:space="preserve">  The MLP shall apply regular GELU in its F-wide hidden channels without represented-feature synthesis or tiled synthesized-feature GELU.</w:t>
      </w:r>
      <w:bookmarkEnd w:id="123"/>
    </w:p>
    <w:p>
      <w:pPr>
        <w:pStyle w:val="Requirement"/>
        <w:keepLines/>
        <w:rPr/>
      </w:pPr>
      <w:bookmarkStart w:id="124" w:name="CSA_ARC_009"/>
      <w:r>
        <w:rPr>
          <w:b/>
          <w:color w:val="1F4E79"/>
        </w:rPr>
        <w:t>CSA-ARC-009</w:t>
      </w:r>
      <w:r>
        <w:rPr/>
        <w:t xml:space="preserve">  Existing dropout probabilities and bias enablement shall apply to the produced channels, with residual-output biases of length r.</w:t>
      </w:r>
      <w:bookmarkEnd w:id="124"/>
    </w:p>
    <w:p>
      <w:pPr>
        <w:pStyle w:val="Requirement"/>
        <w:keepLines/>
        <w:rPr/>
      </w:pPr>
      <w:bookmarkStart w:id="125" w:name="CSA_ARC_010"/>
      <w:r>
        <w:rPr>
          <w:b/>
          <w:color w:val="1F4E79"/>
        </w:rPr>
        <w:t>CSA-ARC-010</w:t>
      </w:r>
      <w:r>
        <w:rPr/>
        <w:t xml:space="preserve">  The final head shall map coefficients directly to vocabulary logits and preserve existing weight-tying semantics and vocabulary loss.</w:t>
      </w:r>
      <w:bookmarkEnd w:id="125"/>
    </w:p>
    <w:p>
      <w:pPr>
        <w:pStyle w:val="Requirement"/>
        <w:keepLines/>
        <w:rPr/>
      </w:pPr>
      <w:bookmarkStart w:id="126" w:name="CSA_ARC_011"/>
      <w:r>
        <w:rPr>
          <w:b/>
          <w:color w:val="1F4E79"/>
        </w:rPr>
        <w:t>CSA-ARC-011</w:t>
      </w:r>
      <w:r>
        <w:rPr/>
        <w:t xml:space="preserve">  Normal head execution shall neither store nor construct a hypothetical D-wide head or reconstructed D-wide residual.</w:t>
      </w:r>
      <w:bookmarkEnd w:id="126"/>
    </w:p>
    <w:p>
      <w:pPr>
        <w:pStyle w:val="Requirement"/>
        <w:keepLines/>
        <w:rPr/>
      </w:pPr>
      <w:bookmarkStart w:id="127" w:name="CSA_ARC_012"/>
      <w:r>
        <w:rPr>
          <w:b/>
          <w:color w:val="1F4E79"/>
        </w:rPr>
        <w:t>CSA-ARC-012</w:t>
      </w:r>
      <w:r>
        <w:rPr/>
        <w:t xml:space="preserve">  Joint depth execution shall store compact P-operator banks and support direct accumulation of their contractions without materializing layer weight matrices.</w:t>
      </w:r>
      <w:bookmarkEnd w:id="127"/>
    </w:p>
    <w:p>
      <w:pPr>
        <w:pStyle w:val="Requirement"/>
        <w:keepLines/>
        <w:rPr/>
      </w:pPr>
      <w:bookmarkStart w:id="128" w:name="CSA_ARC_013"/>
      <w:r>
        <w:rPr>
          <w:b/>
          <w:color w:val="1F4E79"/>
        </w:rPr>
        <w:t>CSA-ARC-013</w:t>
      </w:r>
      <w:r>
        <w:rPr/>
        <w:t xml:space="preserve">  The existing depth participation control for normalization and bias vectors shall remain independent of width normalization; ln_f shall remain outside sampled block depth.</w:t>
      </w:r>
      <w:bookmarkEnd w:id="128"/>
    </w:p>
    <w:p>
      <w:pPr>
        <w:pStyle w:val="Requirement"/>
        <w:keepLines/>
        <w:rPr/>
      </w:pPr>
      <w:bookmarkStart w:id="129" w:name="CSA_ARC_014"/>
      <w:r>
        <w:rPr>
          <w:b/>
          <w:color w:val="1F4E79"/>
        </w:rPr>
        <w:t>CSA-ARC-014</w:t>
      </w:r>
      <w:r>
        <w:rPr/>
        <w:t xml:space="preserve">  Version 0.1 shall reject PLASTIC depth scheduling and additional element geometries in width mode until explicit compatibility is implemented.</w:t>
      </w:r>
      <w:bookmarkEnd w:id="129"/>
    </w:p>
    <w:p>
      <w:pPr>
        <w:pStyle w:val="Requirement"/>
        <w:keepLines/>
        <w:rPr/>
      </w:pPr>
      <w:bookmarkStart w:id="130" w:name="CSA_ARC_015"/>
      <w:r>
        <w:rPr>
          <w:b/>
          <w:color w:val="1F4E79"/>
        </w:rPr>
        <w:t>CSA-ARC-015</w:t>
      </w:r>
      <w:r>
        <w:rPr/>
        <w:t xml:space="preserve">  Compact linear operators shall use ordinary coefficient-to-channel and channel-to-coefficient matrix contractions without requiring polynomial-series multiplication or stored full-width precursor operators.</w:t>
      </w:r>
      <w:bookmarkEnd w:id="130"/>
    </w:p>
    <w:p>
      <w:pPr>
        <w:pStyle w:val="Requirement"/>
        <w:keepLines/>
        <w:rPr/>
      </w:pPr>
      <w:bookmarkStart w:id="131" w:name="CSA_ARC_016"/>
      <w:r>
        <w:rPr>
          <w:b/>
          <w:color w:val="1F4E79"/>
        </w:rPr>
        <w:t>CSA-ARC-016</w:t>
      </w:r>
      <w:r>
        <w:rPr/>
        <w:t xml:space="preserve">  Fresh-run coefficient tables and compact operators shall use existing role-specific initialization at their stored shapes and preserve the existing depth-bank initialization policy.</w:t>
      </w:r>
      <w:bookmarkEnd w:id="131"/>
    </w:p>
    <w:p>
      <w:pPr>
        <w:pStyle w:val="Heading1"/>
        <w:rPr/>
      </w:pPr>
      <w:bookmarkStart w:id="132" w:name="__RefHeading___Toc9448_2977050583"/>
      <w:bookmarkStart w:id="133" w:name="CSA_H_6"/>
      <w:bookmarkEnd w:id="132"/>
      <w:r>
        <w:rPr/>
        <w:t>Compressor Plug Ins</w:t>
      </w:r>
      <w:bookmarkEnd w:id="133"/>
    </w:p>
    <w:p>
      <w:pPr>
        <w:pStyle w:val="Heading2"/>
        <w:rPr/>
      </w:pPr>
      <w:bookmarkStart w:id="134" w:name="__RefHeading___Toc9450_2977050583"/>
      <w:bookmarkStart w:id="135" w:name="CSA_H_6_1"/>
      <w:bookmarkEnd w:id="134"/>
      <w:r>
        <w:rPr/>
        <w:t>Shared registry and first implementation sequence</w:t>
      </w:r>
      <w:bookmarkEnd w:id="135"/>
    </w:p>
    <w:p>
      <w:pPr>
        <w:pStyle w:val="Normal"/>
        <w:widowControl/>
        <w:rPr/>
      </w:pPr>
      <w:r>
        <w:rPr/>
        <w:t>“</w:t>
      </w:r>
      <w:r>
        <w:rPr/>
        <w:t>Compressor” remains the configuration term used by THOG; for this variant it selects a fixed spectral basis rather than a separately learned compression network. The width path consumes the shared registry’s family aliases, exact versions, coordinate policies, stabilization policies, and deterministic construction. It does not duplicate these definitions or hard-code a Chebyshev-specific model.</w:t>
      </w:r>
      <w:r>
        <w:rPr>
          <w:color w:val="5E6B78"/>
          <w:sz w:val="17"/>
        </w:rPr>
        <w:t xml:space="preserve">  [CSA</w:t>
        <w:noBreakHyphen/>
        <w:t>BAS</w:t>
        <w:noBreakHyphen/>
        <w:t>001]</w:t>
      </w:r>
    </w:p>
    <w:p>
      <w:pPr>
        <w:pStyle w:val="Normal"/>
        <w:widowControl/>
        <w:rPr/>
      </w:pPr>
      <w:r>
        <w:rPr/>
        <w:t>The first implementation and numerical certification should cover Chebyshev and DCT. Version 0.1 release availability includes all existing registered spectral families: Chebyshev, DCT, Haar, and lapped cosine, subject to their existing dimensional restrictions and the width contract. Haar and lapped cosine must be tested through the same adapter before release; a constant-first-mode assumption must not be imposed on every family. A non-basis element compressor such as JPEG-like geometry is not automatically a width basis.</w:t>
      </w:r>
      <w:r>
        <w:rPr>
          <w:color w:val="5E6B78"/>
          <w:sz w:val="17"/>
        </w:rPr>
        <w:t xml:space="preserve">  [CSA</w:t>
        <w:noBreakHyphen/>
        <w:t>BAS</w:t>
        <w:noBreakHyphen/>
        <w:t>002, CSA</w:t>
        <w:noBreakHyphen/>
        <w:t>BAS</w:t>
        <w:noBreakHyphen/>
        <w:t>003]</w:t>
      </w:r>
    </w:p>
    <w:p>
      <w:pPr>
        <w:pStyle w:val="Heading2"/>
        <w:rPr/>
      </w:pPr>
      <w:bookmarkStart w:id="136" w:name="__RefHeading___Toc9452_2977050583"/>
      <w:bookmarkStart w:id="137" w:name="CSA_H_6_2"/>
      <w:bookmarkEnd w:id="136"/>
      <w:r>
        <w:rPr/>
        <w:t>Capability and reproducibility contract</w:t>
      </w:r>
      <w:bookmarkEnd w:id="137"/>
    </w:p>
    <w:p>
      <w:pPr>
        <w:pStyle w:val="Normal"/>
        <w:widowControl/>
        <w:rPr/>
      </w:pPr>
      <w:r>
        <w:rPr/>
        <w:t>A width-capable basis provides r orthonormal columns over D reference samples, their ordered mode identities, and deterministic metadata. The width adapter transposes these columns to form C and records whether the constant-mode shortcut is valid. It uses the general projected LayerNorm when it is not. Invalid dimensions, rank, or versions produce explicit validation errors rather than a silent basis substitution.</w:t>
      </w:r>
      <w:r>
        <w:rPr>
          <w:color w:val="5E6B78"/>
          <w:sz w:val="17"/>
        </w:rPr>
        <w:t xml:space="preserve">  [CSA</w:t>
        <w:noBreakHyphen/>
        <w:t>BAS</w:t>
        <w:noBreakHyphen/>
        <w:t>004, CSA</w:t>
        <w:noBreakHyphen/>
        <w:t>BAS</w:t>
        <w:noBreakHyphen/>
        <w:t>005]</w:t>
      </w:r>
    </w:p>
    <w:p>
      <w:pPr>
        <w:pStyle w:val="Normal"/>
        <w:widowControl/>
        <w:rPr/>
      </w:pPr>
      <w:r>
        <w:rPr/>
        <w:t>The resolved family and exact version, coordinate and stabilization policies, dimensions, basis dtype, and a basis fingerprint are stored in run metadata and checkpoints. “Auto” may resolve a version when a new run starts; a resumed run must use its saved resolved version. Width and depth resolve their own scoped settings independently.</w:t>
      </w:r>
      <w:r>
        <w:rPr>
          <w:color w:val="5E6B78"/>
          <w:sz w:val="17"/>
        </w:rPr>
        <w:t xml:space="preserve">  [CSA</w:t>
        <w:noBreakHyphen/>
        <w:t>BAS</w:t>
        <w:noBreakHyphen/>
        <w:t>006]</w:t>
      </w:r>
    </w:p>
    <w:p>
      <w:pPr>
        <w:pStyle w:val="Heading2"/>
        <w:rPr/>
      </w:pPr>
      <w:bookmarkStart w:id="138" w:name="__RefHeading___Toc9454_2977050583"/>
      <w:bookmarkStart w:id="139" w:name="CSA_H_6_3"/>
      <w:bookmarkEnd w:id="138"/>
      <w:r>
        <w:rPr/>
        <w:t>Requirements</w:t>
      </w:r>
      <w:bookmarkEnd w:id="139"/>
    </w:p>
    <w:p>
      <w:pPr>
        <w:pStyle w:val="Requirement"/>
        <w:keepLines/>
        <w:rPr/>
      </w:pPr>
      <w:bookmarkStart w:id="140" w:name="CSA_BAS_001"/>
      <w:r>
        <w:rPr>
          <w:b/>
          <w:color w:val="1F4E79"/>
        </w:rPr>
        <w:t>CSA-BAS-001</w:t>
      </w:r>
      <w:r>
        <w:rPr/>
        <w:t xml:space="preserve">  Width basis selection shall reuse the shared registry, aliases, version resolution, coordinate policy, and stabilization implementation.</w:t>
      </w:r>
      <w:bookmarkEnd w:id="140"/>
    </w:p>
    <w:p>
      <w:pPr>
        <w:pStyle w:val="Requirement"/>
        <w:keepLines/>
        <w:rPr/>
      </w:pPr>
      <w:bookmarkStart w:id="141" w:name="CSA_BAS_002"/>
      <w:r>
        <w:rPr>
          <w:b/>
          <w:color w:val="1F4E79"/>
        </w:rPr>
        <w:t>CSA-BAS-002</w:t>
      </w:r>
      <w:r>
        <w:rPr/>
        <w:t xml:space="preserve">  Implementation shall certify Chebyshev and DCT first and provide width adapters and tests for every existing registered spectral family before v0.1 release.</w:t>
      </w:r>
      <w:bookmarkEnd w:id="141"/>
    </w:p>
    <w:p>
      <w:pPr>
        <w:pStyle w:val="Requirement"/>
        <w:keepLines/>
        <w:rPr/>
      </w:pPr>
      <w:bookmarkStart w:id="142" w:name="CSA_BAS_003"/>
      <w:r>
        <w:rPr>
          <w:b/>
          <w:color w:val="1F4E79"/>
        </w:rPr>
        <w:t>CSA-BAS-003</w:t>
      </w:r>
      <w:r>
        <w:rPr/>
        <w:t xml:space="preserve">  Width selection shall distinguish registered spectral bases from element compressors that do not satisfy the width-basis contract.</w:t>
      </w:r>
      <w:bookmarkEnd w:id="142"/>
    </w:p>
    <w:p>
      <w:pPr>
        <w:pStyle w:val="Requirement"/>
        <w:keepLines/>
        <w:rPr/>
      </w:pPr>
      <w:bookmarkStart w:id="143" w:name="CSA_BAS_004"/>
      <w:r>
        <w:rPr>
          <w:b/>
          <w:color w:val="1F4E79"/>
        </w:rPr>
        <w:t>CSA-BAS-004</w:t>
      </w:r>
      <w:r>
        <w:rPr/>
        <w:t xml:space="preserve">  The width adapter shall expose orthonormal columns, mode ordering, and constant-mode capability and select the appropriate compact normalization formula.</w:t>
      </w:r>
      <w:bookmarkEnd w:id="143"/>
    </w:p>
    <w:p>
      <w:pPr>
        <w:pStyle w:val="Requirement"/>
        <w:keepLines/>
        <w:rPr/>
      </w:pPr>
      <w:bookmarkStart w:id="144" w:name="CSA_BAS_005"/>
      <w:r>
        <w:rPr>
          <w:b/>
          <w:color w:val="1F4E79"/>
        </w:rPr>
        <w:t>CSA-BAS-005</w:t>
      </w:r>
      <w:r>
        <w:rPr/>
        <w:t xml:space="preserve">  Unsupported dimensions, unresolved numerical rank, and incompatible versions shall fail validation without substituting another basis.</w:t>
      </w:r>
      <w:bookmarkEnd w:id="144"/>
    </w:p>
    <w:p>
      <w:pPr>
        <w:pStyle w:val="Requirement"/>
        <w:keepLines/>
        <w:rPr/>
      </w:pPr>
      <w:bookmarkStart w:id="145" w:name="CSA_BAS_006"/>
      <w:r>
        <w:rPr>
          <w:b/>
          <w:color w:val="1F4E79"/>
        </w:rPr>
        <w:t>CSA-BAS-006</w:t>
      </w:r>
      <w:r>
        <w:rPr/>
        <w:t xml:space="preserve">  Runs and checkpoints shall persist independently resolved width and depth basis metadata and fingerprints, with saved exact versions authoritative on resume.</w:t>
      </w:r>
      <w:bookmarkEnd w:id="145"/>
    </w:p>
    <w:p>
      <w:pPr>
        <w:pStyle w:val="Heading1"/>
        <w:rPr/>
      </w:pPr>
      <w:bookmarkStart w:id="146" w:name="__RefHeading___Toc9456_2977050583"/>
      <w:bookmarkStart w:id="147" w:name="CSA_H_7"/>
      <w:bookmarkEnd w:id="146"/>
      <w:r>
        <w:rPr/>
        <w:t>Configuration and Hyperparameters</w:t>
      </w:r>
      <w:bookmarkEnd w:id="147"/>
    </w:p>
    <w:p>
      <w:pPr>
        <w:pStyle w:val="Heading2"/>
        <w:rPr/>
      </w:pPr>
      <w:bookmarkStart w:id="148" w:name="__RefHeading___Toc9458_2977050583"/>
      <w:bookmarkStart w:id="149" w:name="CSA_H_7_1"/>
      <w:bookmarkEnd w:id="148"/>
      <w:r>
        <w:rPr/>
        <w:t>Selection and preset meaning</w:t>
      </w:r>
      <w:bookmarkEnd w:id="149"/>
    </w:p>
    <w:p>
      <w:pPr>
        <w:pStyle w:val="Normal"/>
        <w:widowControl/>
        <w:rPr/>
      </w:pPr>
      <w:r>
        <w:rPr/>
        <w:t>The geometry method is named width-type-I, while WIDTH remains the option target. In v0.1 the explicit selection form supplies both --select-width and --geometry-preset width-type-I. The preset chooses the architecture defined here; the selector activates width. Neither activates depth. A joint run additionally supplies --select-depth and its scoped DEPTH options. This avoids a second combined preset name and keeps activation of each compression axis explicit.</w:t>
      </w:r>
      <w:r>
        <w:rPr>
          <w:color w:val="5E6B78"/>
          <w:sz w:val="17"/>
        </w:rPr>
        <w:t xml:space="preserve">  [CSA</w:t>
        <w:noBreakHyphen/>
        <w:t>CFG</w:t>
        <w:noBreakHyphen/>
        <w:t>001, CSA</w:t>
        <w:noBreakHyphen/>
        <w:t>CFG</w:t>
        <w:noBreakHyphen/>
        <w:t>002]</w:t>
      </w:r>
    </w:p>
    <w:p>
      <w:pPr>
        <w:pStyle w:val="Normal"/>
        <w:widowControl/>
        <w:rPr/>
      </w:pPr>
      <w:r>
        <w:rPr/>
        <w:t>A WIDTH option without width selection, a width preset without its selector, or a selector with an incompatible explicit preset is an error. Width requires an explicit coefficient count; there is no automatic guess. The retained count must be at least two and no greater than D, with any additional basis restrictions enforced. One constant coefficient is excluded because projected LayerNorm would remove all input-dependent centered variation.</w:t>
      </w:r>
      <w:r>
        <w:rPr>
          <w:color w:val="5E6B78"/>
          <w:sz w:val="17"/>
        </w:rPr>
        <w:t xml:space="preserve">  [CSA</w:t>
        <w:noBreakHyphen/>
        <w:t>CFG</w:t>
        <w:noBreakHyphen/>
        <w:t>003, CSA</w:t>
        <w:noBreakHyphen/>
        <w:t>CFG</w:t>
        <w:noBreakHyphen/>
        <w:t>004]</w:t>
      </w:r>
    </w:p>
    <w:p>
      <w:pPr>
        <w:pStyle w:val="Heading2"/>
        <w:rPr/>
      </w:pPr>
      <w:bookmarkStart w:id="150" w:name="__RefHeading___Toc9460_2977050583"/>
      <w:bookmarkStart w:id="151" w:name="CSA_H_7_2"/>
      <w:bookmarkEnd w:id="150"/>
      <w:r>
        <w:rPr/>
        <w:t>Architectural parameters</w:t>
      </w:r>
      <w:bookmarkEnd w:id="151"/>
    </w:p>
    <w:p>
      <w:pPr>
        <w:pStyle w:val="SpecCaption"/>
        <w:rPr/>
      </w:pPr>
      <w:r>
        <w:rPr/>
        <w:t>Architectural parameter contract</w:t>
      </w:r>
    </w:p>
    <w:tbl>
      <w:tblPr>
        <w:tblW w:w="9639" w:type="dxa"/>
        <w:jc w:val="left"/>
        <w:tblInd w:w="-8" w:type="dxa"/>
        <w:tblLayout w:type="fixed"/>
        <w:tblCellMar>
          <w:top w:w="90" w:type="dxa"/>
          <w:left w:w="100" w:type="dxa"/>
          <w:bottom w:w="90" w:type="dxa"/>
          <w:right w:w="100" w:type="dxa"/>
        </w:tblCellMar>
      </w:tblPr>
      <w:tblGrid>
        <w:gridCol w:w="3400"/>
        <w:gridCol w:w="4139"/>
        <w:gridCol w:w="2100"/>
      </w:tblGrid>
      <w:tr>
        <w:trPr>
          <w:tblHeader w:val="true"/>
        </w:trPr>
        <w:tc>
          <w:tcPr>
            <w:tcW w:w="34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Name or scoped assignment</w:t>
            </w:r>
          </w:p>
        </w:tc>
        <w:tc>
          <w:tcPr>
            <w:tcW w:w="4139"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Meaning and default</w:t>
            </w:r>
          </w:p>
        </w:tc>
        <w:tc>
          <w:tcPr>
            <w:tcW w:w="21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--select-width</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New boolean, default false. Activate residual-width parameterization.</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CSA-CFG-001</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--geometry-preset width-type-I</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New preset value. Direct coefficient embeddings, projected normalization at all sites, direct head, and compact matrix axes.</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CSA-CFG-001</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--option WIDTH.order=r</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Required when width is selected. Retained coefficient count; integer 2 ≤ r ≤ D, subject to basis validation.</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CSA-CFG-004</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--option WIDTH.compressor=chebyshev</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Width family. Default chebyshev; resolves through the existing registry. Independent of DEPTH.compressor.</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CSA-CFG-005</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--option WIDTH.compressor_version=auto</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Exact width version or auto. Default auto on a new run; resolved version is recorded.</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CSA-CFG-006</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--n-embd D</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reference width. In width mode D remains the reference dimension; the runtime residual width is r.</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CSA-CFG-007</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--n-layer L and --n-head</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executed block and attention head counts. A = D must satisfy existing head divisibility.</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CSA-CFG-007</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context, dropout and bias options</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Retain their current meanings. The current GPT path derives F = 4D; it is not changed to 4r.</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CSA-CFG-007</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--select-depth and --option DEPTH.order=P</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fixed depth controls. Omitted for width-only; require 1 ≤ P ≤ L when selected.</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CSA-CFG-008</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--option DEPTH.compressor and DEPTH.compressor_version</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independent depth family and version controls. Width does not override them.</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CSA-CFG-008</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--depth-compress-layer-norm-and-bias</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depth-vector participation control; default unchanged. It never switches off projected width LayerNorm.</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CSA-CFG-008</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--explain-geometry</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Existing explanation control. Adds D, r, A, F, L, P, active axes, basis metadata, and compact operator shapes.</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CSA-CFG-009</w:t>
            </w:r>
          </w:p>
        </w:tc>
      </w:tr>
    </w:tbl>
    <w:p>
      <w:pPr>
        <w:pStyle w:val="Normal"/>
        <w:spacing w:lineRule="auto" w:line="360" w:before="0" w:after="60"/>
        <w:rPr/>
      </w:pPr>
      <w:r>
        <w:rPr/>
      </w:r>
    </w:p>
    <w:p>
      <w:pPr>
        <w:pStyle w:val="Normal"/>
        <w:widowControl/>
        <w:rPr/>
      </w:pPr>
      <w:r>
        <w:rPr/>
        <w:t>The existing family@version compressor syntax remains available, so WIDTH.compressor=chebyshev@chebyshev_first_kind_qr_v1 is a version-pinned alternative to two assignments. A conflicting inline and separate version, duplicate assignment, or unknown WIDTH property is rejected. WIDTH.order is used rather than WIDTH-TYPE-I.order; the active preset supplies the variant context.</w:t>
      </w:r>
      <w:r>
        <w:rPr>
          <w:color w:val="5E6B78"/>
          <w:sz w:val="17"/>
        </w:rPr>
        <w:t xml:space="preserve">  [CSA</w:t>
        <w:noBreakHyphen/>
        <w:t>CFG</w:t>
        <w:noBreakHyphen/>
        <w:t>010]</w:t>
      </w:r>
    </w:p>
    <w:p>
      <w:pPr>
        <w:pStyle w:val="Heading2"/>
        <w:rPr/>
      </w:pPr>
      <w:bookmarkStart w:id="152" w:name="__RefHeading___Toc9462_2977050583"/>
      <w:bookmarkStart w:id="153" w:name="CSA_H_7_3"/>
      <w:bookmarkEnd w:id="152"/>
      <w:r>
        <w:rPr/>
        <w:t>Instrumentation parameters</w:t>
      </w:r>
      <w:bookmarkEnd w:id="153"/>
    </w:p>
    <w:p>
      <w:pPr>
        <w:pStyle w:val="Normal"/>
        <w:widowControl/>
        <w:rPr/>
      </w:pPr>
      <w:r>
        <w:rPr/>
        <w:t>The architectural options above and the capture options below form the complete enhancement hyperparameter summary. The capture prefix is --instrumentation__width_activation_curves__; each table suffix follows that exact prefix. Section 9 explains the measurements, cost, and execution semantics. Width capture defaults to off, and ordinary run metadata and loss logging remain available.</w:t>
      </w:r>
      <w:r>
        <w:rPr>
          <w:color w:val="5E6B78"/>
          <w:sz w:val="17"/>
        </w:rPr>
        <w:t xml:space="preserve">  [CSA</w:t>
        <w:noBreakHyphen/>
        <w:t>CFG</w:t>
        <w:noBreakHyphen/>
        <w:t>014, CSA</w:t>
        <w:noBreakHyphen/>
        <w:t>INS</w:t>
        <w:noBreakHyphen/>
        <w:t>012]</w:t>
      </w:r>
    </w:p>
    <w:p>
      <w:pPr>
        <w:pStyle w:val="SpecCaption"/>
        <w:rPr/>
      </w:pPr>
      <w:r>
        <w:rPr/>
        <w:t>Width instrumentation options using the common prefix</w:t>
      </w:r>
    </w:p>
    <w:tbl>
      <w:tblPr>
        <w:tblW w:w="9638" w:type="dxa"/>
        <w:jc w:val="left"/>
        <w:tblInd w:w="-8" w:type="dxa"/>
        <w:tblLayout w:type="fixed"/>
        <w:tblCellMar>
          <w:top w:w="90" w:type="dxa"/>
          <w:left w:w="100" w:type="dxa"/>
          <w:bottom w:w="90" w:type="dxa"/>
          <w:right w:w="100" w:type="dxa"/>
        </w:tblCellMar>
      </w:tblPr>
      <w:tblGrid>
        <w:gridCol w:w="2551"/>
        <w:gridCol w:w="2040"/>
        <w:gridCol w:w="2948"/>
        <w:gridCol w:w="2098"/>
      </w:tblGrid>
      <w:tr>
        <w:trPr>
          <w:tblHeader w:val="true"/>
        </w:trPr>
        <w:tc>
          <w:tcPr>
            <w:tcW w:w="2551"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Suffix</w:t>
            </w:r>
          </w:p>
        </w:tc>
        <w:tc>
          <w:tcPr>
            <w:tcW w:w="204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Default and domain</w:t>
            </w:r>
          </w:p>
        </w:tc>
        <w:tc>
          <w:tcPr>
            <w:tcW w:w="294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Crisp meaning</w:t>
            </w:r>
          </w:p>
        </w:tc>
        <w:tc>
          <w:tcPr>
            <w:tcW w:w="209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mode</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off; off | basic | probes</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Select additional capture. Probes includes basic summaries.</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CSA-INS-012</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log_every_n_steps</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100; positive integer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Basic capture cadence inside the step window.</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CSA-INS-013</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probe_every_n_steps</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1000; positive integer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Probe cadence; used only in probes mode and independent of basic cadence.</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CSA-INS-013</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history_length</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20; positive integer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Maximum retained capture records per run; rolling history.</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CSA-INS-014</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sample_tokens_per_layer</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8; positive integer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Upper bound on sampled token vectors at each captured residual site.</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CSA-INS-014</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feature_evaluation_points</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256; integer ≥ 2</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Maximum displayed synthesized feature samples; resolves to min(value, D).</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CSA-INS-014</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probe_orders</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auto or comma-separated integers 1 ≤ k &lt; 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Retained prefix sizes for ablation. Auto uses max(1, floor(r/2)).</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CSA-INS-015</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start_step</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0; nonnegative integer</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First eligible completed-update number, inclusive.</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CSA-INS-016</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end_step</w:t>
            </w:r>
          </w:p>
        </w:tc>
        <w:tc>
          <w:tcPr>
            <w:tcW w:w="204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 or integer ≥ start_step</w:t>
            </w:r>
          </w:p>
        </w:tc>
        <w:tc>
          <w:tcPr>
            <w:tcW w:w="294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Last eligible update, inclusive; -1 has no upper bound.</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CSA-INS-016</w:t>
            </w:r>
          </w:p>
        </w:tc>
      </w:tr>
    </w:tbl>
    <w:p>
      <w:pPr>
        <w:pStyle w:val="Normal"/>
        <w:spacing w:lineRule="auto" w:line="360" w:before="0" w:after="60"/>
        <w:rPr/>
      </w:pPr>
      <w:r>
        <w:rPr/>
      </w:r>
    </w:p>
    <w:p>
      <w:pPr>
        <w:pStyle w:val="Heading2"/>
        <w:rPr/>
      </w:pPr>
      <w:bookmarkStart w:id="154" w:name="__RefHeading___Toc9464_2977050583"/>
      <w:bookmarkStart w:id="155" w:name="CSA_H_7_4"/>
      <w:bookmarkEnd w:id="154"/>
      <w:r>
        <w:rPr/>
        <w:t>Legacy family and version controls</w:t>
      </w:r>
      <w:bookmarkEnd w:id="155"/>
    </w:p>
    <w:p>
      <w:pPr>
        <w:pStyle w:val="Normal"/>
        <w:widowControl/>
        <w:rPr/>
      </w:pPr>
      <w:r>
        <w:rPr/>
        <w:t>--basis-family and --basis-version remain valid for legacy presets; they are not removed or renamed. In the new width path the scoped WIDTH and DEPTH settings are authoritative. Explicit legacy global basis flags are rejected in this path with guidance to use scoped options, rather than being treated as a second source of width settings. Parser defaults do not count as explicit user flags. This requires extending the current resolver, which presently rejects a non-default preset with systematic selectors.</w:t>
      </w:r>
      <w:r>
        <w:rPr>
          <w:color w:val="5E6B78"/>
          <w:sz w:val="17"/>
        </w:rPr>
        <w:t xml:space="preserve">  [CSA</w:t>
        <w:noBreakHyphen/>
        <w:t>CFG</w:t>
        <w:noBreakHyphen/>
        <w:t>011, CSA</w:t>
        <w:noBreakHyphen/>
        <w:t>CFG</w:t>
        <w:noBreakHyphen/>
        <w:t>012]</w:t>
      </w:r>
    </w:p>
    <w:p>
      <w:pPr>
        <w:pStyle w:val="Heading2"/>
        <w:rPr/>
      </w:pPr>
      <w:bookmarkStart w:id="156" w:name="__RefHeading___Toc9466_2977050583"/>
      <w:bookmarkStart w:id="157" w:name="CSA_H_7_5"/>
      <w:bookmarkEnd w:id="156"/>
      <w:r>
        <w:rPr/>
        <w:t>Canonical selection examples</w:t>
      </w:r>
      <w:bookmarkEnd w:id="157"/>
    </w:p>
    <w:p>
      <w:pPr>
        <w:pStyle w:val="Normal"/>
        <w:widowControl/>
        <w:rPr/>
      </w:pPr>
      <w:r>
        <w:rPr/>
        <w:t>These fragments illustrate the architecture controls to append to an existing training command. The full data, training, and logging arguments remain the existing run’s responsibility. The width example uses an aggressive 128-of-1024 setting to make the shape distinction visible; its quality and numerical basis validity must be tested, not assumed.</w:t>
      </w:r>
      <w:r>
        <w:rPr>
          <w:color w:val="5E6B78"/>
          <w:sz w:val="17"/>
        </w:rPr>
        <w:t xml:space="preserve">  [CSA</w:t>
        <w:noBreakHyphen/>
        <w:t>CFG</w:t>
        <w:noBreakHyphen/>
        <w:t>013]</w:t>
      </w:r>
    </w:p>
    <w:p>
      <w:pPr>
        <w:pStyle w:val="SpecCode"/>
        <w:keepLines/>
        <w:rPr/>
      </w:pPr>
      <w:r>
        <w:rPr/>
        <w:t>--geometry-preset width-type-I</w:t>
      </w:r>
    </w:p>
    <w:p>
      <w:pPr>
        <w:pStyle w:val="SpecCode"/>
        <w:keepLines/>
        <w:rPr/>
      </w:pPr>
      <w:r>
        <w:rPr/>
        <w:t>--select-width</w:t>
      </w:r>
    </w:p>
    <w:p>
      <w:pPr>
        <w:pStyle w:val="SpecCode"/>
        <w:keepLines/>
        <w:rPr/>
      </w:pPr>
      <w:r>
        <w:rPr/>
        <w:t>--n-embd 1024 --n-head 16 --n-layer 16</w:t>
      </w:r>
    </w:p>
    <w:p>
      <w:pPr>
        <w:pStyle w:val="SpecCode"/>
        <w:keepLines/>
        <w:rPr/>
      </w:pPr>
      <w:r>
        <w:rPr/>
        <w:t>--option WIDTH.order=128</w:t>
      </w:r>
    </w:p>
    <w:p>
      <w:pPr>
        <w:pStyle w:val="SpecCode"/>
        <w:keepLines/>
        <w:rPr/>
      </w:pPr>
      <w:r>
        <w:rPr/>
        <w:t>--option WIDTH.compressor=chebyshev</w:t>
      </w:r>
    </w:p>
    <w:p>
      <w:pPr>
        <w:pStyle w:val="SpecCode"/>
        <w:keepLines/>
        <w:rPr/>
      </w:pPr>
      <w:r>
        <w:rPr/>
        <w:t>--option WIDTH.compressor_version=auto</w:t>
      </w:r>
    </w:p>
    <w:p>
      <w:pPr>
        <w:pStyle w:val="SpecReference"/>
        <w:rPr/>
      </w:pPr>
      <w:r>
        <w:rPr/>
        <w:t>[CSA-CFG-013]</w:t>
      </w:r>
    </w:p>
    <w:p>
      <w:pPr>
        <w:pStyle w:val="Normal"/>
        <w:widowControl/>
        <w:rPr/>
      </w:pPr>
      <w:r>
        <w:rPr/>
        <w:t>For joint fixed depth and width, append the following independent depth selections. Eight coefficient matrices represent sixteen executed block positions; the run still executes all sixteen blocks.</w:t>
      </w:r>
      <w:r>
        <w:rPr>
          <w:color w:val="5E6B78"/>
          <w:sz w:val="17"/>
        </w:rPr>
        <w:t xml:space="preserve">  [CSA</w:t>
        <w:noBreakHyphen/>
        <w:t>CFG</w:t>
        <w:noBreakHyphen/>
        <w:t>002, CSA</w:t>
        <w:noBreakHyphen/>
        <w:t>CFG</w:t>
        <w:noBreakHyphen/>
        <w:t>008]</w:t>
      </w:r>
    </w:p>
    <w:p>
      <w:pPr>
        <w:pStyle w:val="SpecCode"/>
        <w:keepLines/>
        <w:rPr/>
      </w:pPr>
      <w:r>
        <w:rPr/>
        <w:t>--select-depth</w:t>
      </w:r>
    </w:p>
    <w:p>
      <w:pPr>
        <w:pStyle w:val="SpecCode"/>
        <w:keepLines/>
        <w:rPr/>
      </w:pPr>
      <w:r>
        <w:rPr/>
        <w:t>--option DEPTH.order=8</w:t>
      </w:r>
    </w:p>
    <w:p>
      <w:pPr>
        <w:pStyle w:val="SpecCode"/>
        <w:keepLines/>
        <w:rPr/>
      </w:pPr>
      <w:r>
        <w:rPr/>
        <w:t>--option DEPTH.compressor=chebyshev</w:t>
      </w:r>
    </w:p>
    <w:p>
      <w:pPr>
        <w:pStyle w:val="SpecCode"/>
        <w:keepLines/>
        <w:rPr/>
      </w:pPr>
      <w:r>
        <w:rPr/>
        <w:t>--option DEPTH.compressor_version=auto</w:t>
      </w:r>
    </w:p>
    <w:p>
      <w:pPr>
        <w:pStyle w:val="SpecReference"/>
        <w:rPr/>
      </w:pPr>
      <w:r>
        <w:rPr/>
        <w:t>[CSA-CFG-002, CSA-CFG-008]</w:t>
      </w:r>
    </w:p>
    <w:p>
      <w:pPr>
        <w:pStyle w:val="Heading2"/>
        <w:rPr/>
      </w:pPr>
      <w:bookmarkStart w:id="158" w:name="__RefHeading___Toc9468_2977050583"/>
      <w:bookmarkStart w:id="159" w:name="CSA_H_7_6"/>
      <w:bookmarkEnd w:id="158"/>
      <w:r>
        <w:rPr/>
        <w:t>Requirements</w:t>
      </w:r>
      <w:bookmarkEnd w:id="159"/>
    </w:p>
    <w:p>
      <w:pPr>
        <w:pStyle w:val="Requirement"/>
        <w:keepLines/>
        <w:rPr/>
      </w:pPr>
      <w:bookmarkStart w:id="160" w:name="CSA_CFG_001"/>
      <w:r>
        <w:rPr>
          <w:b/>
          <w:color w:val="1F4E79"/>
        </w:rPr>
        <w:t>CSA-CFG-001</w:t>
      </w:r>
      <w:r>
        <w:rPr/>
        <w:t xml:space="preserve">  Version 0.1 shall recognize --select-width with --geometry-preset width-type-I and use WIDTH as the scoped option target.</w:t>
      </w:r>
      <w:bookmarkEnd w:id="160"/>
    </w:p>
    <w:p>
      <w:pPr>
        <w:pStyle w:val="Requirement"/>
        <w:keepLines/>
        <w:rPr/>
      </w:pPr>
      <w:bookmarkStart w:id="161" w:name="CSA_CFG_002"/>
      <w:r>
        <w:rPr>
          <w:b/>
          <w:color w:val="1F4E79"/>
        </w:rPr>
        <w:t>CSA-CFG-002</w:t>
      </w:r>
      <w:r>
        <w:rPr/>
        <w:t xml:space="preserve">  Width selection shall not enable depth implicitly; the same width preset shall compose with explicit fixed --select-depth.</w:t>
      </w:r>
      <w:bookmarkEnd w:id="161"/>
    </w:p>
    <w:p>
      <w:pPr>
        <w:pStyle w:val="Requirement"/>
        <w:keepLines/>
        <w:rPr/>
      </w:pPr>
      <w:bookmarkStart w:id="162" w:name="CSA_CFG_003"/>
      <w:r>
        <w:rPr>
          <w:b/>
          <w:color w:val="1F4E79"/>
        </w:rPr>
        <w:t>CSA-CFG-003</w:t>
      </w:r>
      <w:r>
        <w:rPr/>
        <w:t xml:space="preserve">  Selection validation shall reject inactive WIDTH options, a width preset without its selector, and incompatible explicit presets.</w:t>
      </w:r>
      <w:bookmarkEnd w:id="162"/>
    </w:p>
    <w:p>
      <w:pPr>
        <w:pStyle w:val="Requirement"/>
        <w:keepLines/>
        <w:rPr/>
      </w:pPr>
      <w:bookmarkStart w:id="163" w:name="CSA_CFG_004"/>
      <w:r>
        <w:rPr>
          <w:b/>
          <w:color w:val="1F4E79"/>
        </w:rPr>
        <w:t>CSA-CFG-004</w:t>
      </w:r>
      <w:r>
        <w:rPr/>
        <w:t xml:space="preserve">  WIDTH.order shall be required and shall be an integer coefficient count from 2 through D subject to basis-specific validity.</w:t>
      </w:r>
      <w:bookmarkEnd w:id="163"/>
    </w:p>
    <w:p>
      <w:pPr>
        <w:pStyle w:val="Requirement"/>
        <w:keepLines/>
        <w:rPr/>
      </w:pPr>
      <w:bookmarkStart w:id="164" w:name="CSA_CFG_005"/>
      <w:r>
        <w:rPr>
          <w:b/>
          <w:color w:val="1F4E79"/>
        </w:rPr>
        <w:t>CSA-CFG-005</w:t>
      </w:r>
      <w:r>
        <w:rPr/>
        <w:t xml:space="preserve">  WIDTH.compressor shall default to chebyshev and resolve independently of the selected depth family.</w:t>
      </w:r>
      <w:bookmarkEnd w:id="164"/>
    </w:p>
    <w:p>
      <w:pPr>
        <w:pStyle w:val="Requirement"/>
        <w:keepLines/>
        <w:rPr/>
      </w:pPr>
      <w:bookmarkStart w:id="165" w:name="CSA_CFG_006"/>
      <w:r>
        <w:rPr>
          <w:b/>
          <w:color w:val="1F4E79"/>
        </w:rPr>
        <w:t>CSA-CFG-006</w:t>
      </w:r>
      <w:r>
        <w:rPr/>
        <w:t xml:space="preserve">  WIDTH.compressor_version shall default to auto for new runs and record the resolved exact version.</w:t>
      </w:r>
      <w:bookmarkEnd w:id="165"/>
    </w:p>
    <w:p>
      <w:pPr>
        <w:pStyle w:val="Requirement"/>
        <w:keepLines/>
        <w:rPr/>
      </w:pPr>
      <w:bookmarkStart w:id="166" w:name="CSA_CFG_007"/>
      <w:r>
        <w:rPr>
          <w:b/>
          <w:color w:val="1F4E79"/>
        </w:rPr>
        <w:t>CSA-CFG-007</w:t>
      </w:r>
      <w:r>
        <w:rPr/>
        <w:t xml:space="preserve">  The current GPT path shall retain D from --n-embd, A = D, F = 4D, and existing block, head, context, dropout, and bias meanings.</w:t>
      </w:r>
      <w:bookmarkEnd w:id="166"/>
    </w:p>
    <w:p>
      <w:pPr>
        <w:pStyle w:val="Requirement"/>
        <w:keepLines/>
        <w:rPr/>
      </w:pPr>
      <w:bookmarkStart w:id="167" w:name="CSA_CFG_008"/>
      <w:r>
        <w:rPr>
          <w:b/>
          <w:color w:val="1F4E79"/>
        </w:rPr>
        <w:t>CSA-CFG-008</w:t>
      </w:r>
      <w:r>
        <w:rPr/>
        <w:t xml:space="preserve">  Joint width and depth shall preserve scoped DEPTH controls and existing depth-vector participation semantics, with 1 ≤ P ≤ L.</w:t>
      </w:r>
      <w:bookmarkEnd w:id="167"/>
    </w:p>
    <w:p>
      <w:pPr>
        <w:pStyle w:val="Requirement"/>
        <w:keepLines/>
        <w:rPr/>
      </w:pPr>
      <w:bookmarkStart w:id="168" w:name="CSA_CFG_009"/>
      <w:r>
        <w:rPr>
          <w:b/>
          <w:color w:val="1F4E79"/>
        </w:rPr>
        <w:t>CSA-CFG-009</w:t>
      </w:r>
      <w:r>
        <w:rPr/>
        <w:t xml:space="preserve">  --explain-geometry shall report active axes, reference and runtime dimensions, basis metadata, and compact operator shapes.</w:t>
      </w:r>
      <w:bookmarkEnd w:id="168"/>
    </w:p>
    <w:p>
      <w:pPr>
        <w:pStyle w:val="Requirement"/>
        <w:keepLines/>
        <w:rPr/>
      </w:pPr>
      <w:bookmarkStart w:id="169" w:name="CSA_CFG_010"/>
      <w:r>
        <w:rPr>
          <w:b/>
          <w:color w:val="1F4E79"/>
        </w:rPr>
        <w:t>CSA-CFG-010</w:t>
      </w:r>
      <w:r>
        <w:rPr/>
        <w:t xml:space="preserve">  WIDTH parsing shall preserve family@version syntax and reject conflicting versions, duplicate assignments, and unknown properties.</w:t>
      </w:r>
      <w:bookmarkEnd w:id="169"/>
    </w:p>
    <w:p>
      <w:pPr>
        <w:pStyle w:val="Requirement"/>
        <w:keepLines/>
        <w:rPr/>
      </w:pPr>
      <w:bookmarkStart w:id="170" w:name="CSA_CFG_011"/>
      <w:r>
        <w:rPr>
          <w:b/>
          <w:color w:val="1F4E79"/>
        </w:rPr>
        <w:t>CSA-CFG-011</w:t>
      </w:r>
      <w:r>
        <w:rPr/>
        <w:t xml:space="preserve">  Legacy global basis flags shall retain their legacy behavior but explicitly supplied instances shall be rejected in the scoped width path.</w:t>
      </w:r>
      <w:bookmarkEnd w:id="170"/>
    </w:p>
    <w:p>
      <w:pPr>
        <w:pStyle w:val="Requirement"/>
        <w:keepLines/>
        <w:rPr/>
      </w:pPr>
      <w:bookmarkStart w:id="171" w:name="CSA_CFG_012"/>
      <w:r>
        <w:rPr>
          <w:b/>
          <w:color w:val="1F4E79"/>
        </w:rPr>
        <w:t>CSA-CFG-012</w:t>
      </w:r>
      <w:r>
        <w:rPr/>
        <w:t xml:space="preserve">  The geometry resolver shall accept the specified width preset with width and optional depth selectors without changing unrelated legacy resolutions.</w:t>
      </w:r>
      <w:bookmarkEnd w:id="171"/>
    </w:p>
    <w:p>
      <w:pPr>
        <w:pStyle w:val="Requirement"/>
        <w:keepLines/>
        <w:rPr/>
      </w:pPr>
      <w:bookmarkStart w:id="172" w:name="CSA_CFG_013"/>
      <w:r>
        <w:rPr>
          <w:b/>
          <w:color w:val="1F4E79"/>
        </w:rPr>
        <w:t>CSA-CFG-013</w:t>
      </w:r>
      <w:r>
        <w:rPr/>
        <w:t xml:space="preserve">  Command examples shall identify their reference dimensions and coefficient counts and shall not imply certified quality or numerical validity from selection alone.</w:t>
      </w:r>
      <w:bookmarkEnd w:id="172"/>
    </w:p>
    <w:p>
      <w:pPr>
        <w:pStyle w:val="Requirement"/>
        <w:keepLines/>
        <w:rPr/>
      </w:pPr>
      <w:bookmarkStart w:id="173" w:name="CSA_CFG_014"/>
      <w:r>
        <w:rPr>
          <w:b/>
          <w:color w:val="1F4E79"/>
        </w:rPr>
        <w:t>CSA-CFG-014</w:t>
      </w:r>
      <w:r>
        <w:rPr/>
        <w:t xml:space="preserve">  The hyperparameter summary shall include the complete width-capture option set and identify its shared namespace and cross-reference to capture behavior.</w:t>
      </w:r>
      <w:bookmarkEnd w:id="173"/>
    </w:p>
    <w:p>
      <w:pPr>
        <w:pStyle w:val="Heading1"/>
        <w:rPr/>
      </w:pPr>
      <w:bookmarkStart w:id="174" w:name="__RefHeading___Toc9470_2977050583"/>
      <w:bookmarkStart w:id="175" w:name="CSA_H_8"/>
      <w:bookmarkEnd w:id="174"/>
      <w:r>
        <w:rPr/>
        <w:t>Memory and Processing Expectations</w:t>
      </w:r>
      <w:bookmarkEnd w:id="175"/>
    </w:p>
    <w:p>
      <w:pPr>
        <w:pStyle w:val="Heading2"/>
        <w:rPr/>
      </w:pPr>
      <w:bookmarkStart w:id="176" w:name="__RefHeading___Toc9472_2977050583"/>
      <w:bookmarkStart w:id="177" w:name="CSA_H_8_1"/>
      <w:bookmarkEnd w:id="176"/>
      <w:r>
        <w:rPr/>
        <w:t>Where parameter storage falls</w:t>
      </w:r>
      <w:bookmarkEnd w:id="177"/>
    </w:p>
    <w:p>
      <w:pPr>
        <w:pStyle w:val="Normal"/>
        <w:widowControl/>
        <w:rPr/>
      </w:pPr>
      <w:r>
        <w:rPr/>
        <w:t>For the existing non-gated GPT block, the four large matrix families contain 4DA + 2DF learned values per block. Reducing only the residual-facing axis replaces D by r in these counts. Adding depth compression replaces the number of separately stored blocks L by coefficient count P. This gives the following core-matrix ratios; it does not include embeddings, affine vectors, buffers, or optimizer-specific overhead.</w:t>
      </w:r>
      <w:r>
        <w:rPr>
          <w:color w:val="5E6B78"/>
          <w:sz w:val="17"/>
        </w:rPr>
        <w:t xml:space="preserve">  [CSA</w:t>
        <w:noBreakHyphen/>
        <w:t>MEM</w:t>
        <w:noBreakHyphen/>
        <w:t>001]</w:t>
      </w:r>
    </w:p>
    <w:p>
      <w:pPr>
        <w:pStyle w:val="Normal"/>
        <w:keepNext w:val="true"/>
        <w:keepLines/>
        <w:spacing w:before="80" w:after="80"/>
        <w:jc w:val="center"/>
        <w:rPr/>
      </w:pPr>
      <w:r>
        <w:rPr/>
        <w:drawing>
          <wp:inline distT="0" distB="0" distL="0" distR="0">
            <wp:extent cx="1801495" cy="164465"/>
            <wp:effectExtent l="0" t="0" r="0" b="0"/>
            <wp:docPr id="21" name="Picture 21" descr="M_{\mathsf{dense}}=L(4DA+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_{\mathsf{dense}}=L(4DA+2DF)"/>
                    <pic:cNvPicPr>
                      <a:picLocks noChangeAspect="1" noChangeArrowheads="1"/>
                    </pic:cNvPicPr>
                  </pic:nvPicPr>
                  <pic:blipFill>
                    <a:blip r:embed="rId22"/>
                    <a:stretch>
                      <a:fillRect/>
                    </a:stretch>
                  </pic:blipFill>
                  <pic:spPr bwMode="auto">
                    <a:xfrm>
                      <a:off x="0" y="0"/>
                      <a:ext cx="1801495" cy="164465"/>
                    </a:xfrm>
                    <a:prstGeom prst="rect">
                      <a:avLst/>
                    </a:prstGeom>
                  </pic:spPr>
                </pic:pic>
              </a:graphicData>
            </a:graphic>
          </wp:inline>
        </w:drawing>
      </w:r>
    </w:p>
    <w:p>
      <w:pPr>
        <w:pStyle w:val="Normal"/>
        <w:keepNext w:val="true"/>
        <w:keepLines/>
        <w:spacing w:before="80" w:after="80"/>
        <w:jc w:val="center"/>
        <w:rPr/>
      </w:pPr>
      <w:r>
        <w:rPr/>
        <w:drawing>
          <wp:inline distT="0" distB="0" distL="0" distR="0">
            <wp:extent cx="3810000" cy="164465"/>
            <wp:effectExtent l="0" t="0" r="0" b="0"/>
            <wp:docPr id="22" name="Picture 22" descr="M_{\mathsf{width}}=L(4rA+2rF),\quad M_{\mathsf{combined}}=P(4rA+2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_{\mathsf{width}}=L(4rA+2rF),\quad M_{\mathsf{combined}}=P(4rA+2rF)"/>
                    <pic:cNvPicPr>
                      <a:picLocks noChangeAspect="1" noChangeArrowheads="1"/>
                    </pic:cNvPicPr>
                  </pic:nvPicPr>
                  <pic:blipFill>
                    <a:blip r:embed="rId23"/>
                    <a:stretch>
                      <a:fillRect/>
                    </a:stretch>
                  </pic:blipFill>
                  <pic:spPr bwMode="auto">
                    <a:xfrm>
                      <a:off x="0" y="0"/>
                      <a:ext cx="3810000" cy="164465"/>
                    </a:xfrm>
                    <a:prstGeom prst="rect">
                      <a:avLst/>
                    </a:prstGeom>
                  </pic:spPr>
                </pic:pic>
              </a:graphicData>
            </a:graphic>
          </wp:inline>
        </w:drawing>
      </w:r>
    </w:p>
    <w:p>
      <w:pPr>
        <w:pStyle w:val="Normal"/>
        <w:keepNext w:val="true"/>
        <w:keepLines/>
        <w:spacing w:before="80" w:after="80"/>
        <w:jc w:val="center"/>
        <w:rPr/>
      </w:pPr>
      <w:r>
        <w:rPr/>
        <w:drawing>
          <wp:inline distT="0" distB="0" distL="0" distR="0">
            <wp:extent cx="926465" cy="265430"/>
            <wp:effectExtent l="0" t="0" r="0" b="0"/>
            <wp:docPr id="23" name="Picture 23" descr="\frac{M_{\mathsf{combined}}}{M_{\mathsf{dense}}}=\frac{P}{L}\fra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rac{M_{\mathsf{combined}}}{M_{\mathsf{dense}}}=\frac{P}{L}\frac{r}{D}"/>
                    <pic:cNvPicPr>
                      <a:picLocks noChangeAspect="1" noChangeArrowheads="1"/>
                    </pic:cNvPicPr>
                  </pic:nvPicPr>
                  <pic:blipFill>
                    <a:blip r:embed="rId24"/>
                    <a:stretch>
                      <a:fillRect/>
                    </a:stretch>
                  </pic:blipFill>
                  <pic:spPr bwMode="auto">
                    <a:xfrm>
                      <a:off x="0" y="0"/>
                      <a:ext cx="926465" cy="265430"/>
                    </a:xfrm>
                    <a:prstGeom prst="rect">
                      <a:avLst/>
                    </a:prstGeom>
                  </pic:spPr>
                </pic:pic>
              </a:graphicData>
            </a:graphic>
          </wp:inline>
        </w:drawing>
      </w:r>
    </w:p>
    <w:p>
      <w:pPr>
        <w:pStyle w:val="SpecReference"/>
        <w:jc w:val="right"/>
        <w:rPr/>
      </w:pPr>
      <w:r>
        <w:rPr/>
        <w:t>[CSA</w:t>
        <w:noBreakHyphen/>
        <w:t>MEM</w:t>
        <w:noBreakHyphen/>
        <w:t>001]</w:t>
      </w:r>
    </w:p>
    <w:p>
      <w:pPr>
        <w:pStyle w:val="SpecCaption"/>
        <w:rPr/>
      </w:pPr>
      <w:r>
        <w:rPr/>
        <w:t>Core-matrix parameter retention with unchanged A and F</w:t>
      </w:r>
    </w:p>
    <w:tbl>
      <w:tblPr>
        <w:tblW w:w="9638" w:type="dxa"/>
        <w:jc w:val="left"/>
        <w:tblInd w:w="-8" w:type="dxa"/>
        <w:tblLayout w:type="fixed"/>
        <w:tblCellMar>
          <w:top w:w="90" w:type="dxa"/>
          <w:left w:w="100" w:type="dxa"/>
          <w:bottom w:w="90" w:type="dxa"/>
          <w:right w:w="100" w:type="dxa"/>
        </w:tblCellMar>
      </w:tblPr>
      <w:tblGrid>
        <w:gridCol w:w="2551"/>
        <w:gridCol w:w="1927"/>
        <w:gridCol w:w="3061"/>
        <w:gridCol w:w="2098"/>
      </w:tblGrid>
      <w:tr>
        <w:trPr>
          <w:tblHeader w:val="true"/>
        </w:trPr>
        <w:tc>
          <w:tcPr>
            <w:tcW w:w="2551"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Selection</w:t>
            </w:r>
          </w:p>
        </w:tc>
        <w:tc>
          <w:tcPr>
            <w:tcW w:w="1927"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Retained fraction</w:t>
            </w:r>
          </w:p>
        </w:tc>
        <w:tc>
          <w:tcPr>
            <w:tcW w:w="3061"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Example</w:t>
            </w:r>
          </w:p>
        </w:tc>
        <w:tc>
          <w:tcPr>
            <w:tcW w:w="209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Width only</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r/D</w:t>
            </w:r>
          </w:p>
        </w:tc>
        <w:tc>
          <w:tcPr>
            <w:tcW w:w="306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 = D/2 retains 50%, saving 50%.</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CSA-MEM-001</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Depth only</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P/L</w:t>
            </w:r>
          </w:p>
        </w:tc>
        <w:tc>
          <w:tcPr>
            <w:tcW w:w="306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 = L/2 retains 50%, saving 50%.</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CSA-MEM-001</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Width and depth</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(r/D)(P/L)</w:t>
            </w:r>
          </w:p>
        </w:tc>
        <w:tc>
          <w:tcPr>
            <w:tcW w:w="306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Both halves retain 25%, saving 75%.</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CSA-MEM-002</w:t>
            </w:r>
          </w:p>
        </w:tc>
      </w:tr>
      <w:tr>
        <w:trPr>
          <w:cantSplit w:val="true"/>
        </w:trPr>
        <w:tc>
          <w:tcPr>
            <w:tcW w:w="255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 = 1024, r = 128, L = 16, P = 8</w:t>
            </w:r>
          </w:p>
        </w:tc>
        <w:tc>
          <w:tcPr>
            <w:tcW w:w="1927"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1/16</w:t>
            </w:r>
          </w:p>
        </w:tc>
        <w:tc>
          <w:tcPr>
            <w:tcW w:w="3061"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Retains 6.25%, saving 93.75% of these core matrices.</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CSA-MEM-002</w:t>
            </w:r>
          </w:p>
        </w:tc>
      </w:tr>
    </w:tbl>
    <w:p>
      <w:pPr>
        <w:pStyle w:val="Normal"/>
        <w:spacing w:lineRule="auto" w:line="360" w:before="0" w:after="60"/>
        <w:rPr/>
      </w:pPr>
      <w:r>
        <w:rPr/>
      </w:r>
    </w:p>
    <w:p>
      <w:pPr>
        <w:pStyle w:val="Normal"/>
        <w:widowControl/>
        <w:rPr/>
      </w:pPr>
      <w:r>
        <w:rPr/>
        <w:t>Token and learned position tables scale linearly with r/D. A tied vocabulary head adds no second copy of the token table; an untied compact head has the same linear ratio. Gradients and optimizer states associated with smaller learned arrays normally shrink with those arrays, but their exact byte counts depend on precision and optimizer implementation. D-wide LayerNorm affine vectors remain, unless separately depth-compressed by existing controls.</w:t>
      </w:r>
      <w:r>
        <w:rPr>
          <w:color w:val="5E6B78"/>
          <w:sz w:val="17"/>
        </w:rPr>
        <w:t xml:space="preserve">  [CSA</w:t>
        <w:noBreakHyphen/>
        <w:t>MEM</w:t>
        <w:noBreakHyphen/>
        <w:t>003]</w:t>
      </w:r>
    </w:p>
    <w:p>
      <w:pPr>
        <w:pStyle w:val="Heading2"/>
        <w:rPr/>
      </w:pPr>
      <w:bookmarkStart w:id="178" w:name="__RefHeading___Toc9474_2977050583"/>
      <w:bookmarkStart w:id="179" w:name="CSA_H_8_2"/>
      <w:bookmarkEnd w:id="178"/>
      <w:r>
        <w:rPr/>
        <w:t>The normalization intermediate</w:t>
      </w:r>
      <w:bookmarkEnd w:id="179"/>
    </w:p>
    <w:p>
      <w:pPr>
        <w:pStyle w:val="Normal"/>
        <w:widowControl/>
        <w:rPr/>
      </w:pPr>
      <w:r>
        <w:rPr/>
        <w:t>For D = 1024 and r = 128, the fixed C is a 128 × 1024 matrix. γ is a 1024-value vector. Scaling C’s columns can produce a temporary matrix the same size as C, followed by a 128 × 128 G. The vector is not the intermediate matrix. The table shows float32 bytes for one normalization construction, excluding autograd storage and any simultaneous operators.</w:t>
      </w:r>
      <w:r>
        <w:rPr>
          <w:color w:val="5E6B78"/>
          <w:sz w:val="17"/>
        </w:rPr>
        <w:t xml:space="preserve">  [CSA</w:t>
        <w:noBreakHyphen/>
        <w:t>MEM</w:t>
        <w:noBreakHyphen/>
        <w:t>004]</w:t>
      </w:r>
    </w:p>
    <w:p>
      <w:pPr>
        <w:pStyle w:val="SpecCaption"/>
        <w:rPr/>
      </w:pPr>
      <w:r>
        <w:rPr/>
        <w:t>Illustrative float32 normalization storage</w:t>
      </w:r>
    </w:p>
    <w:tbl>
      <w:tblPr>
        <w:tblW w:w="9639" w:type="dxa"/>
        <w:jc w:val="left"/>
        <w:tblInd w:w="-8" w:type="dxa"/>
        <w:tblLayout w:type="fixed"/>
        <w:tblCellMar>
          <w:top w:w="90" w:type="dxa"/>
          <w:left w:w="100" w:type="dxa"/>
          <w:bottom w:w="90" w:type="dxa"/>
          <w:right w:w="100" w:type="dxa"/>
        </w:tblCellMar>
      </w:tblPr>
      <w:tblGrid>
        <w:gridCol w:w="2833"/>
        <w:gridCol w:w="1929"/>
        <w:gridCol w:w="2778"/>
        <w:gridCol w:w="2098"/>
      </w:tblGrid>
      <w:tr>
        <w:trPr>
          <w:tblHeader w:val="true"/>
        </w:trPr>
        <w:tc>
          <w:tcPr>
            <w:tcW w:w="2833"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Object</w:t>
            </w:r>
          </w:p>
        </w:tc>
        <w:tc>
          <w:tcPr>
            <w:tcW w:w="1929"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Shape</w:t>
            </w:r>
          </w:p>
        </w:tc>
        <w:tc>
          <w:tcPr>
            <w:tcW w:w="277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Bytes</w:t>
            </w:r>
          </w:p>
        </w:tc>
        <w:tc>
          <w:tcPr>
            <w:tcW w:w="2098"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Shared fixed C</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128 × 1024</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512 KiB</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Learned γ or β</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1024 values each</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4 KiB each</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Scaled-C temporary</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128 × 1024</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512 KiB if untiled</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Derived G per site</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128 × 128</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64 KiB</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Projected bias b</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128 values</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0.5 KiB</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Residual activation</w:t>
            </w:r>
          </w:p>
        </w:tc>
        <w:tc>
          <w:tcPr>
            <w:tcW w:w="192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N × 128</w:t>
            </w:r>
          </w:p>
        </w:tc>
        <w:tc>
          <w:tcPr>
            <w:tcW w:w="277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0.5N KiB; no normal N × 1024 residual</w:t>
            </w:r>
          </w:p>
        </w:tc>
        <w:tc>
          <w:tcPr>
            <w:tcW w:w="2098"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CSA-MEM-004</w:t>
            </w:r>
          </w:p>
        </w:tc>
      </w:tr>
    </w:tbl>
    <w:p>
      <w:pPr>
        <w:pStyle w:val="Normal"/>
        <w:spacing w:lineRule="auto" w:line="360" w:before="0" w:after="60"/>
        <w:rPr/>
      </w:pPr>
      <w:r>
        <w:rPr/>
      </w:r>
    </w:p>
    <w:p>
      <w:pPr>
        <w:pStyle w:val="Normal"/>
        <w:widowControl/>
        <w:rPr/>
      </w:pPr>
      <w:r>
        <w:rPr/>
        <w:t>A shared C is counted once per actual stored device/precision copy. Derived G operators are counted for every live normalization site and graph. Tiling can avoid the full scaled-C temporary, but does not by itself eliminate C, G, or training backward storage. Reports must disclose the strategy actually measured.</w:t>
      </w:r>
      <w:r>
        <w:rPr>
          <w:color w:val="5E6B78"/>
          <w:sz w:val="17"/>
        </w:rPr>
        <w:t xml:space="preserve">  [CSA</w:t>
        <w:noBreakHyphen/>
        <w:t>MEM</w:t>
        <w:noBreakHyphen/>
        <w:t>005]</w:t>
      </w:r>
    </w:p>
    <w:p>
      <w:pPr>
        <w:pStyle w:val="Heading2"/>
        <w:rPr/>
      </w:pPr>
      <w:bookmarkStart w:id="180" w:name="__RefHeading___Toc9476_2977050583"/>
      <w:bookmarkStart w:id="181" w:name="CSA_H_8_3"/>
      <w:bookmarkEnd w:id="180"/>
      <w:r>
        <w:rPr/>
        <w:t>What the estimates do not promise</w:t>
      </w:r>
      <w:bookmarkEnd w:id="181"/>
    </w:p>
    <w:p>
      <w:pPr>
        <w:pStyle w:val="Normal"/>
        <w:widowControl/>
        <w:rPr/>
      </w:pPr>
      <w:r>
        <w:rPr/>
        <w:t>The coefficient count does not shrink the attention score matrix, the A-wide QKV and KV cache, the F-wide MLP intermediates, the vocabulary logit array, or the number of executed layers. The complete training-memory reduction can therefore be much smaller than the core-weight reduction. The same applies to peak memory, which includes saved tensors, derived operators, workspaces, and instrumentation.</w:t>
      </w:r>
      <w:r>
        <w:rPr>
          <w:color w:val="5E6B78"/>
          <w:sz w:val="17"/>
        </w:rPr>
        <w:t xml:space="preserve">  [CSA</w:t>
        <w:noBreakHyphen/>
        <w:t>MEM</w:t>
        <w:noBreakHyphen/>
        <w:t>006]</w:t>
      </w:r>
    </w:p>
    <w:p>
      <w:pPr>
        <w:pStyle w:val="Normal"/>
        <w:widowControl/>
        <w:rPr/>
      </w:pPr>
      <w:r>
        <w:rPr/>
        <w:t>No speed claim follows from avoiding reconstruction. Projected normalization constructs and applies G; joint depth execution may require P matrix contractions rather than one materialized-layer multiplication. Complete optimizer-update time, inference time where measured, and instrumentation overhead must be reported against the equivalent baseline. The initial objective is memory reduction at an acceptable measured quality and processing cost.</w:t>
      </w:r>
      <w:r>
        <w:rPr>
          <w:color w:val="5E6B78"/>
          <w:sz w:val="17"/>
        </w:rPr>
        <w:t xml:space="preserve">  [CSA</w:t>
        <w:noBreakHyphen/>
        <w:t>MEM</w:t>
        <w:noBreakHyphen/>
        <w:t>007]</w:t>
      </w:r>
    </w:p>
    <w:p>
      <w:pPr>
        <w:pStyle w:val="Heading2"/>
        <w:rPr/>
      </w:pPr>
      <w:bookmarkStart w:id="182" w:name="__RefHeading___Toc9478_2977050583"/>
      <w:bookmarkStart w:id="183" w:name="CSA_H_8_4"/>
      <w:bookmarkEnd w:id="182"/>
      <w:r>
        <w:rPr/>
        <w:t>Requirements</w:t>
      </w:r>
      <w:bookmarkEnd w:id="183"/>
    </w:p>
    <w:p>
      <w:pPr>
        <w:pStyle w:val="Requirement"/>
        <w:keepLines/>
        <w:rPr/>
      </w:pPr>
      <w:bookmarkStart w:id="184" w:name="CSA_MEM_001"/>
      <w:r>
        <w:rPr>
          <w:b/>
          <w:color w:val="1F4E79"/>
        </w:rPr>
        <w:t>CSA-MEM-001</w:t>
      </w:r>
      <w:r>
        <w:rPr/>
        <w:t xml:space="preserve">  Parameter estimates shall use L(4DA + 2DF) for dense core matrices and L(4rA + 2rF) or P(4rA + 2rF) for selected compact paths.</w:t>
      </w:r>
      <w:bookmarkEnd w:id="184"/>
    </w:p>
    <w:p>
      <w:pPr>
        <w:pStyle w:val="Requirement"/>
        <w:keepLines/>
        <w:rPr/>
      </w:pPr>
      <w:bookmarkStart w:id="185" w:name="CSA_MEM_002"/>
      <w:r>
        <w:rPr>
          <w:b/>
          <w:color w:val="1F4E79"/>
        </w:rPr>
        <w:t>CSA-MEM-002</w:t>
      </w:r>
      <w:r>
        <w:rPr/>
        <w:t xml:space="preserve">  Half-width and half-depth savings shall be reported as 75% of core-matrix storage, with aggressive examples explicitly limited to that storage class.</w:t>
      </w:r>
      <w:bookmarkEnd w:id="185"/>
    </w:p>
    <w:p>
      <w:pPr>
        <w:pStyle w:val="Requirement"/>
        <w:keepLines/>
        <w:rPr/>
      </w:pPr>
      <w:bookmarkStart w:id="186" w:name="CSA_MEM_003"/>
      <w:r>
        <w:rPr>
          <w:b/>
          <w:color w:val="1F4E79"/>
        </w:rPr>
        <w:t>CSA-MEM-003</w:t>
      </w:r>
      <w:r>
        <w:rPr/>
        <w:t xml:space="preserve">  Accounting shall report embeddings, tied or untied head, affine vectors, gradients, and optimizer states separately with their actual precision.</w:t>
      </w:r>
      <w:bookmarkEnd w:id="186"/>
    </w:p>
    <w:p>
      <w:pPr>
        <w:pStyle w:val="Requirement"/>
        <w:keepLines/>
        <w:rPr/>
      </w:pPr>
      <w:bookmarkStart w:id="187" w:name="CSA_MEM_004"/>
      <w:r>
        <w:rPr>
          <w:b/>
          <w:color w:val="1F4E79"/>
        </w:rPr>
        <w:t>CSA-MEM-004</w:t>
      </w:r>
      <w:r>
        <w:rPr/>
        <w:t xml:space="preserve">  Normalization storage reports shall distinguish the fixed basis, affine vectors, construction temporary, derived G, projected bias, and token activations.</w:t>
      </w:r>
      <w:bookmarkEnd w:id="187"/>
    </w:p>
    <w:p>
      <w:pPr>
        <w:pStyle w:val="Requirement"/>
        <w:keepLines/>
        <w:rPr/>
      </w:pPr>
      <w:bookmarkStart w:id="188" w:name="CSA_MEM_005"/>
      <w:r>
        <w:rPr>
          <w:b/>
          <w:color w:val="1F4E79"/>
        </w:rPr>
        <w:t>CSA-MEM-005</w:t>
      </w:r>
      <w:r>
        <w:rPr/>
        <w:t xml:space="preserve">  Memory measurements shall count actual shared copies, live derived operators, and backward storage and identify whether construction is tiled.</w:t>
      </w:r>
      <w:bookmarkEnd w:id="188"/>
    </w:p>
    <w:p>
      <w:pPr>
        <w:pStyle w:val="Requirement"/>
        <w:keepLines/>
        <w:rPr/>
      </w:pPr>
      <w:bookmarkStart w:id="189" w:name="CSA_MEM_006"/>
      <w:r>
        <w:rPr>
          <w:b/>
          <w:color w:val="1F4E79"/>
        </w:rPr>
        <w:t>CSA-MEM-006</w:t>
      </w:r>
      <w:r>
        <w:rPr/>
        <w:t xml:space="preserve">  Memory reports shall identify attention scores, QKV, KV cache, MLP hidden activations, logits, and executed depth as outside residual-width reduction.</w:t>
      </w:r>
      <w:bookmarkEnd w:id="189"/>
    </w:p>
    <w:p>
      <w:pPr>
        <w:pStyle w:val="Requirement"/>
        <w:keepLines/>
        <w:rPr/>
      </w:pPr>
      <w:bookmarkStart w:id="190" w:name="CSA_MEM_007"/>
      <w:r>
        <w:rPr>
          <w:b/>
          <w:color w:val="1F4E79"/>
        </w:rPr>
        <w:t>CSA-MEM-007</w:t>
      </w:r>
      <w:r>
        <w:rPr/>
        <w:t xml:space="preserve">  Performance claims shall use measured complete execution costs, including projected normalization, depth contractions, and separately reported instrumentation overhead.</w:t>
      </w:r>
      <w:bookmarkEnd w:id="190"/>
    </w:p>
    <w:p>
      <w:pPr>
        <w:pStyle w:val="Heading1"/>
        <w:rPr/>
      </w:pPr>
      <w:bookmarkStart w:id="191" w:name="__RefHeading___Toc9480_2977050583"/>
      <w:bookmarkStart w:id="192" w:name="CSA_H_9"/>
      <w:bookmarkEnd w:id="191"/>
      <w:r>
        <w:rPr/>
        <w:t>Initial Instrumentation</w:t>
      </w:r>
      <w:bookmarkEnd w:id="192"/>
    </w:p>
    <w:p>
      <w:pPr>
        <w:pStyle w:val="Heading2"/>
        <w:rPr/>
      </w:pPr>
      <w:bookmarkStart w:id="193" w:name="__RefHeading___Toc9482_2977050583"/>
      <w:bookmarkStart w:id="194" w:name="CSA_H_9_1"/>
      <w:bookmarkEnd w:id="193"/>
      <w:r>
        <w:rPr/>
        <w:t>Purpose and basic capture</w:t>
      </w:r>
      <w:bookmarkEnd w:id="194"/>
    </w:p>
    <w:p>
      <w:pPr>
        <w:pStyle w:val="Normal"/>
        <w:widowControl/>
        <w:rPr/>
      </w:pPr>
      <w:r>
        <w:rPr/>
        <w:t>Instrumentation answers whether the compressed residual representation is useful in this run. Ordinary training and validation loss remain the principal quality measurements; predictable-position toy accuracy is not a language-model quality claim. Basic capture reports mode energy as the mean squared coefficient over its recorded token sample. For constant-first-mode families, mode zero is separated from centered modes. Other families use the general statistics to report mean energy Dμ² and centered feature energy ‖c‖² − Dμ² without labelling mode zero as constant. Energy describes usage, not the loss caused by compression.</w:t>
      </w:r>
      <w:r>
        <w:rPr>
          <w:color w:val="5E6B78"/>
          <w:sz w:val="17"/>
        </w:rPr>
        <w:t xml:space="preserve">  [CSA</w:t>
        <w:noBreakHyphen/>
        <w:t>INS</w:t>
        <w:noBreakHyphen/>
        <w:t>001, CSA</w:t>
        <w:noBreakHyphen/>
        <w:t>INS</w:t>
        <w:noBreakHyphen/>
        <w:t>002]</w:t>
      </w:r>
    </w:p>
    <w:p>
      <w:pPr>
        <w:pStyle w:val="Normal"/>
        <w:widowControl/>
        <w:rPr/>
      </w:pPr>
      <w:r>
        <w:rPr/>
        <w:t>The initial energy and curve capture sites are the embedding residual, the residual after each complete block, and the final normalized head input. They are explicitly labelled so a block-output spectrum is not confused with a normalization-output spectrum. Gain summaries cover each ln_1, ln_2, and ln_f; projection-discarded energy is evaluated at those normalization sites only in probe mode. Samples are detached for recording rather than kept as live training graphs.</w:t>
      </w:r>
      <w:r>
        <w:rPr>
          <w:color w:val="5E6B78"/>
          <w:sz w:val="17"/>
        </w:rPr>
        <w:t xml:space="preserve">  [CSA</w:t>
        <w:noBreakHyphen/>
        <w:t>INS</w:t>
        <w:noBreakHyphen/>
        <w:t>022]</w:t>
      </w:r>
    </w:p>
    <w:p>
      <w:pPr>
        <w:pStyle w:val="Normal"/>
        <w:widowControl/>
        <w:rPr/>
      </w:pPr>
      <w:r>
        <w:rPr/>
        <w:t>Coupling strength reports the relative Frobenius norm of G minus its mean-gain scalar identity, with a small denominator guard. Gain variation reports the standard deviation of γ relative to its RMS. These summaries expose whether the basis-dependent affine restriction is active without storing every G in the history.</w:t>
      </w:r>
      <w:r>
        <w:rPr>
          <w:color w:val="5E6B78"/>
          <w:sz w:val="17"/>
        </w:rPr>
        <w:t xml:space="preserve">  [CSA</w:t>
        <w:noBreakHyphen/>
        <w:t>INS</w:t>
        <w:noBreakHyphen/>
        <w:t>003]</w:t>
      </w:r>
    </w:p>
    <w:p>
      <w:pPr>
        <w:pStyle w:val="Normal"/>
        <w:widowControl/>
        <w:rPr/>
      </w:pPr>
      <w:r>
        <w:rPr/>
        <w:t>Startup accounting records learned parameter bytes, fixed basis bytes, and nominal gradient and optimizer classes. Enabled runtime capture adds actual allocated and reserved GPU peaks, CPU peak resident memory when available, and saved-activation bytes when the framework exposes them reliably. Complete-step throughput uses existing timing and profiler facilities; normalization construction and application costs are separated in a bounded profiler capture rather than by synchronizing every norm in normal training.</w:t>
      </w:r>
      <w:r>
        <w:rPr>
          <w:color w:val="5E6B78"/>
          <w:sz w:val="17"/>
        </w:rPr>
        <w:t xml:space="preserve">  [CSA</w:t>
        <w:noBreakHyphen/>
        <w:t>INS</w:t>
        <w:noBreakHyphen/>
        <w:t>004, CSA</w:t>
        <w:noBreakHyphen/>
        <w:t>INS</w:t>
        <w:noBreakHyphen/>
        <w:t>005]</w:t>
      </w:r>
    </w:p>
    <w:p>
      <w:pPr>
        <w:pStyle w:val="Normal"/>
        <w:widowControl/>
        <w:rPr/>
      </w:pPr>
      <w:r>
        <w:rPr/>
        <w:t>Each memory counter identifies its measurement window and whether startup, optimizer state, and diagnostic work are included. A process-lifetime CPU resident-memory peak is labelled as such; it is not presented as a resettable training-step peak. Saved-activation counts disclose whether they measure logical tensor bytes or distinct underlying storage.</w:t>
      </w:r>
      <w:r>
        <w:rPr>
          <w:color w:val="5E6B78"/>
          <w:sz w:val="17"/>
        </w:rPr>
        <w:t xml:space="preserve">  [CSA</w:t>
        <w:noBreakHyphen/>
        <w:t>INS</w:t>
        <w:noBreakHyphen/>
        <w:t>023]</w:t>
      </w:r>
    </w:p>
    <w:p>
      <w:pPr>
        <w:pStyle w:val="Heading2"/>
        <w:rPr/>
      </w:pPr>
      <w:bookmarkStart w:id="195" w:name="__RefHeading___Toc9484_2977050583"/>
      <w:bookmarkStart w:id="196" w:name="CSA_H_9_2"/>
      <w:bookmarkEnd w:id="195"/>
      <w:r>
        <w:rPr/>
        <w:t>Bounded probes and reconstructed curves</w:t>
      </w:r>
      <w:bookmarkEnd w:id="196"/>
    </w:p>
    <w:p>
      <w:pPr>
        <w:pStyle w:val="Normal"/>
        <w:widowControl/>
        <w:rPr/>
      </w:pPr>
      <w:r>
        <w:rPr/>
        <w:t>Probe mode evaluates the ordinary validation loss and one or more smaller retained-mode masks on the same fixed evaluation tokens. The mask removes discarded modes at embedding, normalization input and output, residual-branch output and addition, and final head-input boundaries. Tensor shapes and parameters remain those of the trained r-width model. A positive change in loss means the ablation harmed this model; it does not predict the loss of a separately trained smaller model.</w:t>
      </w:r>
      <w:r>
        <w:rPr>
          <w:color w:val="5E6B78"/>
          <w:sz w:val="17"/>
        </w:rPr>
        <w:t xml:space="preserve">  [CSA</w:t>
        <w:noBreakHyphen/>
        <w:t>INS</w:t>
        <w:noBreakHyphen/>
        <w:t>006, CSA</w:t>
        <w:noBreakHyphen/>
        <w:t>INS</w:t>
        <w:noBreakHyphen/>
        <w:t>007]</w:t>
      </w:r>
    </w:p>
    <w:p>
      <w:pPr>
        <w:pStyle w:val="Normal"/>
        <w:widowControl/>
        <w:rPr/>
      </w:pPr>
      <w:r>
        <w:rPr/>
        <w:t>Probes run without optimizer updates, use a separate deterministic sampling state, restore the model’s training state, and identify their token count and baseline loss. Report probe duration separately from normal update timing. A resumed run reuses recorded sample selection so comparisons are repeatable.</w:t>
      </w:r>
      <w:r>
        <w:rPr>
          <w:color w:val="5E6B78"/>
          <w:sz w:val="17"/>
        </w:rPr>
        <w:t xml:space="preserve">  [CSA</w:t>
        <w:noBreakHyphen/>
        <w:t>INS</w:t>
        <w:noBreakHyphen/>
        <w:t>008]</w:t>
      </w:r>
    </w:p>
    <w:p>
      <w:pPr>
        <w:pStyle w:val="Normal"/>
        <w:widowControl/>
        <w:rPr/>
      </w:pPr>
      <w:r>
        <w:rPr/>
        <w:t>Probe capture may also synthesize a small, fixed sample of residual feature curves for inspection. It computes the fraction of post-affine LayerNorm energy removed by the final projection, using bounded feature tiles or an equivalent analytic calculation. For an affine feature result z, the removed energy is ‖z‖² − ‖Cz‖², up to roundoff. The compact round trip CCᵀc is not a compression-quality metric: it returns c by construction.</w:t>
      </w:r>
      <w:r>
        <w:rPr>
          <w:color w:val="5E6B78"/>
          <w:sz w:val="17"/>
        </w:rPr>
        <w:t xml:space="preserve">  [CSA</w:t>
        <w:noBreakHyphen/>
        <w:t>INS</w:t>
        <w:noBreakHyphen/>
        <w:t>009, CSA</w:t>
        <w:noBreakHyphen/>
        <w:t>INS</w:t>
        <w:noBreakHyphen/>
        <w:t>010]</w:t>
      </w:r>
    </w:p>
    <w:p>
      <w:pPr>
        <w:pStyle w:val="Normal"/>
        <w:widowControl/>
        <w:rPr/>
      </w:pPr>
      <w:r>
        <w:rPr/>
        <w:t>Only the configured token sample and feature evaluation grid are captured. Dense feature samples are temporary diagnostic data; they never become the normal residual path. Version 0.1 presents mode-energy and retained-order loss-probe views and sampled feature curves within existing Instra Runs and Multiview, with ordinary run identity, step selection, bounded history, and pairing metadata. It does not add adaptive width selection or a new telemetry service.</w:t>
      </w:r>
      <w:r>
        <w:rPr>
          <w:color w:val="5E6B78"/>
          <w:sz w:val="17"/>
        </w:rPr>
        <w:t xml:space="preserve">  [CSA</w:t>
        <w:noBreakHyphen/>
        <w:t>INS</w:t>
        <w:noBreakHyphen/>
        <w:t>011]</w:t>
      </w:r>
    </w:p>
    <w:p>
      <w:pPr>
        <w:pStyle w:val="Heading2"/>
        <w:rPr/>
      </w:pPr>
      <w:bookmarkStart w:id="197" w:name="__RefHeading___Toc9486_2977050583"/>
      <w:bookmarkStart w:id="198" w:name="CSA_H_9_3"/>
      <w:bookmarkEnd w:id="197"/>
      <w:r>
        <w:rPr/>
        <w:t>Capture control semantics</w:t>
      </w:r>
      <w:bookmarkEnd w:id="198"/>
    </w:p>
    <w:p>
      <w:pPr>
        <w:pStyle w:val="Normal"/>
        <w:widowControl/>
        <w:rPr/>
      </w:pPr>
      <w:r>
        <w:rPr/>
        <w:t>The new prefix is --instrumentation__width_activation_curves__, matching the existing depth_weight_curves naming pattern while identifying the quantity being inspected. Every suffix in Section 7.3 expands after that exact prefix. Modes are off, basic, and probes; off is the default. Ordinary run metadata and existing loss logging continue when this additional capture is off. All intervals refer to completed optimizer updates.</w:t>
      </w:r>
      <w:r>
        <w:rPr>
          <w:color w:val="5E6B78"/>
          <w:sz w:val="17"/>
        </w:rPr>
        <w:t xml:space="preserve">  [CSA</w:t>
        <w:noBreakHyphen/>
        <w:t>INS</w:t>
        <w:noBreakHyphen/>
        <w:t>012]</w:t>
      </w:r>
    </w:p>
    <w:p>
      <w:pPr>
        <w:pStyle w:val="Normal"/>
        <w:widowControl/>
        <w:rPr/>
      </w:pPr>
      <w:r>
        <w:rPr/>
        <w:t>Cadences are anchored at start_step; there is no step-zero optimizer update. The first eligible completed update that falls on each cadence is captured. Duplicate probe orders, an order outside the retained width, an invalid interval, or an inverted window is rejected at startup. The sampled validation tokens and probe order resolution are recorded with the run.</w:t>
      </w:r>
      <w:r>
        <w:rPr>
          <w:color w:val="5E6B78"/>
          <w:sz w:val="17"/>
        </w:rPr>
        <w:t xml:space="preserve">  [CSA</w:t>
        <w:noBreakHyphen/>
        <w:t>INS</w:t>
        <w:noBreakHyphen/>
        <w:t>015, CSA</w:t>
        <w:noBreakHyphen/>
        <w:t>INS</w:t>
        <w:noBreakHyphen/>
        <w:t>016, CSA</w:t>
        <w:noBreakHyphen/>
        <w:t>INS</w:t>
        <w:noBreakHyphen/>
        <w:t>017]</w:t>
      </w:r>
    </w:p>
    <w:p>
      <w:pPr>
        <w:pStyle w:val="SpecCode"/>
        <w:keepLines/>
        <w:rPr/>
      </w:pPr>
      <w:r>
        <w:rPr/>
        <w:t>--instrumentation__width_activation_curves__mode probes</w:t>
      </w:r>
    </w:p>
    <w:p>
      <w:pPr>
        <w:pStyle w:val="SpecCode"/>
        <w:keepLines/>
        <w:rPr/>
      </w:pPr>
      <w:r>
        <w:rPr/>
        <w:t>--instrumentation__width_activation_curves__log_every_n_steps 100</w:t>
      </w:r>
    </w:p>
    <w:p>
      <w:pPr>
        <w:pStyle w:val="SpecCode"/>
        <w:keepLines/>
        <w:rPr/>
      </w:pPr>
      <w:r>
        <w:rPr/>
        <w:t>--instrumentation__width_activation_curves__probe_every_n_steps 1000</w:t>
      </w:r>
    </w:p>
    <w:p>
      <w:pPr>
        <w:pStyle w:val="SpecCode"/>
        <w:keepLines/>
        <w:rPr/>
      </w:pPr>
      <w:r>
        <w:rPr/>
        <w:t>--instrumentation__width_activation_curves__probe_orders 64</w:t>
      </w:r>
    </w:p>
    <w:p>
      <w:pPr>
        <w:pStyle w:val="SpecCode"/>
        <w:keepLines/>
        <w:rPr/>
      </w:pPr>
      <w:r>
        <w:rPr/>
        <w:t>--instrumentation__width_activation_curves__sample_tokens_per_layer 8</w:t>
      </w:r>
    </w:p>
    <w:p>
      <w:pPr>
        <w:pStyle w:val="SpecReference"/>
        <w:rPr/>
      </w:pPr>
      <w:r>
        <w:rPr/>
        <w:t>[CSA-INS-012, CSA-INS-013, CSA-INS-014, CSA-INS-015]</w:t>
      </w:r>
    </w:p>
    <w:p>
      <w:pPr>
        <w:pStyle w:val="Normal"/>
        <w:widowControl/>
        <w:rPr/>
      </w:pPr>
      <w:r>
        <w:rPr/>
        <w:t>The complete suffix, default, domain, and meaning table is in Section 7.3. The example above expands the common prefix in full.</w:t>
      </w:r>
      <w:r>
        <w:rPr>
          <w:color w:val="5E6B78"/>
          <w:sz w:val="17"/>
        </w:rPr>
        <w:t xml:space="preserve">  [CSA</w:t>
        <w:noBreakHyphen/>
        <w:t>CFG</w:t>
        <w:noBreakHyphen/>
        <w:t>014, CSA</w:t>
        <w:noBreakHyphen/>
        <w:t>INS</w:t>
        <w:noBreakHyphen/>
        <w:t>012]</w:t>
      </w:r>
    </w:p>
    <w:p>
      <w:pPr>
        <w:pStyle w:val="Heading2"/>
        <w:rPr/>
      </w:pPr>
      <w:bookmarkStart w:id="199" w:name="__RefHeading___Toc9488_2977050583"/>
      <w:bookmarkStart w:id="200" w:name="CSA_H_9_4"/>
      <w:bookmarkEnd w:id="199"/>
      <w:r>
        <w:rPr/>
        <w:t>Cost and recording contract</w:t>
      </w:r>
      <w:bookmarkEnd w:id="200"/>
    </w:p>
    <w:p>
      <w:pPr>
        <w:pStyle w:val="Normal"/>
        <w:widowControl/>
        <w:rPr/>
      </w:pPr>
      <w:r>
        <w:rPr/>
        <w:t>Width data uses the existing run chart store and enabled export destinations, including W&amp;B where configured. The capture adds no separate destination authority. Basic capture and probes report their own elapsed time and retained-buffer bytes. Missing or unsupported counters are explicitly marked unavailable. Disabled capture creates no width hooks or rolling sample buffers; enabled capture must respect its configured bounds and avoid full-model weight synthesis.</w:t>
      </w:r>
      <w:r>
        <w:rPr>
          <w:color w:val="5E6B78"/>
          <w:sz w:val="17"/>
        </w:rPr>
        <w:t xml:space="preserve">  [CSA</w:t>
        <w:noBreakHyphen/>
        <w:t>INS</w:t>
        <w:noBreakHyphen/>
        <w:t>018, CSA</w:t>
        <w:noBreakHyphen/>
        <w:t>INS</w:t>
        <w:noBreakHyphen/>
        <w:t>019, CSA</w:t>
        <w:noBreakHyphen/>
        <w:t>INS</w:t>
        <w:noBreakHyphen/>
        <w:t>020, CSA</w:t>
        <w:noBreakHyphen/>
        <w:t>INS</w:t>
        <w:noBreakHyphen/>
        <w:t>021]</w:t>
      </w:r>
    </w:p>
    <w:p>
      <w:pPr>
        <w:pStyle w:val="Heading2"/>
        <w:rPr/>
      </w:pPr>
      <w:bookmarkStart w:id="201" w:name="__RefHeading___Toc9490_2977050583"/>
      <w:bookmarkStart w:id="202" w:name="CSA_H_9_5"/>
      <w:bookmarkEnd w:id="201"/>
      <w:r>
        <w:rPr/>
        <w:t>Requirements</w:t>
      </w:r>
      <w:bookmarkEnd w:id="202"/>
    </w:p>
    <w:p>
      <w:pPr>
        <w:pStyle w:val="Requirement"/>
        <w:keepLines/>
        <w:rPr/>
      </w:pPr>
      <w:bookmarkStart w:id="203" w:name="CSA_INS_001"/>
      <w:r>
        <w:rPr>
          <w:b/>
          <w:color w:val="1F4E79"/>
        </w:rPr>
        <w:t>CSA-INS-001</w:t>
      </w:r>
      <w:r>
        <w:rPr/>
        <w:t xml:space="preserve">  Instrumentation shall retain vocabulary cross-entropy and perplexity as the principal quality measurements and qualify any toy accuracy separately.</w:t>
      </w:r>
      <w:bookmarkEnd w:id="203"/>
    </w:p>
    <w:p>
      <w:pPr>
        <w:pStyle w:val="Requirement"/>
        <w:keepLines/>
        <w:rPr/>
      </w:pPr>
      <w:bookmarkStart w:id="204" w:name="CSA_INS_002"/>
      <w:r>
        <w:rPr>
          <w:b/>
          <w:color w:val="1F4E79"/>
        </w:rPr>
        <w:t>CSA-INS-002</w:t>
      </w:r>
      <w:r>
        <w:rPr/>
        <w:t xml:space="preserve">  Basic capture shall report mean-squared coefficient energies and reference mean and centered-energy contributions according to the selected basis’s constant-mode capability.</w:t>
      </w:r>
      <w:bookmarkEnd w:id="204"/>
    </w:p>
    <w:p>
      <w:pPr>
        <w:pStyle w:val="Requirement"/>
        <w:keepLines/>
        <w:rPr/>
      </w:pPr>
      <w:bookmarkStart w:id="205" w:name="CSA_INS_003"/>
      <w:r>
        <w:rPr>
          <w:b/>
          <w:color w:val="1F4E79"/>
        </w:rPr>
        <w:t>CSA-INS-003</w:t>
      </w:r>
      <w:r>
        <w:rPr/>
        <w:t xml:space="preserve">  Basic capture shall report normalized γ variation and G coupling relative to mean-gain identity without retaining full G histories.</w:t>
      </w:r>
      <w:bookmarkEnd w:id="205"/>
    </w:p>
    <w:p>
      <w:pPr>
        <w:pStyle w:val="Requirement"/>
        <w:keepLines/>
        <w:rPr/>
      </w:pPr>
      <w:bookmarkStart w:id="206" w:name="CSA_INS_004"/>
      <w:r>
        <w:rPr>
          <w:b/>
          <w:color w:val="1F4E79"/>
        </w:rPr>
        <w:t>CSA-INS-004</w:t>
      </w:r>
      <w:r>
        <w:rPr/>
        <w:t xml:space="preserve">  Accounting shall distinguish learned arrays, basis buffers, gradient and optimizer classes, and available actual peak-memory and saved-activation measurements.</w:t>
      </w:r>
      <w:bookmarkEnd w:id="206"/>
    </w:p>
    <w:p>
      <w:pPr>
        <w:pStyle w:val="Requirement"/>
        <w:keepLines/>
        <w:rPr/>
      </w:pPr>
      <w:bookmarkStart w:id="207" w:name="CSA_INS_005"/>
      <w:r>
        <w:rPr>
          <w:b/>
          <w:color w:val="1F4E79"/>
        </w:rPr>
        <w:t>CSA-INS-005</w:t>
      </w:r>
      <w:r>
        <w:rPr/>
        <w:t xml:space="preserve">  Timing shall report complete-update throughput and use bounded profiler facilities to attribute normalization construction and application cost.</w:t>
      </w:r>
      <w:bookmarkEnd w:id="207"/>
    </w:p>
    <w:p>
      <w:pPr>
        <w:pStyle w:val="Requirement"/>
        <w:keepLines/>
        <w:rPr/>
      </w:pPr>
      <w:bookmarkStart w:id="208" w:name="CSA_INS_006"/>
      <w:r>
        <w:rPr>
          <w:b/>
          <w:color w:val="1F4E79"/>
        </w:rPr>
        <w:t>CSA-INS-006</w:t>
      </w:r>
      <w:r>
        <w:rPr/>
        <w:t xml:space="preserve">  Loss probes shall apply retained-prefix masks at all coefficient boundaries listed in Section 9.2 and use the same evaluation tokens as the unmasked baseline.</w:t>
      </w:r>
      <w:bookmarkEnd w:id="208"/>
    </w:p>
    <w:p>
      <w:pPr>
        <w:pStyle w:val="Requirement"/>
        <w:keepLines/>
        <w:rPr/>
      </w:pPr>
      <w:bookmarkStart w:id="209" w:name="CSA_INS_007"/>
      <w:r>
        <w:rPr>
          <w:b/>
          <w:color w:val="1F4E79"/>
        </w:rPr>
        <w:t>CSA-INS-007</w:t>
      </w:r>
      <w:r>
        <w:rPr/>
        <w:t xml:space="preserve">  Ablation output shall state positive delta-loss meaning and identify the result as sensitivity of the trained model rather than performance of a retrained smaller architecture.</w:t>
      </w:r>
      <w:bookmarkEnd w:id="209"/>
    </w:p>
    <w:p>
      <w:pPr>
        <w:pStyle w:val="Requirement"/>
        <w:keepLines/>
        <w:rPr/>
      </w:pPr>
      <w:bookmarkStart w:id="210" w:name="CSA_INS_008"/>
      <w:r>
        <w:rPr>
          <w:b/>
          <w:color w:val="1F4E79"/>
        </w:rPr>
        <w:t>CSA-INS-008</w:t>
      </w:r>
      <w:r>
        <w:rPr/>
        <w:t xml:space="preserve">  Probes shall make no optimizer update, preserve training state, and use saved deterministic sample selection independent of training random state.</w:t>
      </w:r>
      <w:bookmarkEnd w:id="210"/>
    </w:p>
    <w:p>
      <w:pPr>
        <w:pStyle w:val="Requirement"/>
        <w:keepLines/>
        <w:rPr/>
      </w:pPr>
      <w:bookmarkStart w:id="211" w:name="CSA_INS_009"/>
      <w:r>
        <w:rPr>
          <w:b/>
          <w:color w:val="1F4E79"/>
        </w:rPr>
        <w:t>CSA-INS-009</w:t>
      </w:r>
      <w:r>
        <w:rPr/>
        <w:t xml:space="preserve">  Probe capture shall bound synthesized feature samples and measure post-affine projection-discarded energy using tiles or an equivalent analytic computation.</w:t>
      </w:r>
      <w:bookmarkEnd w:id="211"/>
    </w:p>
    <w:p>
      <w:pPr>
        <w:pStyle w:val="Requirement"/>
        <w:keepLines/>
        <w:rPr/>
      </w:pPr>
      <w:bookmarkStart w:id="212" w:name="CSA_INS_010"/>
      <w:r>
        <w:rPr>
          <w:b/>
          <w:color w:val="1F4E79"/>
        </w:rPr>
        <w:t>CSA-INS-010</w:t>
      </w:r>
      <w:r>
        <w:rPr/>
        <w:t xml:space="preserve">  Instrumentation shall not present the identity round trip CCᵀc as evidence of compression quality.</w:t>
      </w:r>
      <w:bookmarkEnd w:id="212"/>
    </w:p>
    <w:p>
      <w:pPr>
        <w:pStyle w:val="Requirement"/>
        <w:keepLines/>
        <w:rPr/>
      </w:pPr>
      <w:bookmarkStart w:id="213" w:name="CSA_INS_011"/>
      <w:r>
        <w:rPr>
          <w:b/>
          <w:color w:val="1F4E79"/>
        </w:rPr>
        <w:t>CSA-INS-011</w:t>
      </w:r>
      <w:r>
        <w:rPr/>
        <w:t xml:space="preserve">  Instra shall integrate width energy, retained-order loss probes, and sampled-curve inspection into existing run views and bounded history without a new telemetry service or adaptive-width controller.</w:t>
      </w:r>
      <w:bookmarkEnd w:id="213"/>
    </w:p>
    <w:p>
      <w:pPr>
        <w:pStyle w:val="Requirement"/>
        <w:keepLines/>
        <w:rPr/>
      </w:pPr>
      <w:bookmarkStart w:id="214" w:name="CSA_INS_012"/>
      <w:r>
        <w:rPr>
          <w:b/>
          <w:color w:val="1F4E79"/>
        </w:rPr>
        <w:t>CSA-INS-012</w:t>
      </w:r>
      <w:r>
        <w:rPr/>
        <w:t xml:space="preserve">  Width capture shall use the specified width_activation_curves prefix and off, basic, and probes modes, defaulting to off without suppressing existing run logging.</w:t>
      </w:r>
      <w:bookmarkEnd w:id="214"/>
    </w:p>
    <w:p>
      <w:pPr>
        <w:pStyle w:val="Requirement"/>
        <w:keepLines/>
        <w:rPr/>
      </w:pPr>
      <w:bookmarkStart w:id="215" w:name="CSA_INS_013"/>
      <w:r>
        <w:rPr>
          <w:b/>
          <w:color w:val="1F4E79"/>
        </w:rPr>
        <w:t>CSA-INS-013</w:t>
      </w:r>
      <w:r>
        <w:rPr/>
        <w:t xml:space="preserve">  Capture and probe cadences shall default to 100 and 1000 completed optimizer updates and be configurable positive integers.</w:t>
      </w:r>
      <w:bookmarkEnd w:id="215"/>
    </w:p>
    <w:p>
      <w:pPr>
        <w:pStyle w:val="Requirement"/>
        <w:keepLines/>
        <w:rPr/>
      </w:pPr>
      <w:bookmarkStart w:id="216" w:name="CSA_INS_014"/>
      <w:r>
        <w:rPr>
          <w:b/>
          <w:color w:val="1F4E79"/>
        </w:rPr>
        <w:t>CSA-INS-014</w:t>
      </w:r>
      <w:r>
        <w:rPr/>
        <w:t xml:space="preserve">  Capture bounds shall default to 20 records, 8 token samples per residual site, and min(256, D) feature points, with the domains in Section 7.3.</w:t>
      </w:r>
      <w:bookmarkEnd w:id="216"/>
    </w:p>
    <w:p>
      <w:pPr>
        <w:pStyle w:val="Requirement"/>
        <w:keepLines/>
        <w:rPr/>
      </w:pPr>
      <w:bookmarkStart w:id="217" w:name="CSA_INS_015"/>
      <w:r>
        <w:rPr>
          <w:b/>
          <w:color w:val="1F4E79"/>
        </w:rPr>
        <w:t>CSA-INS-015</w:t>
      </w:r>
      <w:r>
        <w:rPr/>
        <w:t xml:space="preserve">  Probe orders shall be distinct retained prefix counts below r; auto shall resolve to max(1, floor(r/2)) and the resolved values shall be recorded.</w:t>
      </w:r>
      <w:bookmarkEnd w:id="217"/>
    </w:p>
    <w:p>
      <w:pPr>
        <w:pStyle w:val="Requirement"/>
        <w:keepLines/>
        <w:rPr/>
      </w:pPr>
      <w:bookmarkStart w:id="218" w:name="CSA_INS_016"/>
      <w:r>
        <w:rPr>
          <w:b/>
          <w:color w:val="1F4E79"/>
        </w:rPr>
        <w:t>CSA-INS-016</w:t>
      </w:r>
      <w:r>
        <w:rPr/>
        <w:t xml:space="preserve">  Capture shall use an inclusive start and end update window with defaults 0 and unbounded, and cadence anchored at start_step.</w:t>
      </w:r>
      <w:bookmarkEnd w:id="218"/>
    </w:p>
    <w:p>
      <w:pPr>
        <w:pStyle w:val="Requirement"/>
        <w:keepLines/>
        <w:rPr/>
      </w:pPr>
      <w:bookmarkStart w:id="219" w:name="CSA_INS_017"/>
      <w:r>
        <w:rPr>
          <w:b/>
          <w:color w:val="1F4E79"/>
        </w:rPr>
        <w:t>CSA-INS-017</w:t>
      </w:r>
      <w:r>
        <w:rPr/>
        <w:t xml:space="preserve">  Startup validation shall reject invalid capture intervals, sample bounds, probe orders, and windows before training begins.</w:t>
      </w:r>
      <w:bookmarkEnd w:id="219"/>
    </w:p>
    <w:p>
      <w:pPr>
        <w:pStyle w:val="Requirement"/>
        <w:keepLines/>
        <w:rPr/>
      </w:pPr>
      <w:bookmarkStart w:id="220" w:name="CSA_INS_018"/>
      <w:r>
        <w:rPr>
          <w:b/>
          <w:color w:val="1F4E79"/>
        </w:rPr>
        <w:t>CSA-INS-018</w:t>
      </w:r>
      <w:r>
        <w:rPr/>
        <w:t xml:space="preserve">  Width metrics shall use existing chart and enabled export destinations and mark unavailable counters explicitly.</w:t>
      </w:r>
      <w:bookmarkEnd w:id="220"/>
    </w:p>
    <w:p>
      <w:pPr>
        <w:pStyle w:val="Requirement"/>
        <w:keepLines/>
        <w:rPr/>
      </w:pPr>
      <w:bookmarkStart w:id="221" w:name="CSA_INS_019"/>
      <w:r>
        <w:rPr>
          <w:b/>
          <w:color w:val="1F4E79"/>
        </w:rPr>
        <w:t>CSA-INS-019</w:t>
      </w:r>
      <w:r>
        <w:rPr/>
        <w:t xml:space="preserve">  Basic capture and probes shall report their own elapsed time and retained-buffer bytes separately from normal execution costs.</w:t>
      </w:r>
      <w:bookmarkEnd w:id="221"/>
    </w:p>
    <w:p>
      <w:pPr>
        <w:pStyle w:val="Requirement"/>
        <w:keepLines/>
        <w:rPr/>
      </w:pPr>
      <w:bookmarkStart w:id="222" w:name="CSA_INS_020"/>
      <w:r>
        <w:rPr>
          <w:b/>
          <w:color w:val="1F4E79"/>
        </w:rPr>
        <w:t>CSA-INS-020</w:t>
      </w:r>
      <w:r>
        <w:rPr/>
        <w:t xml:space="preserve">  Disabled width capture shall create no width hooks or rolling sample buffers.</w:t>
      </w:r>
      <w:bookmarkEnd w:id="222"/>
    </w:p>
    <w:p>
      <w:pPr>
        <w:pStyle w:val="Requirement"/>
        <w:keepLines/>
        <w:rPr/>
      </w:pPr>
      <w:bookmarkStart w:id="223" w:name="CSA_INS_021"/>
      <w:r>
        <w:rPr>
          <w:b/>
          <w:color w:val="1F4E79"/>
        </w:rPr>
        <w:t>CSA-INS-021</w:t>
      </w:r>
      <w:r>
        <w:rPr/>
        <w:t xml:space="preserve">  Enabled width capture shall obey its configured sample and history bounds and avoid full-model weight synthesis.</w:t>
      </w:r>
      <w:bookmarkEnd w:id="223"/>
    </w:p>
    <w:p>
      <w:pPr>
        <w:pStyle w:val="Requirement"/>
        <w:keepLines/>
        <w:rPr/>
      </w:pPr>
      <w:bookmarkStart w:id="224" w:name="CSA_INS_022"/>
      <w:r>
        <w:rPr>
          <w:b/>
          <w:color w:val="1F4E79"/>
        </w:rPr>
        <w:t>CSA-INS-022</w:t>
      </w:r>
      <w:r>
        <w:rPr/>
        <w:t xml:space="preserve">  Capture shall use the named residual and normalization sites in Section 9.1, label their location, and detach recorded samples from training graphs.</w:t>
      </w:r>
      <w:bookmarkEnd w:id="224"/>
    </w:p>
    <w:p>
      <w:pPr>
        <w:pStyle w:val="Requirement"/>
        <w:keepLines/>
        <w:rPr/>
      </w:pPr>
      <w:bookmarkStart w:id="225" w:name="CSA_INS_023"/>
      <w:r>
        <w:rPr>
          <w:b/>
          <w:color w:val="1F4E79"/>
        </w:rPr>
        <w:t>CSA-INS-023</w:t>
      </w:r>
      <w:r>
        <w:rPr/>
        <w:t xml:space="preserve">  Memory counters shall identify measurement windows, included execution classes, and logical-versus-distinct-storage accounting.</w:t>
      </w:r>
      <w:bookmarkEnd w:id="225"/>
    </w:p>
    <w:p>
      <w:pPr>
        <w:pStyle w:val="Heading1"/>
        <w:rPr/>
      </w:pPr>
      <w:bookmarkStart w:id="226" w:name="__RefHeading___Toc9492_2977050583"/>
      <w:bookmarkStart w:id="227" w:name="CSA_H_10"/>
      <w:bookmarkEnd w:id="226"/>
      <w:r>
        <w:rPr/>
        <w:t>Checkpoints and Existing Workflow Integration</w:t>
      </w:r>
      <w:bookmarkEnd w:id="227"/>
    </w:p>
    <w:p>
      <w:pPr>
        <w:pStyle w:val="Heading2"/>
        <w:rPr/>
      </w:pPr>
      <w:bookmarkStart w:id="228" w:name="__RefHeading___Toc9494_2977050583"/>
      <w:bookmarkStart w:id="229" w:name="CSA_H_10_1"/>
      <w:bookmarkEnd w:id="228"/>
      <w:r>
        <w:rPr/>
        <w:t>Checkpoint identity and resume</w:t>
      </w:r>
      <w:bookmarkEnd w:id="229"/>
    </w:p>
    <w:p>
      <w:pPr>
        <w:pStyle w:val="Normal"/>
        <w:widowControl/>
        <w:rPr/>
      </w:pPr>
      <w:r>
        <w:rPr/>
        <w:t>A width checkpoint identifies width-type-I, D, r, the selected basis and resolved version, coordinate and stabilization policies, basis fingerprint, operator shapes, and any active depth configuration. It stores compact learned arrays and sufficient deterministic basis metadata or the shared fixed basis buffer. Derived G and b are rebuildable and need not be checkpoint parameters.</w:t>
      </w:r>
      <w:r>
        <w:rPr>
          <w:color w:val="5E6B78"/>
          <w:sz w:val="17"/>
        </w:rPr>
        <w:t xml:space="preserve">  [CSA</w:t>
        <w:noBreakHyphen/>
        <w:t>INT</w:t>
        <w:noBreakHyphen/>
        <w:t>001, CSA</w:t>
        <w:noBreakHyphen/>
        <w:t>INT</w:t>
        <w:noBreakHyphen/>
        <w:t>002]</w:t>
      </w:r>
    </w:p>
    <w:p>
      <w:pPr>
        <w:pStyle w:val="Normal"/>
        <w:widowControl/>
        <w:rPr/>
      </w:pPr>
      <w:r>
        <w:rPr/>
        <w:t>Resume checks the saved representation and basis identity before loading tensors. It rejects incompatible widths, bases, or additional geometries rather than padding, truncating, or interpreting coefficients under another basis. Optimizer state loads for the same compact parameter identities, and instrumentation retains its capture step and deterministic probe sample state.</w:t>
      </w:r>
      <w:r>
        <w:rPr>
          <w:color w:val="5E6B78"/>
          <w:sz w:val="17"/>
        </w:rPr>
        <w:t xml:space="preserve">  [CSA</w:t>
        <w:noBreakHyphen/>
        <w:t>INT</w:t>
        <w:noBreakHyphen/>
        <w:t>003]</w:t>
      </w:r>
    </w:p>
    <w:p>
      <w:pPr>
        <w:pStyle w:val="Heading2"/>
        <w:rPr/>
      </w:pPr>
      <w:bookmarkStart w:id="230" w:name="__RefHeading___Toc9496_2977050583"/>
      <w:bookmarkStart w:id="231" w:name="CSA_H_10_2"/>
      <w:bookmarkEnd w:id="230"/>
      <w:r>
        <w:rPr/>
        <w:t>Existing runs and selection surfaces</w:t>
      </w:r>
      <w:bookmarkEnd w:id="231"/>
    </w:p>
    <w:p>
      <w:pPr>
        <w:pStyle w:val="Normal"/>
        <w:widowControl/>
        <w:rPr/>
      </w:pPr>
      <w:r>
        <w:rPr/>
        <w:t>When width is not selected, existing model paths, options, checkpoints, and chart behavior retain their current semantics. Legacy full-width checkpoint conversion is not part of v0.1; a selected width run trains from scratch or resumes a compatible width checkpoint. Conversion would require separately specified embedding and operator projections and must not happen silently on load.</w:t>
      </w:r>
      <w:r>
        <w:rPr>
          <w:color w:val="5E6B78"/>
          <w:sz w:val="17"/>
        </w:rPr>
        <w:t xml:space="preserve">  [CSA</w:t>
        <w:noBreakHyphen/>
        <w:t>INT</w:t>
        <w:noBreakHyphen/>
        <w:t>004]</w:t>
      </w:r>
    </w:p>
    <w:p>
      <w:pPr>
        <w:pStyle w:val="Normal"/>
        <w:widowControl/>
        <w:rPr/>
      </w:pPr>
      <w:r>
        <w:rPr/>
        <w:t>The existing command wrappers and Runner/Grid configuration surfaces expose the width selector, preset, scoped options, and instrumentation settings. Run records show both reference and residual widths and independent depth order and basis information so that comparisons do not mistake a 128-coefficient residual for an ordinary 1024-wide GPT. No extra run catalogue or checkpoint manager is introduced.</w:t>
      </w:r>
      <w:r>
        <w:rPr>
          <w:color w:val="5E6B78"/>
          <w:sz w:val="17"/>
        </w:rPr>
        <w:t xml:space="preserve">  [CSA</w:t>
        <w:noBreakHyphen/>
        <w:t>INT</w:t>
        <w:noBreakHyphen/>
        <w:t>005, CSA</w:t>
        <w:noBreakHyphen/>
        <w:t>INT</w:t>
        <w:noBreakHyphen/>
        <w:t>006]</w:t>
      </w:r>
    </w:p>
    <w:p>
      <w:pPr>
        <w:pStyle w:val="Heading2"/>
        <w:rPr/>
      </w:pPr>
      <w:bookmarkStart w:id="232" w:name="__RefHeading___Toc9498_2977050583"/>
      <w:bookmarkStart w:id="233" w:name="CSA_H_10_3"/>
      <w:bookmarkEnd w:id="232"/>
      <w:r>
        <w:rPr/>
        <w:t>Requirements</w:t>
      </w:r>
      <w:bookmarkEnd w:id="233"/>
    </w:p>
    <w:p>
      <w:pPr>
        <w:pStyle w:val="Requirement"/>
        <w:keepLines/>
        <w:rPr/>
      </w:pPr>
      <w:bookmarkStart w:id="234" w:name="CSA_INT_001"/>
      <w:r>
        <w:rPr>
          <w:b/>
          <w:color w:val="1F4E79"/>
        </w:rPr>
        <w:t>CSA-INT-001</w:t>
      </w:r>
      <w:r>
        <w:rPr/>
        <w:t xml:space="preserve">  Width checkpoints shall record representation identity, dimensions, basis metadata and fingerprint, operator shapes, and selected depth configuration.</w:t>
      </w:r>
      <w:bookmarkEnd w:id="234"/>
    </w:p>
    <w:p>
      <w:pPr>
        <w:pStyle w:val="Requirement"/>
        <w:keepLines/>
        <w:rPr/>
      </w:pPr>
      <w:bookmarkStart w:id="235" w:name="CSA_INT_002"/>
      <w:r>
        <w:rPr>
          <w:b/>
          <w:color w:val="1F4E79"/>
        </w:rPr>
        <w:t>CSA-INT-002</w:t>
      </w:r>
      <w:r>
        <w:rPr/>
        <w:t xml:space="preserve">  Checkpoints shall store compact learned arrays and reproducible basis data while treating G and b as rebuildable derived operators.</w:t>
      </w:r>
      <w:bookmarkEnd w:id="235"/>
    </w:p>
    <w:p>
      <w:pPr>
        <w:pStyle w:val="Requirement"/>
        <w:keepLines/>
        <w:rPr/>
      </w:pPr>
      <w:bookmarkStart w:id="236" w:name="CSA_INT_003"/>
      <w:r>
        <w:rPr>
          <w:b/>
          <w:color w:val="1F4E79"/>
        </w:rPr>
        <w:t>CSA-INT-003</w:t>
      </w:r>
      <w:r>
        <w:rPr/>
        <w:t xml:space="preserve">  Resume shall validate representation identity before tensor loading and restore compatible optimizer and deterministic instrumentation state.</w:t>
      </w:r>
      <w:bookmarkEnd w:id="236"/>
    </w:p>
    <w:p>
      <w:pPr>
        <w:pStyle w:val="Requirement"/>
        <w:keepLines/>
        <w:rPr/>
      </w:pPr>
      <w:bookmarkStart w:id="237" w:name="CSA_INT_004"/>
      <w:r>
        <w:rPr>
          <w:b/>
          <w:color w:val="1F4E79"/>
        </w:rPr>
        <w:t>CSA-INT-004</w:t>
      </w:r>
      <w:r>
        <w:rPr/>
        <w:t xml:space="preserve">  Version 0.1 shall preserve non-width behavior and reject legacy full-width checkpoint conversion rather than perform an implicit projection.</w:t>
      </w:r>
      <w:bookmarkEnd w:id="237"/>
    </w:p>
    <w:p>
      <w:pPr>
        <w:pStyle w:val="Requirement"/>
        <w:keepLines/>
        <w:rPr/>
      </w:pPr>
      <w:bookmarkStart w:id="238" w:name="CSA_INT_005"/>
      <w:r>
        <w:rPr>
          <w:b/>
          <w:color w:val="1F4E79"/>
        </w:rPr>
        <w:t>CSA-INT-005</w:t>
      </w:r>
      <w:r>
        <w:rPr/>
        <w:t xml:space="preserve">  Existing wrappers and Runner/Grid surfaces shall expose width controls without creating a separate run or checkpoint subsystem.</w:t>
      </w:r>
      <w:bookmarkEnd w:id="238"/>
    </w:p>
    <w:p>
      <w:pPr>
        <w:pStyle w:val="Requirement"/>
        <w:keepLines/>
        <w:rPr/>
      </w:pPr>
      <w:bookmarkStart w:id="239" w:name="CSA_INT_006"/>
      <w:r>
        <w:rPr>
          <w:b/>
          <w:color w:val="1F4E79"/>
        </w:rPr>
        <w:t>CSA-INT-006</w:t>
      </w:r>
      <w:r>
        <w:rPr/>
        <w:t xml:space="preserve">  Run comparison metadata shall distinguish reference width, retained width, and independent depth settings.</w:t>
      </w:r>
      <w:bookmarkEnd w:id="239"/>
    </w:p>
    <w:p>
      <w:pPr>
        <w:pStyle w:val="Heading1"/>
        <w:rPr/>
      </w:pPr>
      <w:bookmarkStart w:id="240" w:name="__RefHeading___Toc9500_2977050583"/>
      <w:bookmarkStart w:id="241" w:name="CSA_H_11"/>
      <w:bookmarkEnd w:id="240"/>
      <w:r>
        <w:rPr/>
        <w:t>Validation and Acceptance</w:t>
      </w:r>
      <w:bookmarkEnd w:id="241"/>
    </w:p>
    <w:p>
      <w:pPr>
        <w:pStyle w:val="Heading2"/>
        <w:rPr/>
      </w:pPr>
      <w:bookmarkStart w:id="242" w:name="__RefHeading___Toc9502_2977050583"/>
      <w:bookmarkStart w:id="243" w:name="CSA_H_11_1"/>
      <w:bookmarkEnd w:id="242"/>
      <w:r>
        <w:rPr/>
        <w:t>Numerical and architectural checks</w:t>
      </w:r>
      <w:bookmarkEnd w:id="243"/>
    </w:p>
    <w:p>
      <w:pPr>
        <w:pStyle w:val="Normal"/>
        <w:widowControl/>
        <w:rPr/>
      </w:pPr>
      <w:r>
        <w:rPr/>
        <w:t>CPU reference tests compare folded normalization with explicit C LN_D(Cᵀc), including gradients with respect to c, γ, and β. Float64 test fixtures use maximum absolute error at most 10</w:t>
      </w:r>
      <w:r>
        <w:rPr>
          <w:rFonts w:eastAsia="DejaVu Sans" w:cs="DejaVu Sans" w:ascii="DejaVu Sans" w:hAnsi="DejaVu Sans"/>
        </w:rPr>
        <w:t>⁻</w:t>
      </w:r>
      <w:r>
        <w:rPr/>
        <w:t>⁹; float32 fixtures use at most 10</w:t>
      </w:r>
      <w:r>
        <w:rPr>
          <w:rFonts w:eastAsia="DejaVu Sans" w:cs="DejaVu Sans" w:ascii="DejaVu Sans" w:hAnsi="DejaVu Sans"/>
        </w:rPr>
        <w:t>⁻</w:t>
      </w:r>
      <w:r>
        <w:rPr/>
        <w:t>⁴ on bounded test inputs. The suite includes constant-first-mode and general orthonormal bases, bias enabled and disabled, constant or near-constant represented inputs, and the normalization epsilon.</w:t>
      </w:r>
      <w:r>
        <w:rPr>
          <w:color w:val="5E6B78"/>
          <w:sz w:val="17"/>
        </w:rPr>
        <w:t xml:space="preserve">  [CSA</w:t>
        <w:noBreakHyphen/>
        <w:t>VAL</w:t>
        <w:noBreakHyphen/>
        <w:t>001, CSA</w:t>
        <w:noBreakHyphen/>
        <w:t>VAL</w:t>
        <w:noBreakHyphen/>
        <w:t>002]</w:t>
      </w:r>
    </w:p>
    <w:p>
      <w:pPr>
        <w:pStyle w:val="Normal"/>
        <w:widowControl/>
        <w:rPr/>
      </w:pPr>
      <w:r>
        <w:rPr/>
        <w:t>For r = D, a deterministic, dropout-free basis-mapped model must match the dense reference’s outputs and gradients to the same fixture tolerances. Embeddings, linear operators, and head are mapped consistently for this test. For r &lt; D, comparison is with the explicitly projected reference of the specified compact architecture; matching an arbitrary original dense model is not an acceptance condition. Direct depth contractions must match layer-matrix reconstruction on small fixtures, including gradients.</w:t>
      </w:r>
      <w:r>
        <w:rPr>
          <w:color w:val="5E6B78"/>
          <w:sz w:val="17"/>
        </w:rPr>
        <w:t xml:space="preserve">  [CSA</w:t>
        <w:noBreakHyphen/>
        <w:t>VAL</w:t>
        <w:noBreakHyphen/>
        <w:t>003, CSA</w:t>
        <w:noBreakHyphen/>
        <w:t>VAL</w:t>
        <w:noBreakHyphen/>
        <w:t>004]</w:t>
      </w:r>
    </w:p>
    <w:p>
      <w:pPr>
        <w:pStyle w:val="Normal"/>
        <w:widowControl/>
        <w:rPr/>
      </w:pPr>
      <w:r>
        <w:rPr/>
        <w:t>Causality tests change a sequence suffix and check that earlier logits are unchanged. Shape and allocation tests check r-wide residuals, compact learned matrix banks and embeddings, head tying, shared basis storage, and the absence of normal N × D residual or materialized layer-weight allocations. Every registered basis adapter and configuration conflict path has acceptance coverage.</w:t>
      </w:r>
      <w:r>
        <w:rPr>
          <w:color w:val="5E6B78"/>
          <w:sz w:val="17"/>
        </w:rPr>
        <w:t xml:space="preserve">  [CSA</w:t>
        <w:noBreakHyphen/>
        <w:t>VAL</w:t>
        <w:noBreakHyphen/>
        <w:t>005, CSA</w:t>
        <w:noBreakHyphen/>
        <w:t>VAL</w:t>
        <w:noBreakHyphen/>
        <w:t>006]</w:t>
      </w:r>
    </w:p>
    <w:p>
      <w:pPr>
        <w:pStyle w:val="Heading2"/>
        <w:rPr/>
      </w:pPr>
      <w:bookmarkStart w:id="244" w:name="__RefHeading___Toc9504_2977050583"/>
      <w:bookmarkStart w:id="245" w:name="CSA_H_11_2"/>
      <w:bookmarkEnd w:id="244"/>
      <w:r>
        <w:rPr/>
        <w:t>Memory quality and timing experiments</w:t>
      </w:r>
      <w:bookmarkEnd w:id="245"/>
    </w:p>
    <w:p>
      <w:pPr>
        <w:pStyle w:val="Normal"/>
        <w:widowControl/>
        <w:rPr/>
      </w:pPr>
      <w:r>
        <w:rPr/>
        <w:t>The implementation report compares dense, depth-only, width-only, and combined models on the same next-token data and tokenizer, matching D, L, A, F, sequence and batch lengths, training token budget, optimizer policy, and evaluation tokens. It reports seeds, trained parameter counts, measured peak memory, complete-update milliseconds, throughput, held-out cross-entropy, and perplexity. A CPU toy is sufficient for functional acceptance; a meaningful language-model run is needed before a quality claim beyond that toy.</w:t>
      </w:r>
      <w:r>
        <w:rPr>
          <w:color w:val="5E6B78"/>
          <w:sz w:val="17"/>
        </w:rPr>
        <w:t xml:space="preserve">  [CSA</w:t>
        <w:noBreakHyphen/>
        <w:t>VAL</w:t>
        <w:noBreakHyphen/>
        <w:t>007]</w:t>
      </w:r>
    </w:p>
    <w:p>
      <w:pPr>
        <w:pStyle w:val="Normal"/>
        <w:widowControl/>
        <w:rPr/>
      </w:pPr>
      <w:r>
        <w:rPr/>
        <w:t>A same-r ordinary narrow-residual control with conventional coefficient-space LayerNorm is useful to assess the value of the basis-dependent normalization; it is an experiment control, not a second product variant. The release report states any quality change and normalization cost without declaring success from coefficient energy or synthetic-task accuracy alone. No universal acceptable loss increase is invented here: measured trade-offs are made available for a later model-size decision.</w:t>
      </w:r>
      <w:r>
        <w:rPr>
          <w:color w:val="5E6B78"/>
          <w:sz w:val="17"/>
        </w:rPr>
        <w:t xml:space="preserve">  [CSA</w:t>
        <w:noBreakHyphen/>
        <w:t>VAL</w:t>
        <w:noBreakHyphen/>
        <w:t>008]</w:t>
      </w:r>
    </w:p>
    <w:p>
      <w:pPr>
        <w:pStyle w:val="Heading2"/>
        <w:rPr/>
      </w:pPr>
      <w:bookmarkStart w:id="246" w:name="__RefHeading___Toc9506_2977050583"/>
      <w:bookmarkStart w:id="247" w:name="CSA_H_11_3"/>
      <w:bookmarkEnd w:id="246"/>
      <w:r>
        <w:rPr/>
        <w:t>Release acceptance record</w:t>
      </w:r>
      <w:bookmarkEnd w:id="247"/>
    </w:p>
    <w:p>
      <w:pPr>
        <w:pStyle w:val="Normal"/>
        <w:widowControl/>
        <w:rPr/>
      </w:pPr>
      <w:r>
        <w:rPr/>
        <w:t>Version 0.1 is acceptable as an implementation when the numerical, causality, storage, configuration, plug-in, resume, and instrumentation checks pass and the comparative measurements are reproducible. A memory-reduction claim requires a measured decrease in the named storage or peak-memory category; it must not substitute the theoretical core-weight ratio for total memory. Performance regressions and untested deployment scales remain visible in the acceptance record.</w:t>
      </w:r>
      <w:r>
        <w:rPr>
          <w:color w:val="5E6B78"/>
          <w:sz w:val="17"/>
        </w:rPr>
        <w:t xml:space="preserve">  [CSA</w:t>
        <w:noBreakHyphen/>
        <w:t>VAL</w:t>
        <w:noBreakHyphen/>
        <w:t>009]</w:t>
      </w:r>
    </w:p>
    <w:p>
      <w:pPr>
        <w:pStyle w:val="Heading2"/>
        <w:rPr/>
      </w:pPr>
      <w:bookmarkStart w:id="248" w:name="__RefHeading___Toc9508_2977050583"/>
      <w:bookmarkStart w:id="249" w:name="CSA_H_11_4"/>
      <w:bookmarkEnd w:id="248"/>
      <w:r>
        <w:rPr/>
        <w:t>Requirements</w:t>
      </w:r>
      <w:bookmarkEnd w:id="249"/>
    </w:p>
    <w:p>
      <w:pPr>
        <w:pStyle w:val="Requirement"/>
        <w:keepLines/>
        <w:rPr/>
      </w:pPr>
      <w:bookmarkStart w:id="250" w:name="CSA_VAL_001"/>
      <w:r>
        <w:rPr>
          <w:b/>
          <w:color w:val="1F4E79"/>
        </w:rPr>
        <w:t>CSA-VAL-001</w:t>
      </w:r>
      <w:r>
        <w:rPr/>
        <w:t xml:space="preserve">  CPU folded-normalization output and gradient fixtures shall match explicit analysis and synthesis within 10</w:t>
      </w:r>
      <w:r>
        <w:rPr>
          <w:rFonts w:eastAsia="DejaVu Sans" w:cs="DejaVu Sans" w:ascii="DejaVu Sans" w:hAnsi="DejaVu Sans"/>
        </w:rPr>
        <w:t>⁻</w:t>
      </w:r>
      <w:r>
        <w:rPr/>
        <w:t>⁹ float64 and 10</w:t>
      </w:r>
      <w:r>
        <w:rPr>
          <w:rFonts w:eastAsia="DejaVu Sans" w:cs="DejaVu Sans" w:ascii="DejaVu Sans" w:hAnsi="DejaVu Sans"/>
        </w:rPr>
        <w:t>⁻</w:t>
      </w:r>
      <w:r>
        <w:rPr/>
        <w:t>⁴ float32 maximum absolute error.</w:t>
      </w:r>
      <w:bookmarkEnd w:id="250"/>
    </w:p>
    <w:p>
      <w:pPr>
        <w:pStyle w:val="Requirement"/>
        <w:keepLines/>
        <w:rPr/>
      </w:pPr>
      <w:bookmarkStart w:id="251" w:name="CSA_VAL_002"/>
      <w:r>
        <w:rPr>
          <w:b/>
          <w:color w:val="1F4E79"/>
        </w:rPr>
        <w:t>CSA-VAL-002</w:t>
      </w:r>
      <w:r>
        <w:rPr/>
        <w:t xml:space="preserve">  Normalization fixtures shall cover constant-mode and general orthonormal bases, both bias modes, and constant or near-constant represented inputs.</w:t>
      </w:r>
      <w:bookmarkEnd w:id="251"/>
    </w:p>
    <w:p>
      <w:pPr>
        <w:pStyle w:val="Requirement"/>
        <w:keepLines/>
        <w:rPr/>
      </w:pPr>
      <w:bookmarkStart w:id="252" w:name="CSA_VAL_003"/>
      <w:r>
        <w:rPr>
          <w:b/>
          <w:color w:val="1F4E79"/>
        </w:rPr>
        <w:t>CSA-VAL-003</w:t>
      </w:r>
      <w:r>
        <w:rPr/>
        <w:t xml:space="preserve">  A dropout-free r = D basis-mapped model shall match its dense reference, while truncated tests shall use the explicitly projected compact-architecture reference.</w:t>
      </w:r>
      <w:bookmarkEnd w:id="252"/>
    </w:p>
    <w:p>
      <w:pPr>
        <w:pStyle w:val="Requirement"/>
        <w:keepLines/>
        <w:rPr/>
      </w:pPr>
      <w:bookmarkStart w:id="253" w:name="CSA_VAL_004"/>
      <w:r>
        <w:rPr>
          <w:b/>
          <w:color w:val="1F4E79"/>
        </w:rPr>
        <w:t>CSA-VAL-004</w:t>
      </w:r>
      <w:r>
        <w:rPr/>
        <w:t xml:space="preserve">  Direct depth contractions shall match small materialized-layer reference outputs and gradients within the fixture tolerances.</w:t>
      </w:r>
      <w:bookmarkEnd w:id="253"/>
    </w:p>
    <w:p>
      <w:pPr>
        <w:pStyle w:val="Requirement"/>
        <w:keepLines/>
        <w:rPr/>
      </w:pPr>
      <w:bookmarkStart w:id="254" w:name="CSA_VAL_005"/>
      <w:r>
        <w:rPr>
          <w:b/>
          <w:color w:val="1F4E79"/>
        </w:rPr>
        <w:t>CSA-VAL-005</w:t>
      </w:r>
      <w:r>
        <w:rPr/>
        <w:t xml:space="preserve">  Causality tests shall demonstrate unchanged prefix logits after suffix changes, and allocation tests shall verify the specified compact storage and execution boundaries.</w:t>
      </w:r>
      <w:bookmarkEnd w:id="254"/>
    </w:p>
    <w:p>
      <w:pPr>
        <w:pStyle w:val="Requirement"/>
        <w:keepLines/>
        <w:rPr/>
      </w:pPr>
      <w:bookmarkStart w:id="255" w:name="CSA_VAL_006"/>
      <w:r>
        <w:rPr>
          <w:b/>
          <w:color w:val="1F4E79"/>
        </w:rPr>
        <w:t>CSA-VAL-006</w:t>
      </w:r>
      <w:r>
        <w:rPr/>
        <w:t xml:space="preserve">  Acceptance coverage shall include each registered width basis, invalid configuration combinations, head tying, and shared-basis storage.</w:t>
      </w:r>
      <w:bookmarkEnd w:id="255"/>
    </w:p>
    <w:p>
      <w:pPr>
        <w:pStyle w:val="Requirement"/>
        <w:keepLines/>
        <w:rPr/>
      </w:pPr>
      <w:bookmarkStart w:id="256" w:name="CSA_VAL_007"/>
      <w:r>
        <w:rPr>
          <w:b/>
          <w:color w:val="1F4E79"/>
        </w:rPr>
        <w:t>CSA-VAL-007</w:t>
      </w:r>
      <w:r>
        <w:rPr/>
        <w:t xml:space="preserve">  Comparative reporting shall cover dense, depth-only, width-only, and combined training with matched data and training conditions and record the quality, memory, and timing fields in Section 11.2.</w:t>
      </w:r>
      <w:bookmarkEnd w:id="256"/>
    </w:p>
    <w:p>
      <w:pPr>
        <w:pStyle w:val="Requirement"/>
        <w:keepLines/>
        <w:rPr/>
      </w:pPr>
      <w:bookmarkStart w:id="257" w:name="CSA_VAL_008"/>
      <w:r>
        <w:rPr>
          <w:b/>
          <w:color w:val="1F4E79"/>
        </w:rPr>
        <w:t>CSA-VAL-008</w:t>
      </w:r>
      <w:r>
        <w:rPr/>
        <w:t xml:space="preserve">  A basis-benefit investigation shall use an ordinary same-r residual control and report trade-offs without treating toy accuracy or mode energy as proof of language-model quality.</w:t>
      </w:r>
      <w:bookmarkEnd w:id="257"/>
    </w:p>
    <w:p>
      <w:pPr>
        <w:pStyle w:val="Requirement"/>
        <w:keepLines/>
        <w:rPr/>
      </w:pPr>
      <w:bookmarkStart w:id="258" w:name="CSA_VAL_009"/>
      <w:r>
        <w:rPr>
          <w:b/>
          <w:color w:val="1F4E79"/>
        </w:rPr>
        <w:t>CSA-VAL-009</w:t>
      </w:r>
      <w:r>
        <w:rPr/>
        <w:t xml:space="preserve">  Release shall retain a reproducible acceptance record, make only measured category-specific memory claims, and disclose regressions and untested scales.</w:t>
      </w:r>
      <w:bookmarkEnd w:id="258"/>
    </w:p>
    <w:p>
      <w:pPr>
        <w:pStyle w:val="Heading1"/>
        <w:rPr/>
      </w:pPr>
      <w:bookmarkStart w:id="259" w:name="__RefHeading___Toc9510_2977050583"/>
      <w:bookmarkStart w:id="260" w:name="CSA_H_12"/>
      <w:bookmarkEnd w:id="259"/>
      <w:r>
        <w:rPr/>
        <w:t>Codeset and Code Files Impact</w:t>
      </w:r>
      <w:bookmarkEnd w:id="260"/>
    </w:p>
    <w:p>
      <w:pPr>
        <w:pStyle w:val="Heading2"/>
        <w:rPr/>
      </w:pPr>
      <w:bookmarkStart w:id="261" w:name="__RefHeading___Toc9512_2977050583"/>
      <w:bookmarkStart w:id="262" w:name="CSA_H_12_1"/>
      <w:bookmarkEnd w:id="261"/>
      <w:r>
        <w:rPr/>
        <w:t>New width module and implementation sequence</w:t>
      </w:r>
      <w:bookmarkEnd w:id="262"/>
    </w:p>
    <w:p>
      <w:pPr>
        <w:pStyle w:val="Normal"/>
        <w:widowControl/>
        <w:rPr/>
      </w:pPr>
      <w:r>
        <w:rPr/>
        <w:t>The inspected checkout separates the basis registry, geometry resolution, SheetGPT execution, training entry point, and Instra chart store. File responsibilities below are grounded in that checkout and must be reconciled with the implementation branch before editing. They specify the expected seams, not a claim that the current master has already been changed.</w:t>
      </w:r>
      <w:r>
        <w:rPr>
          <w:color w:val="5E6B78"/>
          <w:sz w:val="17"/>
        </w:rPr>
        <w:t xml:space="preserve">  [CSA</w:t>
        <w:noBreakHyphen/>
        <w:t>CODE</w:t>
        <w:noBreakHyphen/>
        <w:t>001]</w:t>
      </w:r>
    </w:p>
    <w:p>
      <w:pPr>
        <w:pStyle w:val="SpecCaption"/>
        <w:rPr/>
      </w:pPr>
      <w:r>
        <w:rPr/>
        <w:t>Proposed new module</w:t>
      </w:r>
    </w:p>
    <w:tbl>
      <w:tblPr>
        <w:tblW w:w="9639" w:type="dxa"/>
        <w:jc w:val="left"/>
        <w:tblInd w:w="-8" w:type="dxa"/>
        <w:tblLayout w:type="fixed"/>
        <w:tblCellMar>
          <w:top w:w="90" w:type="dxa"/>
          <w:left w:w="100" w:type="dxa"/>
          <w:bottom w:w="90" w:type="dxa"/>
          <w:right w:w="100" w:type="dxa"/>
        </w:tblCellMar>
      </w:tblPr>
      <w:tblGrid>
        <w:gridCol w:w="2833"/>
        <w:gridCol w:w="4706"/>
        <w:gridCol w:w="2100"/>
      </w:tblGrid>
      <w:tr>
        <w:trPr>
          <w:tblHeader w:val="true"/>
        </w:trPr>
        <w:tc>
          <w:tcPr>
            <w:tcW w:w="2833"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Expected file</w:t>
            </w:r>
          </w:p>
        </w:tc>
        <w:tc>
          <w:tcPr>
            <w:tcW w:w="4706"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Responsibility</w:t>
            </w:r>
          </w:p>
        </w:tc>
        <w:tc>
          <w:tcPr>
            <w:tcW w:w="21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2833"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sheet/width.py</w:t>
            </w:r>
          </w:p>
        </w:tc>
        <w:tc>
          <w:tcPr>
            <w:tcW w:w="4706"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Width representation metadata, shared C adapter, projected LayerNorm, derived-operator lifecycle, and bounded capture helpers. A small package may replace this module if existing conventions require it.</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CSA-CODE-002</w:t>
            </w:r>
          </w:p>
        </w:tc>
      </w:tr>
    </w:tbl>
    <w:p>
      <w:pPr>
        <w:pStyle w:val="Normal"/>
        <w:spacing w:lineRule="auto" w:line="360" w:before="0" w:after="60"/>
        <w:rPr/>
      </w:pPr>
      <w:r>
        <w:rPr/>
      </w:r>
    </w:p>
    <w:p>
      <w:pPr>
        <w:pStyle w:val="Normal"/>
        <w:widowControl/>
        <w:rPr/>
      </w:pPr>
      <w:r>
        <w:rPr/>
        <w:t>Implementation begins with representation and Chebyshev/DCT reference tests, then compact embeddings and model operators, then optional fixed depth composition, then bounded instrumentation and workflow integration. Haar and lapped cosine adapters and the complete acceptance matrix finish the v0.1 release. This ordering makes numerical meaning reviewable before performance optimization; it does not change the specified release scope.</w:t>
      </w:r>
      <w:r>
        <w:rPr>
          <w:color w:val="5E6B78"/>
          <w:sz w:val="17"/>
        </w:rPr>
        <w:t xml:space="preserve">  [CSA</w:t>
        <w:noBreakHyphen/>
        <w:t>CODE</w:t>
        <w:noBreakHyphen/>
        <w:t>003]</w:t>
      </w:r>
    </w:p>
    <w:p>
      <w:pPr>
        <w:pStyle w:val="Heading2"/>
        <w:rPr/>
      </w:pPr>
      <w:bookmarkStart w:id="263" w:name="__RefHeading___Toc9514_2977050583"/>
      <w:bookmarkStart w:id="264" w:name="CSA_H_12_2"/>
      <w:bookmarkEnd w:id="263"/>
      <w:r>
        <w:rPr/>
        <w:t>Existing files modified</w:t>
      </w:r>
      <w:bookmarkEnd w:id="264"/>
    </w:p>
    <w:p>
      <w:pPr>
        <w:pStyle w:val="SpecCaption"/>
        <w:rPr/>
      </w:pPr>
      <w:r>
        <w:rPr/>
        <w:t>Existing integration responsibilities</w:t>
      </w:r>
    </w:p>
    <w:tbl>
      <w:tblPr>
        <w:tblW w:w="9639" w:type="dxa"/>
        <w:jc w:val="left"/>
        <w:tblInd w:w="-8" w:type="dxa"/>
        <w:tblLayout w:type="fixed"/>
        <w:tblCellMar>
          <w:top w:w="90" w:type="dxa"/>
          <w:left w:w="100" w:type="dxa"/>
          <w:bottom w:w="90" w:type="dxa"/>
          <w:right w:w="100" w:type="dxa"/>
        </w:tblCellMar>
      </w:tblPr>
      <w:tblGrid>
        <w:gridCol w:w="3400"/>
        <w:gridCol w:w="4139"/>
        <w:gridCol w:w="2100"/>
      </w:tblGrid>
      <w:tr>
        <w:trPr>
          <w:tblHeader w:val="true"/>
        </w:trPr>
        <w:tc>
          <w:tcPr>
            <w:tcW w:w="34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Existing file or area</w:t>
            </w:r>
          </w:p>
        </w:tc>
        <w:tc>
          <w:tcPr>
            <w:tcW w:w="4139"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Required change</w:t>
            </w:r>
          </w:p>
        </w:tc>
        <w:tc>
          <w:tcPr>
            <w:tcW w:w="2100" w:type="dxa"/>
            <w:tcBorders>
              <w:top w:val="single" w:sz="4" w:space="0" w:color="D9D9D9"/>
              <w:left w:val="single" w:sz="4" w:space="0" w:color="D9D9D9"/>
              <w:bottom w:val="single" w:sz="4" w:space="0" w:color="D9D9D9"/>
              <w:right w:val="single" w:sz="4" w:space="0" w:color="D9D9D9"/>
            </w:tcBorders>
            <w:shd w:fill="EDF4FA"/>
            <w:vAlign w:val="center"/>
          </w:tcPr>
          <w:p>
            <w:pPr>
              <w:pStyle w:val="Normal"/>
              <w:keepNext w:val="false"/>
              <w:keepLines w:val="false"/>
              <w:widowControl w:val="false"/>
              <w:spacing w:lineRule="auto" w:line="360" w:before="20" w:after="20"/>
              <w:rPr/>
            </w:pPr>
            <w:r>
              <w:rPr>
                <w:b/>
                <w:color w:val="1F2937"/>
                <w:sz w:val="20"/>
              </w:rPr>
              <w:t>Requirement</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sheet/bases and sheet/basis_registry.py</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Expose registered basis metadata and width capability without duplicating family definitions.</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CSA-CODE-004</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sheet/geometry.py and sheet/geometry_registry.py</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Resolve width-type-I, WIDTH options, independent depth composition, validation, and explanatory output.</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CSA-CODE-005</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sheet/model.py and its configuration</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Separate D, r, A, and F; use compact embeddings/operators, all projected norms, and direct head/depth execution.</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CSA-CODE-006</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run_thog2_owt_core.py and existing wrappers</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Add selector, preset and capture arguments; preserve legacy argument behavior and checkpoint validation.</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CSA-CODE-007</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sheet/local_chart_store.py and existing Instra readers/assets</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Persist and display bounded width summaries, probes, curves, and comparison metadata through existing run paths.</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CSA-CODE-008</w:t>
            </w:r>
          </w:p>
        </w:tc>
      </w:tr>
      <w:tr>
        <w:trPr>
          <w:cantSplit w:val="true"/>
        </w:trPr>
        <w:tc>
          <w:tcPr>
            <w:tcW w:w="34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Runner/Grid configuration and tests</w:t>
            </w:r>
          </w:p>
        </w:tc>
        <w:tc>
          <w:tcPr>
            <w:tcW w:w="4139"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Expose new controls and verify standalone width, joint depth, resume, and instrumentation.</w:t>
            </w:r>
          </w:p>
        </w:tc>
        <w:tc>
          <w:tcPr>
            <w:tcW w:w="2100" w:type="dxa"/>
            <w:tcBorders>
              <w:top w:val="single" w:sz="4" w:space="0" w:color="D9D9D9"/>
              <w:left w:val="single" w:sz="4" w:space="0" w:color="D9D9D9"/>
              <w:bottom w:val="single" w:sz="4" w:space="0" w:color="D9D9D9"/>
              <w:right w:val="single" w:sz="4" w:space="0" w:color="D9D9D9"/>
            </w:tcBorders>
            <w:shd w:fill="FFFFFF"/>
            <w:vAlign w:val="center"/>
          </w:tcPr>
          <w:p>
            <w:pPr>
              <w:pStyle w:val="Normal"/>
              <w:keepNext w:val="false"/>
              <w:keepLines w:val="false"/>
              <w:widowControl w:val="false"/>
              <w:spacing w:lineRule="auto" w:line="360" w:before="20" w:after="20"/>
              <w:rPr/>
            </w:pPr>
            <w:r>
              <w:rPr>
                <w:b w:val="false"/>
                <w:color w:val="1F2937"/>
                <w:sz w:val="20"/>
              </w:rPr>
              <w:t>CSA-CODE-009</w:t>
            </w:r>
          </w:p>
        </w:tc>
      </w:tr>
    </w:tbl>
    <w:p>
      <w:pPr>
        <w:pStyle w:val="Normal"/>
        <w:spacing w:lineRule="auto" w:line="360" w:before="0" w:after="60"/>
        <w:rPr/>
      </w:pPr>
      <w:r>
        <w:rPr/>
      </w:r>
    </w:p>
    <w:p>
      <w:pPr>
        <w:pStyle w:val="Normal"/>
        <w:widowControl/>
        <w:rPr/>
      </w:pPr>
      <w:r>
        <w:rPr/>
        <w:t>The current dense model remains the baseline and need not acquire spectral parameters in non-width runs. No full-model rewrite, new optimizer, new sequence compression, or custom GELU is required. The initial implementation is nevertheless more than an input transform: it changes runtime dimensions, stored matrix axes, normalization, configuration, and checkpoint identity in the width-selected path.</w:t>
      </w:r>
      <w:r>
        <w:rPr>
          <w:color w:val="5E6B78"/>
          <w:sz w:val="17"/>
        </w:rPr>
        <w:t xml:space="preserve">  [CSA</w:t>
        <w:noBreakHyphen/>
        <w:t>CODE</w:t>
        <w:noBreakHyphen/>
        <w:t>010]</w:t>
      </w:r>
    </w:p>
    <w:p>
      <w:pPr>
        <w:pStyle w:val="Heading2"/>
        <w:rPr/>
      </w:pPr>
      <w:bookmarkStart w:id="265" w:name="__RefHeading___Toc9516_2977050583"/>
      <w:bookmarkStart w:id="266" w:name="CSA_H_12_3"/>
      <w:bookmarkEnd w:id="265"/>
      <w:r>
        <w:rPr/>
        <w:t>Requirements</w:t>
      </w:r>
      <w:bookmarkEnd w:id="266"/>
    </w:p>
    <w:p>
      <w:pPr>
        <w:pStyle w:val="Requirement"/>
        <w:keepLines/>
        <w:rPr/>
      </w:pPr>
      <w:bookmarkStart w:id="267" w:name="CSA_CODE_001"/>
      <w:r>
        <w:rPr>
          <w:b/>
          <w:color w:val="1F4E79"/>
        </w:rPr>
        <w:t>CSA-CODE-001</w:t>
      </w:r>
      <w:r>
        <w:rPr/>
        <w:t xml:space="preserve">  Before implementation, the named integration seams shall be reconciled with the selected branch without representing this proposal as existing master behavior.</w:t>
      </w:r>
      <w:bookmarkEnd w:id="267"/>
    </w:p>
    <w:p>
      <w:pPr>
        <w:pStyle w:val="Requirement"/>
        <w:keepLines/>
        <w:rPr/>
      </w:pPr>
      <w:bookmarkStart w:id="268" w:name="CSA_CODE_002"/>
      <w:r>
        <w:rPr>
          <w:b/>
          <w:color w:val="1F4E79"/>
        </w:rPr>
        <w:t>CSA-CODE-002</w:t>
      </w:r>
      <w:r>
        <w:rPr/>
        <w:t xml:space="preserve">  Width representation and projected normalization shall have a coherent module boundary using the shared registry and derived-operator lifecycle.</w:t>
      </w:r>
      <w:bookmarkEnd w:id="268"/>
    </w:p>
    <w:p>
      <w:pPr>
        <w:pStyle w:val="Requirement"/>
        <w:keepLines/>
        <w:rPr/>
      </w:pPr>
      <w:bookmarkStart w:id="269" w:name="CSA_CODE_003"/>
      <w:r>
        <w:rPr>
          <w:b/>
          <w:color w:val="1F4E79"/>
        </w:rPr>
        <w:t>CSA-CODE-003</w:t>
      </w:r>
      <w:r>
        <w:rPr/>
        <w:t xml:space="preserve">  Implementation shall follow the staged sequence in Section 12.1 while delivering the full registered-basis and acceptance scope before v0.1 release.</w:t>
      </w:r>
      <w:bookmarkEnd w:id="269"/>
    </w:p>
    <w:p>
      <w:pPr>
        <w:pStyle w:val="Requirement"/>
        <w:keepLines/>
        <w:rPr/>
      </w:pPr>
      <w:bookmarkStart w:id="270" w:name="CSA_CODE_004"/>
      <w:r>
        <w:rPr>
          <w:b/>
          <w:color w:val="1F4E79"/>
        </w:rPr>
        <w:t>CSA-CODE-004</w:t>
      </w:r>
      <w:r>
        <w:rPr/>
        <w:t xml:space="preserve">  The existing basis registry shall expose width capability and metadata without duplicating family definitions.</w:t>
      </w:r>
      <w:bookmarkEnd w:id="270"/>
    </w:p>
    <w:p>
      <w:pPr>
        <w:pStyle w:val="Requirement"/>
        <w:keepLines/>
        <w:rPr/>
      </w:pPr>
      <w:bookmarkStart w:id="271" w:name="CSA_CODE_005"/>
      <w:r>
        <w:rPr>
          <w:b/>
          <w:color w:val="1F4E79"/>
        </w:rPr>
        <w:t>CSA-CODE-005</w:t>
      </w:r>
      <w:r>
        <w:rPr/>
        <w:t xml:space="preserve">  Existing geometry modules shall resolve and explain width selection and independent depth composition with the specified validation.</w:t>
      </w:r>
      <w:bookmarkEnd w:id="271"/>
    </w:p>
    <w:p>
      <w:pPr>
        <w:pStyle w:val="Requirement"/>
        <w:keepLines/>
        <w:rPr/>
      </w:pPr>
      <w:bookmarkStart w:id="272" w:name="CSA_CODE_006"/>
      <w:r>
        <w:rPr>
          <w:b/>
          <w:color w:val="1F4E79"/>
        </w:rPr>
        <w:t>CSA-CODE-006</w:t>
      </w:r>
      <w:r>
        <w:rPr/>
        <w:t xml:space="preserve">  The SheetGPT model and configuration shall implement separated dimensions, compact arrays, projected norms, and direct head and depth execution.</w:t>
      </w:r>
      <w:bookmarkEnd w:id="272"/>
    </w:p>
    <w:p>
      <w:pPr>
        <w:pStyle w:val="Requirement"/>
        <w:keepLines/>
        <w:rPr/>
      </w:pPr>
      <w:bookmarkStart w:id="273" w:name="CSA_CODE_007"/>
      <w:r>
        <w:rPr>
          <w:b/>
          <w:color w:val="1F4E79"/>
        </w:rPr>
        <w:t>CSA-CODE-007</w:t>
      </w:r>
      <w:r>
        <w:rPr/>
        <w:t xml:space="preserve">  Existing training entry points and wrappers shall expose width and capture arguments and preserve legacy and checkpoint validation behavior.</w:t>
      </w:r>
      <w:bookmarkEnd w:id="273"/>
    </w:p>
    <w:p>
      <w:pPr>
        <w:pStyle w:val="Requirement"/>
        <w:keepLines/>
        <w:rPr/>
      </w:pPr>
      <w:bookmarkStart w:id="274" w:name="CSA_CODE_008"/>
      <w:r>
        <w:rPr>
          <w:b/>
          <w:color w:val="1F4E79"/>
        </w:rPr>
        <w:t>CSA-CODE-008</w:t>
      </w:r>
      <w:r>
        <w:rPr/>
        <w:t xml:space="preserve">  Existing chart storage and Instra readers shall persist and display width summaries, probes, curves, and comparison metadata.</w:t>
      </w:r>
      <w:bookmarkEnd w:id="274"/>
    </w:p>
    <w:p>
      <w:pPr>
        <w:pStyle w:val="Requirement"/>
        <w:keepLines/>
        <w:rPr/>
      </w:pPr>
      <w:bookmarkStart w:id="275" w:name="CSA_CODE_009"/>
      <w:r>
        <w:rPr>
          <w:b/>
          <w:color w:val="1F4E79"/>
        </w:rPr>
        <w:t>CSA-CODE-009</w:t>
      </w:r>
      <w:r>
        <w:rPr/>
        <w:t xml:space="preserve">  Runner/Grid and tests shall expose and verify standalone width, joint depth, compatible resume, and instrumentation.</w:t>
      </w:r>
      <w:bookmarkEnd w:id="275"/>
    </w:p>
    <w:p>
      <w:pPr>
        <w:pStyle w:val="Requirement"/>
        <w:keepLines/>
        <w:spacing w:before="0" w:after="120"/>
        <w:rPr/>
      </w:pPr>
      <w:bookmarkStart w:id="276" w:name="CSA_CODE_010"/>
      <w:r>
        <w:rPr>
          <w:b/>
          <w:color w:val="1F4E79"/>
        </w:rPr>
        <w:t>CSA-CODE-010</w:t>
      </w:r>
      <w:r>
        <w:rPr/>
        <w:t xml:space="preserve">  The width path shall integrate with existing GPT training and optimizer without requiring a new sequence compressor, custom GELU, or replacement dense baseline.</w:t>
      </w:r>
      <w:bookmarkEnd w:id="276"/>
    </w:p>
    <w:sectPr>
      <w:headerReference w:type="default" r:id="rId25"/>
      <w:footerReference w:type="default" r:id="rId26"/>
      <w:type w:val="nextPage"/>
      <w:pgSz w:w="11906" w:h="16838"/>
      <w:pgMar w:left="1134" w:right="1134" w:gutter="0" w:header="340" w:top="1077" w:footer="397"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DejaVu Sans Mono">
    <w:charset w:val="01"/>
    <w:family w:val="roman"/>
    <w:pitch w:val="variable"/>
  </w:font>
  <w:font w:name="Liberation Sans Narrow">
    <w:charset w:val="01"/>
    <w:family w:val="roman"/>
    <w:pitch w:val="variable"/>
  </w:font>
  <w:font w:name="DejaVu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34</w:t>
    </w:r>
    <w:r>
      <w:rPr/>
      <w:fldChar w:fldCharType="end"/>
    </w:r>
    <w:r>
      <w:rPr/>
      <w:t xml:space="preserve"> of </w:t>
    </w:r>
    <w:r>
      <w:rPr/>
      <w:fldChar w:fldCharType="begin"/>
    </w:r>
    <w:r>
      <w:rPr/>
      <w:instrText xml:space="preserve"> NUMPAGES </w:instrText>
    </w:r>
    <w:r>
      <w:rPr/>
      <w:fldChar w:fldCharType="separate"/>
    </w:r>
    <w:r>
      <w:rPr/>
      <w:t>34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THOG Enhancement - Compressed Spectral Parameterization of Activations v0.1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0" w:hanging="0"/>
      </w:pPr>
      <w:rPr>
        <w:sz w:val="40"/>
        <w:b/>
        <w:rFonts w:ascii="Liberation Sans" w:hAnsi="Liberation Sans"/>
        <w:color w:val="1F4E79"/>
      </w:rPr>
    </w:lvl>
    <w:lvl w:ilvl="1">
      <w:start w:val="1"/>
      <w:pStyle w:val="Heading2"/>
      <w:numFmt w:val="decimal"/>
      <w:suff w:val="space"/>
      <w:lvlText w:val="%1.%2"/>
      <w:lvlJc w:val="left"/>
      <w:pPr>
        <w:tabs>
          <w:tab w:val="num" w:pos="0"/>
        </w:tabs>
        <w:ind w:left="0" w:hanging="0"/>
      </w:pPr>
      <w:rPr>
        <w:sz w:val="26"/>
        <w:b/>
        <w:rFonts w:ascii="Liberation Sans" w:hAnsi="Liberation Sans"/>
        <w:color w:val="1F2937"/>
      </w:rPr>
    </w:lvl>
    <w:lvl w:ilvl="2">
      <w:start w:val="1"/>
      <w:pStyle w:val="Heading3"/>
      <w:numFmt w:val="decimal"/>
      <w:suff w:val="space"/>
      <w:lvlText w:val="%1.%2.%3"/>
      <w:lvlJc w:val="left"/>
      <w:pPr>
        <w:tabs>
          <w:tab w:val="num" w:pos="0"/>
        </w:tabs>
        <w:ind w:left="0" w:hanging="0"/>
      </w:pPr>
      <w:rPr>
        <w:sz w:val="22"/>
        <w:b/>
        <w:rFonts w:ascii="Liberation Sans" w:hAnsi="Liberation Sans"/>
        <w:color w:val="1F2937"/>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20"/>
      <w:jc w:val="left"/>
    </w:pPr>
    <w:rPr>
      <w:rFonts w:ascii="Liberation Sans" w:hAnsi="Liberation Sans" w:eastAsia="Liberation Sans" w:cs="Liberation San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numPr>
        <w:ilvl w:val="0"/>
        <w:numId w:val="1"/>
      </w:numPr>
      <w:spacing w:lineRule="auto" w:line="360" w:before="280" w:after="100"/>
      <w:outlineLvl w:val="0"/>
    </w:pPr>
    <w:rPr>
      <w:rFonts w:ascii="Liberation Sans" w:hAnsi="Liberation Sans" w:eastAsia="Liberation Sans" w:cs="Liberation Sans"/>
      <w:b/>
      <w:bCs/>
      <w:color w:val="1F4E79"/>
      <w:sz w:val="40"/>
      <w:szCs w:val="28"/>
    </w:rPr>
  </w:style>
  <w:style w:type="paragraph" w:styleId="Heading2">
    <w:name w:val="Heading 2"/>
    <w:basedOn w:val="Normal"/>
    <w:next w:val="Normal"/>
    <w:link w:val="Heading2Char"/>
    <w:uiPriority w:val="9"/>
    <w:unhideWhenUsed/>
    <w:qFormat/>
    <w:rsid w:val="00fc693f"/>
    <w:pPr>
      <w:keepNext w:val="true"/>
      <w:keepLines/>
      <w:numPr>
        <w:ilvl w:val="1"/>
        <w:numId w:val="1"/>
      </w:numPr>
      <w:spacing w:lineRule="auto" w:line="360" w:before="180" w:after="100"/>
      <w:outlineLvl w:val="1"/>
    </w:pPr>
    <w:rPr>
      <w:rFonts w:ascii="Liberation Sans" w:hAnsi="Liberation Sans" w:eastAsia="Liberation Sans" w:cs="Liberation Sans"/>
      <w:b/>
      <w:bCs/>
      <w:color w:val="1F2937"/>
      <w:sz w:val="26"/>
      <w:szCs w:val="26"/>
    </w:rPr>
  </w:style>
  <w:style w:type="paragraph" w:styleId="Heading3">
    <w:name w:val="Heading 3"/>
    <w:basedOn w:val="Normal"/>
    <w:next w:val="Normal"/>
    <w:link w:val="Heading3Char"/>
    <w:uiPriority w:val="9"/>
    <w:unhideWhenUsed/>
    <w:qFormat/>
    <w:rsid w:val="00fc693f"/>
    <w:pPr>
      <w:keepNext w:val="true"/>
      <w:keepLines/>
      <w:numPr>
        <w:ilvl w:val="2"/>
        <w:numId w:val="1"/>
      </w:numPr>
      <w:spacing w:lineRule="auto" w:line="360" w:before="180" w:after="100"/>
      <w:outlineLvl w:val="2"/>
    </w:pPr>
    <w:rPr>
      <w:rFonts w:ascii="Liberation Sans" w:hAnsi="Liberation Sans" w:eastAsia="Liberation Sans" w:cs="Liberation Sans"/>
      <w:b/>
      <w:bCs/>
      <w:color w:val="1F2937"/>
      <w:sz w:val="22"/>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lineRule="auto" w:line="360"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lineRule="auto" w:line="360"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lineRule="auto" w:line="360"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lineRule="auto" w:line="360"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lineRule="auto" w:line="360"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lineRule="auto" w:line="360" w:before="0" w:after="120"/>
    </w:pPr>
    <w:rPr/>
  </w:style>
  <w:style w:type="paragraph" w:styleId="List">
    <w:name w:val="List"/>
    <w:basedOn w:val="Normal"/>
    <w:uiPriority w:val="99"/>
    <w:unhideWhenUsed/>
    <w:rsid w:val="00aa1d8d"/>
    <w:pPr>
      <w:spacing w:lineRule="auto" w:line="360"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keepNext w:val="false"/>
      <w:keepLines w:val="false"/>
      <w:pageBreakBefore w:val="false"/>
      <w:tabs>
        <w:tab w:val="clear" w:pos="720"/>
        <w:tab w:val="center" w:pos="4680" w:leader="none"/>
        <w:tab w:val="right" w:pos="9360" w:leader="none"/>
      </w:tabs>
      <w:spacing w:lineRule="auto" w:line="360" w:before="0" w:after="0"/>
    </w:pPr>
    <w:rPr>
      <w:rFonts w:ascii="Liberation Sans" w:hAnsi="Liberation Sans" w:eastAsia="Liberation Sans" w:cs="Liberation Sans"/>
      <w:b w:val="false"/>
      <w:color w:val="1F2937"/>
      <w:sz w:val="17"/>
    </w:rPr>
  </w:style>
  <w:style w:type="paragraph" w:styleId="Footer">
    <w:name w:val="Footer"/>
    <w:basedOn w:val="Normal"/>
    <w:link w:val="FooterChar"/>
    <w:uiPriority w:val="99"/>
    <w:unhideWhenUsed/>
    <w:rsid w:val="00e618bf"/>
    <w:pPr>
      <w:keepNext w:val="false"/>
      <w:keepLines w:val="false"/>
      <w:pageBreakBefore w:val="false"/>
      <w:tabs>
        <w:tab w:val="clear" w:pos="720"/>
        <w:tab w:val="center" w:pos="4680" w:leader="none"/>
        <w:tab w:val="right" w:pos="9360" w:leader="none"/>
      </w:tabs>
      <w:spacing w:lineRule="auto" w:line="360" w:before="0" w:after="0"/>
    </w:pPr>
    <w:rPr>
      <w:rFonts w:ascii="Liberation Sans" w:hAnsi="Liberation Sans" w:eastAsia="Liberation Sans" w:cs="Liberation Sans"/>
      <w:b w:val="false"/>
      <w:color w:val="1F2937"/>
      <w:sz w:val="18"/>
    </w:rPr>
  </w:style>
  <w:style w:type="paragraph" w:styleId="NoSpacing">
    <w:name w:val="No Spacing"/>
    <w:uiPriority w:val="1"/>
    <w:qFormat/>
    <w:rsid w:val="00fc693f"/>
    <w:pPr>
      <w:widowControl/>
      <w:suppressAutoHyphens w:val="true"/>
      <w:bidi w:val="0"/>
      <w:spacing w:lineRule="auto" w:line="36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360" w:before="0" w:after="240"/>
      <w:contextualSpacing/>
    </w:pPr>
    <w:rPr>
      <w:rFonts w:ascii="Liberation Sans" w:hAnsi="Liberation Sans" w:eastAsia="Liberation Sans" w:cs="Liberation Sans"/>
      <w:b/>
      <w:color w:val="1F4E79"/>
      <w:spacing w:val="5"/>
      <w:kern w:val="2"/>
      <w:sz w:val="56"/>
      <w:szCs w:val="52"/>
    </w:rPr>
  </w:style>
  <w:style w:type="paragraph" w:styleId="Subtitle">
    <w:name w:val="Subtitle"/>
    <w:basedOn w:val="Normal"/>
    <w:next w:val="Normal"/>
    <w:link w:val="SubtitleChar"/>
    <w:uiPriority w:val="11"/>
    <w:qFormat/>
    <w:rsid w:val="00fc693f"/>
    <w:pPr>
      <w:spacing w:lineRule="auto" w:line="360"/>
    </w:pPr>
    <w:rPr>
      <w:rFonts w:ascii="Liberation Sans" w:hAnsi="Liberation Sans" w:eastAsia="Liberation Sans" w:cs="Liberation Sans"/>
      <w:b w:val="false"/>
      <w:i w:val="false"/>
      <w:iCs/>
      <w:color w:val="1F2937"/>
      <w:spacing w:val="15"/>
      <w:sz w:val="26"/>
      <w:szCs w:val="24"/>
    </w:rPr>
  </w:style>
  <w:style w:type="paragraph" w:styleId="ListParagraph">
    <w:name w:val="List Paragraph"/>
    <w:basedOn w:val="Normal"/>
    <w:uiPriority w:val="34"/>
    <w:qFormat/>
    <w:rsid w:val="00fc693f"/>
    <w:pPr>
      <w:spacing w:lineRule="auto" w:line="360"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360" w:before="0" w:after="120"/>
    </w:pPr>
    <w:rPr/>
  </w:style>
  <w:style w:type="paragraph" w:styleId="BodyText3">
    <w:name w:val="Body Text 3"/>
    <w:basedOn w:val="Normal"/>
    <w:link w:val="BodyText3Char"/>
    <w:uiPriority w:val="99"/>
    <w:unhideWhenUsed/>
    <w:qFormat/>
    <w:rsid w:val="00aa1d8d"/>
    <w:pPr>
      <w:spacing w:lineRule="auto" w:line="360" w:before="0" w:after="120"/>
    </w:pPr>
    <w:rPr>
      <w:sz w:val="16"/>
      <w:szCs w:val="16"/>
    </w:rPr>
  </w:style>
  <w:style w:type="paragraph" w:styleId="ListBullet3">
    <w:name w:val="List Bullet 3"/>
    <w:basedOn w:val="Normal"/>
    <w:uiPriority w:val="99"/>
    <w:unhideWhenUsed/>
    <w:qFormat/>
    <w:rsid w:val="00326f90"/>
    <w:pPr>
      <w:numPr>
        <w:ilvl w:val="0"/>
        <w:numId w:val="4"/>
      </w:numPr>
      <w:spacing w:lineRule="auto" w:line="360" w:before="0" w:after="120"/>
      <w:contextualSpacing/>
    </w:pPr>
    <w:rPr/>
  </w:style>
  <w:style w:type="paragraph" w:styleId="ListBullet4">
    <w:name w:val="List Bullet 4"/>
    <w:basedOn w:val="Normal"/>
    <w:uiPriority w:val="99"/>
    <w:unhideWhenUsed/>
    <w:qFormat/>
    <w:rsid w:val="00326f90"/>
    <w:pPr>
      <w:spacing w:lineRule="auto" w:line="360" w:before="0" w:after="120"/>
      <w:ind w:left="1080" w:hanging="360"/>
      <w:contextualSpacing/>
    </w:pPr>
    <w:rPr/>
  </w:style>
  <w:style w:type="paragraph" w:styleId="ListBullet">
    <w:name w:val="List Bullet"/>
    <w:basedOn w:val="Normal"/>
    <w:uiPriority w:val="99"/>
    <w:unhideWhenUsed/>
    <w:qFormat/>
    <w:rsid w:val="00326f90"/>
    <w:pPr>
      <w:numPr>
        <w:ilvl w:val="0"/>
        <w:numId w:val="2"/>
      </w:numPr>
      <w:spacing w:lineRule="auto" w:line="360" w:before="0" w:after="120"/>
      <w:contextualSpacing/>
    </w:pPr>
    <w:rPr/>
  </w:style>
  <w:style w:type="paragraph" w:styleId="ListBullet2">
    <w:name w:val="List Bullet 2"/>
    <w:basedOn w:val="Normal"/>
    <w:uiPriority w:val="99"/>
    <w:unhideWhenUsed/>
    <w:qFormat/>
    <w:rsid w:val="00326f90"/>
    <w:pPr>
      <w:numPr>
        <w:ilvl w:val="0"/>
        <w:numId w:val="3"/>
      </w:numPr>
      <w:spacing w:lineRule="auto" w:line="360" w:before="0" w:after="120"/>
      <w:contextualSpacing/>
    </w:pPr>
    <w:rPr/>
  </w:style>
  <w:style w:type="paragraph" w:styleId="ListNumber">
    <w:name w:val="List Number"/>
    <w:basedOn w:val="Normal"/>
    <w:uiPriority w:val="99"/>
    <w:unhideWhenUsed/>
    <w:qFormat/>
    <w:rsid w:val="00326f90"/>
    <w:pPr>
      <w:numPr>
        <w:ilvl w:val="0"/>
        <w:numId w:val="5"/>
      </w:numPr>
      <w:spacing w:lineRule="auto" w:line="360" w:before="0" w:after="120"/>
      <w:contextualSpacing/>
    </w:pPr>
    <w:rPr/>
  </w:style>
  <w:style w:type="paragraph" w:styleId="ListNumber2">
    <w:name w:val="List Number 2"/>
    <w:basedOn w:val="Normal"/>
    <w:uiPriority w:val="99"/>
    <w:unhideWhenUsed/>
    <w:qFormat/>
    <w:rsid w:val="0029639d"/>
    <w:pPr>
      <w:numPr>
        <w:ilvl w:val="0"/>
        <w:numId w:val="6"/>
      </w:numPr>
      <w:spacing w:lineRule="auto" w:line="360" w:before="0" w:after="120"/>
      <w:contextualSpacing/>
    </w:pPr>
    <w:rPr/>
  </w:style>
  <w:style w:type="paragraph" w:styleId="ListNumber3">
    <w:name w:val="List Number 3"/>
    <w:basedOn w:val="Normal"/>
    <w:uiPriority w:val="99"/>
    <w:unhideWhenUsed/>
    <w:qFormat/>
    <w:rsid w:val="0029639d"/>
    <w:pPr>
      <w:numPr>
        <w:ilvl w:val="0"/>
        <w:numId w:val="7"/>
      </w:numPr>
      <w:spacing w:lineRule="auto" w:line="360" w:before="0" w:after="120"/>
      <w:contextualSpacing/>
    </w:pPr>
    <w:rPr/>
  </w:style>
  <w:style w:type="paragraph" w:styleId="ListContinue">
    <w:name w:val="List Continue"/>
    <w:basedOn w:val="Normal"/>
    <w:uiPriority w:val="99"/>
    <w:unhideWhenUsed/>
    <w:qFormat/>
    <w:rsid w:val="0029639d"/>
    <w:pPr>
      <w:spacing w:lineRule="auto" w:line="360" w:before="0" w:after="120"/>
      <w:ind w:left="360" w:hanging="0"/>
      <w:contextualSpacing/>
    </w:pPr>
    <w:rPr/>
  </w:style>
  <w:style w:type="paragraph" w:styleId="ListContinue2">
    <w:name w:val="List Continue 2"/>
    <w:basedOn w:val="Normal"/>
    <w:uiPriority w:val="99"/>
    <w:unhideWhenUsed/>
    <w:qFormat/>
    <w:rsid w:val="0029639d"/>
    <w:pPr>
      <w:spacing w:lineRule="auto" w:line="360" w:before="0" w:after="120"/>
      <w:ind w:left="720" w:hanging="0"/>
      <w:contextualSpacing/>
    </w:pPr>
    <w:rPr/>
  </w:style>
  <w:style w:type="paragraph" w:styleId="ListContinue3">
    <w:name w:val="List Continue 3"/>
    <w:basedOn w:val="Normal"/>
    <w:uiPriority w:val="99"/>
    <w:unhideWhenUsed/>
    <w:qFormat/>
    <w:rsid w:val="0029639d"/>
    <w:pPr>
      <w:spacing w:lineRule="auto" w:line="360"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360"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spacing w:lineRule="auto" w:line="360"/>
    </w:pPr>
    <w:rPr>
      <w:i/>
      <w:iCs/>
      <w:color w:val="000000" w:themeColor="text1"/>
    </w:rPr>
  </w:style>
  <w:style w:type="paragraph" w:styleId="Caption1">
    <w:name w:val="caption"/>
    <w:basedOn w:val="Normal"/>
    <w:next w:val="Normal"/>
    <w:uiPriority w:val="35"/>
    <w:semiHidden/>
    <w:unhideWhenUsed/>
    <w:qFormat/>
    <w:rsid w:val="00fc693f"/>
    <w:pPr>
      <w:spacing w:lineRule="auto" w:line="36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lineRule="auto" w:line="360"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numPr>
        <w:ilvl w:val="0"/>
        <w:numId w:val="0"/>
      </w:numPr>
      <w:spacing w:lineRule="auto" w:line="360"/>
      <w:outlineLvl w:val="9"/>
    </w:pPr>
    <w:rPr/>
  </w:style>
  <w:style w:type="paragraph" w:styleId="Requirement" w:customStyle="1">
    <w:name w:val="Requirement"/>
    <w:qFormat/>
    <w:pPr>
      <w:widowControl/>
      <w:suppressAutoHyphens w:val="true"/>
      <w:bidi w:val="0"/>
      <w:spacing w:lineRule="auto" w:line="360" w:before="0" w:after="120"/>
      <w:ind w:left="0" w:hanging="0"/>
      <w:jc w:val="left"/>
    </w:pPr>
    <w:rPr>
      <w:rFonts w:ascii="Liberation Sans" w:hAnsi="Liberation Sans" w:eastAsia="Liberation Sans" w:cs="Liberation Sans"/>
      <w:color w:val="1F2937"/>
      <w:kern w:val="0"/>
      <w:sz w:val="21"/>
      <w:szCs w:val="22"/>
      <w:lang w:val="en-US" w:eastAsia="en-US" w:bidi="ar-SA"/>
    </w:rPr>
  </w:style>
  <w:style w:type="paragraph" w:styleId="TOCTitle" w:customStyle="1">
    <w:name w:val="TOC Title"/>
    <w:qFormat/>
    <w:pPr>
      <w:keepNext w:val="true"/>
      <w:widowControl/>
      <w:suppressAutoHyphens w:val="true"/>
      <w:bidi w:val="0"/>
      <w:spacing w:lineRule="auto" w:line="360" w:before="0" w:after="240"/>
      <w:jc w:val="left"/>
    </w:pPr>
    <w:rPr>
      <w:rFonts w:ascii="Liberation Sans" w:hAnsi="Liberation Sans" w:eastAsia="ＭＳ 明朝" w:cs=""/>
      <w:b/>
      <w:color w:val="1F4E79"/>
      <w:kern w:val="0"/>
      <w:sz w:val="40"/>
      <w:szCs w:val="22"/>
      <w:lang w:val="en-US" w:eastAsia="en-US" w:bidi="ar-SA"/>
    </w:rPr>
  </w:style>
  <w:style w:type="paragraph" w:styleId="Contents1" w:customStyle="1">
    <w:name w:val="TOC 1"/>
    <w:pPr>
      <w:keepNext w:val="false"/>
      <w:keepLines w:val="false"/>
      <w:pageBreakBefore w:val="false"/>
      <w:widowControl w:val="false"/>
      <w:suppressAutoHyphens w:val="true"/>
      <w:bidi w:val="0"/>
      <w:spacing w:lineRule="auto" w:line="360" w:before="0" w:after="0"/>
      <w:jc w:val="left"/>
    </w:pPr>
    <w:rPr>
      <w:rFonts w:ascii="Liberation Sans" w:hAnsi="Liberation Sans" w:eastAsia="Liberation Sans" w:cs="Liberation Sans"/>
      <w:b/>
      <w:color w:val="1F2937"/>
      <w:kern w:val="0"/>
      <w:sz w:val="21"/>
      <w:szCs w:val="22"/>
      <w:lang w:val="en-US" w:eastAsia="en-US" w:bidi="ar-SA"/>
    </w:rPr>
  </w:style>
  <w:style w:type="paragraph" w:styleId="Contents2" w:customStyle="1">
    <w:name w:val="TOC 2"/>
    <w:pPr>
      <w:keepNext w:val="false"/>
      <w:keepLines w:val="false"/>
      <w:pageBreakBefore w:val="false"/>
      <w:widowControl w:val="false"/>
      <w:suppressAutoHyphens w:val="true"/>
      <w:bidi w:val="0"/>
      <w:spacing w:lineRule="auto" w:line="360" w:before="0" w:after="0"/>
      <w:jc w:val="left"/>
    </w:pPr>
    <w:rPr>
      <w:rFonts w:ascii="Liberation Sans" w:hAnsi="Liberation Sans" w:eastAsia="Liberation Sans" w:cs="Liberation Sans"/>
      <w:b w:val="false"/>
      <w:color w:val="1F2937"/>
      <w:kern w:val="0"/>
      <w:sz w:val="21"/>
      <w:szCs w:val="22"/>
      <w:lang w:val="en-US" w:eastAsia="en-US" w:bidi="ar-SA"/>
    </w:rPr>
  </w:style>
  <w:style w:type="paragraph" w:styleId="Contents3" w:customStyle="1">
    <w:name w:val="TOC 3"/>
    <w:pPr>
      <w:keepNext w:val="false"/>
      <w:keepLines w:val="false"/>
      <w:pageBreakBefore w:val="false"/>
      <w:widowControl w:val="false"/>
      <w:suppressAutoHyphens w:val="true"/>
      <w:bidi w:val="0"/>
      <w:spacing w:lineRule="auto" w:line="360" w:before="0" w:after="0"/>
      <w:jc w:val="left"/>
    </w:pPr>
    <w:rPr>
      <w:rFonts w:ascii="Liberation Sans" w:hAnsi="Liberation Sans" w:eastAsia="ＭＳ 明朝" w:cs=""/>
      <w:b w:val="false"/>
      <w:color w:val="1F2937"/>
      <w:kern w:val="0"/>
      <w:sz w:val="18"/>
      <w:szCs w:val="22"/>
      <w:lang w:val="en-US" w:eastAsia="en-US" w:bidi="ar-SA"/>
    </w:rPr>
  </w:style>
  <w:style w:type="paragraph" w:styleId="MonitoringTOC1" w:customStyle="1">
    <w:name w:val="Monitoring TOC 1"/>
    <w:basedOn w:val="Normal"/>
    <w:qFormat/>
    <w:pPr>
      <w:tabs>
        <w:tab w:val="clear" w:pos="720"/>
        <w:tab w:val="right" w:pos="9144" w:leader="dot"/>
      </w:tabs>
      <w:spacing w:lineRule="auto" w:line="360" w:before="0" w:after="0"/>
      <w:ind w:left="0" w:hanging="0"/>
    </w:pPr>
    <w:rPr>
      <w:rFonts w:ascii="Liberation Sans" w:hAnsi="Liberation Sans"/>
      <w:b/>
      <w:color w:val="1F2937"/>
      <w:sz w:val="18"/>
    </w:rPr>
  </w:style>
  <w:style w:type="paragraph" w:styleId="MonitoringTOC2" w:customStyle="1">
    <w:name w:val="Monitoring TOC 2"/>
    <w:basedOn w:val="Normal"/>
    <w:qFormat/>
    <w:pPr>
      <w:tabs>
        <w:tab w:val="clear" w:pos="720"/>
        <w:tab w:val="right" w:pos="8942" w:leader="dot"/>
      </w:tabs>
      <w:spacing w:lineRule="auto" w:line="360" w:before="0" w:after="0"/>
      <w:ind w:left="202" w:hanging="0"/>
    </w:pPr>
    <w:rPr>
      <w:rFonts w:ascii="Liberation Sans" w:hAnsi="Liberation Sans"/>
      <w:b w:val="false"/>
      <w:color w:val="1F2937"/>
      <w:sz w:val="18"/>
    </w:rPr>
  </w:style>
  <w:style w:type="paragraph" w:styleId="SpecCaption" w:customStyle="1">
    <w:name w:val="Spec Caption"/>
    <w:basedOn w:val="Normal"/>
    <w:qFormat/>
    <w:pPr>
      <w:keepNext w:val="true"/>
      <w:spacing w:lineRule="auto" w:line="360" w:before="0" w:after="80"/>
    </w:pPr>
    <w:rPr>
      <w:rFonts w:ascii="Liberation Sans" w:hAnsi="Liberation Sans" w:eastAsia="Liberation Sans" w:cs="Liberation Sans"/>
      <w:b/>
      <w:color w:val="1F2937"/>
      <w:sz w:val="21"/>
    </w:rPr>
  </w:style>
  <w:style w:type="paragraph" w:styleId="SpecCode" w:customStyle="1">
    <w:name w:val="Spec Code"/>
    <w:basedOn w:val="Normal"/>
    <w:qFormat/>
    <w:pPr>
      <w:spacing w:lineRule="auto" w:line="360" w:before="0" w:after="0"/>
    </w:pPr>
    <w:rPr>
      <w:rFonts w:ascii="DejaVu Sans Mono" w:hAnsi="DejaVu Sans Mono" w:eastAsia="DejaVu Sans Mono" w:cs="DejaVu Sans Mono"/>
      <w:color w:val="1F2937"/>
      <w:sz w:val="20"/>
    </w:rPr>
  </w:style>
  <w:style w:type="paragraph" w:styleId="SpecReference" w:customStyle="1">
    <w:name w:val="Spec Reference"/>
    <w:basedOn w:val="Normal"/>
    <w:qFormat/>
    <w:pPr>
      <w:spacing w:lineRule="auto" w:line="360" w:before="0" w:after="120"/>
    </w:pPr>
    <w:rPr>
      <w:rFonts w:ascii="Liberation Sans" w:hAnsi="Liberation Sans" w:eastAsia="Liberation Sans" w:cs="Liberation Sans"/>
      <w:color w:val="5E6B78"/>
      <w:sz w:val="17"/>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Application>LibreOffice/7.3.7.2$Linux_X86_64 LibreOffice_project/30$Build-2</Application>
  <AppVersion>15.0000</AppVersion>
  <Pages>34</Pages>
  <Words>10059</Words>
  <Characters>63001</Characters>
  <CharactersWithSpaces>72519</CharactersWithSpaces>
  <Paragraphs>659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THOG</dc:creator>
  <dc:description>Version 0.1 draft; all requirements are paired with descriptive coverage.</dc:description>
  <cp:keywords>THOG spectral coefficients residual width Chebyshev projected LayerNorm</cp:keywords>
  <dc:language>en-AU</dc:language>
  <cp:lastModifiedBy/>
  <dcterms:modified xsi:type="dcterms:W3CDTF">2026-10-06T11:46:19Z</dcterms:modified>
  <cp:revision>210</cp:revision>
  <dc:subject>Preferred width-type-I enhancement requirements</dc:subject>
  <dc:title>THOG Enhancement - Compressed Spectral Parameterization of Activations</dc:title>
</cp:coreProperties>
</file>

<file path=docProps/custom.xml><?xml version="1.0" encoding="utf-8"?>
<Properties xmlns="http://schemas.openxmlformats.org/officeDocument/2006/custom-properties" xmlns:vt="http://schemas.openxmlformats.org/officeDocument/2006/docPropsVTypes"/>
</file>