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029C" w:rsidRDefault="00E55627">
      <w:r>
        <w:rPr>
          <w:rFonts w:ascii="Segoe UI" w:hAnsi="Segoe UI" w:cs="Segoe UI"/>
          <w:sz w:val="30"/>
          <w:szCs w:val="30"/>
          <w:shd w:val="clear" w:color="auto" w:fill="FFFFFF"/>
        </w:rPr>
        <w:t xml:space="preserve">Engel &amp; Engel is proud to be a Platinum Sponsor of this year's Institute for Corporate Counsel Program </w:t>
      </w:r>
      <w:r w:rsidR="00DE4FB5">
        <w:rPr>
          <w:rFonts w:ascii="Segoe UI" w:hAnsi="Segoe UI" w:cs="Segoe UI"/>
          <w:sz w:val="30"/>
          <w:szCs w:val="30"/>
          <w:shd w:val="clear" w:color="auto" w:fill="FFFFFF"/>
        </w:rPr>
        <w:t xml:space="preserve">held at The California Club </w:t>
      </w:r>
      <w:r>
        <w:rPr>
          <w:rFonts w:ascii="Segoe UI" w:hAnsi="Segoe UI" w:cs="Segoe UI"/>
          <w:sz w:val="30"/>
          <w:szCs w:val="30"/>
          <w:shd w:val="clear" w:color="auto" w:fill="FFFFFF"/>
        </w:rPr>
        <w:t>on December 3, 2025. This day-long conference hosted by the Gould School of Law and the LACBA Business Law Section brings together top law and consulting firms dedicated to understanding the challenges of California's business environment and changes in the law that impact in-house legal departments.</w:t>
      </w:r>
      <w:bookmarkStart w:id="0" w:name="_GoBack"/>
      <w:bookmarkEnd w:id="0"/>
    </w:p>
    <w:sectPr w:rsidR="004C0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627"/>
    <w:rsid w:val="004C029C"/>
    <w:rsid w:val="00BA4A6F"/>
    <w:rsid w:val="00CE53F3"/>
    <w:rsid w:val="00DE4FB5"/>
    <w:rsid w:val="00E55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480FC4-0C25-47C7-903D-94A01674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Words>
  <Characters>369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2026-04-15T17:56:00Z</dcterms:created>
  <dcterms:modified xsi:type="dcterms:W3CDTF">2026-04-15T17:56:00Z</dcterms:modified>
</cp:coreProperties>
</file>