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B1929" w:val="clear"/>
            <w:tcMar>
              <w:top w:type="dxa" w:w="400"/>
              <w:left w:type="dxa" w:w="400"/>
              <w:bottom w:type="dxa" w:w="400"/>
              <w:right w:type="dxa" w:w="400"/>
            </w:tcMar>
          </w:tcPr>
          <w:p>
            <w:pPr>
              <w:spacing w:after="100"/>
              <w:jc w:val="center"/>
            </w:pPr>
            <w:r>
              <w:rPr>
                <w:rFonts w:ascii="Arial" w:cs="Arial" w:eastAsia="Arial" w:hAnsi="Arial"/>
                <w:b/>
                <w:bCs/>
                <w:color w:val="5B9FFF"/>
                <w:spacing w:val="200"/>
                <w:sz w:val="20"/>
                <w:szCs w:val="20"/>
              </w:rPr>
              <w:t xml:space="preserve">TRUE CHOICE COVERAGE</w:t>
            </w:r>
          </w:p>
          <w:p>
            <w:pPr>
              <w:spacing w:after="80"/>
              <w:jc w:val="center"/>
            </w:pPr>
            <w:r>
              <w:rPr>
                <w:rFonts w:ascii="Arial" w:cs="Arial" w:eastAsia="Arial" w:hAnsi="Arial"/>
                <w:b/>
                <w:bCs/>
                <w:color w:val="FFFFFF"/>
                <w:sz w:val="40"/>
                <w:szCs w:val="40"/>
              </w:rPr>
              <w:t xml:space="preserve">CRM &amp; Retention Management System</w:t>
            </w:r>
          </w:p>
          <w:p>
            <w:pPr>
              <w:jc w:val="center"/>
            </w:pPr>
            <w:r>
              <w:rPr>
                <w:rFonts w:ascii="Arial" w:cs="Arial" w:eastAsia="Arial" w:hAnsi="Arial"/>
                <w:color w:val="8FA3BE"/>
                <w:sz w:val="22"/>
                <w:szCs w:val="22"/>
              </w:rPr>
              <w:t xml:space="preserve">Project Description &amp; UI Design Specification</w:t>
            </w:r>
          </w:p>
        </w:tc>
      </w:tr>
    </w:tbl>
    <w:p>
      <w:pPr>
        <w:spacing w:before="6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8FA3BE"/>
                <w:sz w:val="20"/>
                <w:szCs w:val="20"/>
              </w:rPr>
              <w:t xml:space="preserve">Version</w:t>
            </w:r>
          </w:p>
        </w:tc>
        <w:tc>
          <w:tcPr>
            <w:tcW w:type="dxa" w:w="75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555555"/>
                <w:sz w:val="20"/>
                <w:szCs w:val="20"/>
              </w:rPr>
              <w:t xml:space="preserve">1.0  —  March 2026</w:t>
            </w:r>
          </w:p>
        </w:tc>
      </w:tr>
      <w:tr>
        <w:tc>
          <w:tcPr>
            <w:tcW w:type="dxa" w:w="25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8FA3BE"/>
                <w:sz w:val="20"/>
                <w:szCs w:val="20"/>
              </w:rPr>
              <w:t xml:space="preserve">Platform</w:t>
            </w:r>
          </w:p>
        </w:tc>
        <w:tc>
          <w:tcPr>
            <w:tcW w:type="dxa" w:w="75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555555"/>
                <w:sz w:val="20"/>
                <w:szCs w:val="20"/>
              </w:rPr>
              <w:t xml:space="preserve">Next.js 14  |  React  |  Google Sheets API  |  Recharts</w:t>
            </w:r>
          </w:p>
        </w:tc>
      </w:tr>
      <w:tr>
        <w:tc>
          <w:tcPr>
            <w:tcW w:type="dxa" w:w="25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8FA3BE"/>
                <w:sz w:val="20"/>
                <w:szCs w:val="20"/>
              </w:rPr>
              <w:t xml:space="preserve">Design</w:t>
            </w:r>
          </w:p>
        </w:tc>
        <w:tc>
          <w:tcPr>
            <w:tcW w:type="dxa" w:w="75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555555"/>
                <w:sz w:val="20"/>
                <w:szCs w:val="20"/>
              </w:rPr>
              <w:t xml:space="preserve">Dark theme  |  HubSpot-inspired layout  |  Inline styles</w:t>
            </w:r>
          </w:p>
        </w:tc>
      </w:tr>
    </w:tbl>
    <w:p>
      <w:pPr>
        <w:sectPr>
          <w:pgSz w:w="12240" w:h="15840" w:orient="portrait"/>
          <w:pgMar w:top="1080" w:right="1080" w:bottom="1080" w:left="1080" w:header="708" w:footer="708" w:gutter="0"/>
          <w:pgNumType/>
          <w:docGrid w:linePitch="360"/>
        </w:sectPr>
      </w:pPr>
    </w:p>
    <w:p>
      <w:pPr>
        <w:pStyle w:val="Heading1"/>
        <w:spacing w:after="150" w:before="300"/>
      </w:pPr>
      <w:r>
        <w:rPr>
          <w:rFonts w:ascii="Arial" w:cs="Arial" w:eastAsia="Arial" w:hAnsi="Arial"/>
          <w:b/>
          <w:bCs/>
        </w:rPr>
        <w:t xml:space="preserve">Executive Summary</w:t>
      </w:r>
    </w:p>
    <w:p>
      <w:pPr>
        <w:spacing w:after="120"/>
      </w:pPr>
      <w:r>
        <w:rPr>
          <w:rFonts w:ascii="Arial" w:cs="Arial" w:eastAsia="Arial" w:hAnsi="Arial"/>
          <w:color w:val="333333"/>
          <w:sz w:val="22"/>
          <w:szCs w:val="22"/>
        </w:rPr>
        <w:t xml:space="preserve">The TCC CRM &amp; Retention Management System is an integrated lead management, policyholder retention, and business health analytics platform built directly into the existing TCC Dashboard. It extends the Next.js application with three new dashboard tabs, eight API endpoints, and six new Google Sheets tabs distributed across the existing spreadsheets.</w:t>
      </w:r>
    </w:p>
    <w:p>
      <w:pPr>
        <w:spacing w:after="120"/>
      </w:pPr>
      <w:r>
        <w:rPr>
          <w:rFonts w:ascii="Arial" w:cs="Arial" w:eastAsia="Arial" w:hAnsi="Arial"/>
          <w:color w:val="333333"/>
          <w:sz w:val="22"/>
          <w:szCs w:val="22"/>
        </w:rPr>
        <w:t xml:space="preserve">The system addresses two critical business needs: converting more leads into sales through structured follow-up cadences, and keeping policyholders on the books through proactive retention outreach and lapse management.</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B1929" w:val="clear"/>
            <w:tcMar>
              <w:top w:type="dxa" w:w="80"/>
              <w:left w:type="dxa" w:w="160"/>
              <w:bottom w:type="dxa" w:w="80"/>
              <w:right w:type="dxa" w:w="160"/>
            </w:tcMar>
          </w:tcPr>
          <w:p>
            <w:r>
              <w:rPr>
                <w:rFonts w:ascii="Arial" w:cs="Arial" w:eastAsia="Arial" w:hAnsi="Arial"/>
                <w:b/>
                <w:bCs/>
                <w:color w:val="FFFFFF"/>
                <w:spacing w:val="80"/>
                <w:sz w:val="18"/>
                <w:szCs w:val="18"/>
              </w:rPr>
              <w:t xml:space="preserve">THREE PILLARS</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5B9FFF" w:sz="6"/>
              <w:left w:val="single" w:color="DFE3EB" w:sz="1"/>
              <w:bottom w:val="single" w:color="DFE3EB" w:sz="1"/>
              <w:right w:val="single" w:color="DFE3EB" w:sz="1"/>
            </w:tcBorders>
            <w:shd w:fill="F0F6FF" w:val="clear"/>
            <w:tcMar>
              <w:top w:type="dxa" w:w="160"/>
              <w:left w:type="dxa" w:w="160"/>
              <w:bottom w:type="dxa" w:w="160"/>
              <w:right w:type="dxa" w:w="160"/>
            </w:tcMar>
          </w:tcPr>
          <w:p>
            <w:pPr>
              <w:spacing w:after="80"/>
            </w:pPr>
            <w:r>
              <w:rPr>
                <w:rFonts w:ascii="Arial" w:cs="Arial" w:eastAsia="Arial" w:hAnsi="Arial"/>
                <w:b/>
                <w:bCs/>
                <w:color w:val="5B9FFF"/>
                <w:sz w:val="20"/>
                <w:szCs w:val="20"/>
              </w:rPr>
              <w:t xml:space="preserve">LEAD CRM</w:t>
            </w:r>
          </w:p>
          <w:p>
            <w:pPr>
              <w:spacing w:after="60"/>
            </w:pPr>
            <w:r>
              <w:rPr>
                <w:rFonts w:ascii="Arial" w:cs="Arial" w:eastAsia="Arial" w:hAnsi="Arial"/>
                <w:color w:val="777777"/>
                <w:sz w:val="16"/>
                <w:szCs w:val="16"/>
              </w:rPr>
              <w:t xml:space="preserve">Pre-Sale Pipeline</w:t>
            </w:r>
          </w:p>
          <w:p>
            <w:r>
              <w:rPr>
                <w:rFonts w:ascii="Arial" w:cs="Arial" w:eastAsia="Arial" w:hAnsi="Arial"/>
                <w:color w:val="555555"/>
                <w:sz w:val="18"/>
                <w:szCs w:val="18"/>
              </w:rPr>
              <w:t xml:space="preserve">Ingest leads from call logs, track through conversion, structured follow-up cadences, agent ownership, auto-reassignment to pool.</w:t>
            </w:r>
          </w:p>
        </w:tc>
        <w:tc>
          <w:tcPr>
            <w:tcW w:type="dxa" w:w="3360"/>
            <w:tcBorders>
              <w:top w:val="single" w:color="4ADE80" w:sz="6"/>
              <w:left w:val="single" w:color="DFE3EB" w:sz="1"/>
              <w:bottom w:val="single" w:color="DFE3EB" w:sz="1"/>
              <w:right w:val="single" w:color="DFE3EB" w:sz="1"/>
            </w:tcBorders>
            <w:shd w:fill="F0FFF5" w:val="clear"/>
            <w:tcMar>
              <w:top w:type="dxa" w:w="160"/>
              <w:left w:type="dxa" w:w="160"/>
              <w:bottom w:type="dxa" w:w="160"/>
              <w:right w:type="dxa" w:w="160"/>
            </w:tcMar>
          </w:tcPr>
          <w:p>
            <w:pPr>
              <w:spacing w:after="80"/>
            </w:pPr>
            <w:r>
              <w:rPr>
                <w:rFonts w:ascii="Arial" w:cs="Arial" w:eastAsia="Arial" w:hAnsi="Arial"/>
                <w:b/>
                <w:bCs/>
                <w:color w:val="22A85A"/>
                <w:sz w:val="20"/>
                <w:szCs w:val="20"/>
              </w:rPr>
              <w:t xml:space="preserve">RETENTION</w:t>
            </w:r>
          </w:p>
          <w:p>
            <w:pPr>
              <w:spacing w:after="60"/>
            </w:pPr>
            <w:r>
              <w:rPr>
                <w:rFonts w:ascii="Arial" w:cs="Arial" w:eastAsia="Arial" w:hAnsi="Arial"/>
                <w:color w:val="777777"/>
                <w:sz w:val="16"/>
                <w:szCs w:val="16"/>
              </w:rPr>
              <w:t xml:space="preserve">Post-Sale Lifecycle</w:t>
            </w:r>
          </w:p>
          <w:p>
            <w:r>
              <w:rPr>
                <w:rFonts w:ascii="Arial" w:cs="Arial" w:eastAsia="Arial" w:hAnsi="Arial"/>
                <w:color w:val="555555"/>
                <w:sz w:val="18"/>
                <w:szCs w:val="18"/>
              </w:rPr>
              <w:t xml:space="preserve">Monitor active members, detect at-risk policyholders, record lapse reasons, manage win-back outreach via phone, SMS, and email.</w:t>
            </w:r>
          </w:p>
        </w:tc>
        <w:tc>
          <w:tcPr>
            <w:tcW w:type="dxa" w:w="3360"/>
            <w:tcBorders>
              <w:top w:val="single" w:color="A855F7" w:sz="6"/>
              <w:left w:val="single" w:color="DFE3EB" w:sz="1"/>
              <w:bottom w:val="single" w:color="DFE3EB" w:sz="1"/>
              <w:right w:val="single" w:color="DFE3EB" w:sz="1"/>
            </w:tcBorders>
            <w:shd w:fill="F8F0FF" w:val="clear"/>
            <w:tcMar>
              <w:top w:type="dxa" w:w="160"/>
              <w:left w:type="dxa" w:w="160"/>
              <w:bottom w:type="dxa" w:w="160"/>
              <w:right w:type="dxa" w:w="160"/>
            </w:tcMar>
          </w:tcPr>
          <w:p>
            <w:pPr>
              <w:spacing w:after="80"/>
            </w:pPr>
            <w:r>
              <w:rPr>
                <w:rFonts w:ascii="Arial" w:cs="Arial" w:eastAsia="Arial" w:hAnsi="Arial"/>
                <w:b/>
                <w:bCs/>
                <w:color w:val="A855F7"/>
                <w:sz w:val="20"/>
                <w:szCs w:val="20"/>
              </w:rPr>
              <w:t xml:space="preserve">BUSINESS HEALTH</w:t>
            </w:r>
          </w:p>
          <w:p>
            <w:pPr>
              <w:spacing w:after="60"/>
            </w:pPr>
            <w:r>
              <w:rPr>
                <w:rFonts w:ascii="Arial" w:cs="Arial" w:eastAsia="Arial" w:hAnsi="Arial"/>
                <w:color w:val="777777"/>
                <w:sz w:val="16"/>
                <w:szCs w:val="16"/>
              </w:rPr>
              <w:t xml:space="preserve">Aggregate Analytics</w:t>
            </w:r>
          </w:p>
          <w:p>
            <w:r>
              <w:rPr>
                <w:rFonts w:ascii="Arial" w:cs="Arial" w:eastAsia="Arial" w:hAnsi="Arial"/>
                <w:color w:val="555555"/>
                <w:sz w:val="18"/>
                <w:szCs w:val="18"/>
              </w:rPr>
              <w:t xml:space="preserve">Visualize persistency rates, lapse trends, revenue at risk, carrier comparisons, and agent retention performance.</w:t>
            </w:r>
          </w:p>
        </w:tc>
      </w:tr>
    </w:tbl>
    <w:p>
      <w:pPr>
        <w:spacing w:before="300"/>
      </w:pPr>
    </w:p>
    <w:p>
      <w:pPr>
        <w:pStyle w:val="Heading2"/>
        <w:spacing w:after="150" w:before="300"/>
      </w:pPr>
      <w:r>
        <w:rPr>
          <w:rFonts w:ascii="Arial" w:cs="Arial" w:eastAsia="Arial" w:hAnsi="Arial"/>
          <w:b/>
          <w:bCs/>
        </w:rPr>
        <w:t xml:space="preserve">System Architecture</w:t>
      </w:r>
    </w:p>
    <w:p>
      <w:pPr>
        <w:spacing w:after="120"/>
      </w:pPr>
      <w:r>
        <w:rPr>
          <w:rFonts w:ascii="Arial" w:cs="Arial" w:eastAsia="Arial" w:hAnsi="Arial"/>
          <w:color w:val="333333"/>
          <w:sz w:val="22"/>
          <w:szCs w:val="22"/>
        </w:rPr>
        <w:t xml:space="preserve">The CRM system adds 14 new source files (~100KB) to the existing codebase: 8 API route files, 3 tab components, 2 detail modals, and a shared theme module. All data is stored as new tabs on the existing Google Sheets, requiring no additional spreadsheets or credentials.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40"/>
        <w:gridCol w:w="3440"/>
      </w:tblGrid>
      <w:tr>
        <w:tc>
          <w:tcPr>
            <w:tcW w:type="dxa" w:w="336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Existing Sheet</w:t>
            </w:r>
          </w:p>
        </w:tc>
        <w:tc>
          <w:tcPr>
            <w:tcW w:type="dxa" w:w="336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New Tabs Added</w:t>
            </w:r>
          </w:p>
        </w:tc>
        <w:tc>
          <w:tcPr>
            <w:tcW w:type="dxa" w:w="336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Data Stored</w:t>
            </w:r>
          </w:p>
        </w:tc>
      </w:tr>
      <w:tr>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Call Logs</w:t>
            </w:r>
          </w:p>
        </w:tc>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Leads</w:t>
            </w:r>
          </w:p>
        </w:tc>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Lead pipeline records</w:t>
            </w:r>
          </w:p>
        </w:tc>
      </w:tr>
      <w:tr>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Sales/Policy Tracker</w:t>
            </w:r>
          </w:p>
        </w:tc>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Policyholders, Outreach Tasks</w:t>
            </w:r>
          </w:p>
        </w:tc>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Member tracking, task queue</w:t>
            </w:r>
          </w:p>
        </w:tc>
      </w:tr>
      <w:tr>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Goals</w:t>
            </w:r>
          </w:p>
        </w:tc>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Lapse Config, Business Health, Persistency</w:t>
            </w:r>
          </w:p>
        </w:tc>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Config, snapshots, metrics</w:t>
            </w:r>
          </w:p>
        </w:tc>
      </w:tr>
    </w:tbl>
    <w:p>
      <w:r>
        <w:br w:type="page"/>
      </w:r>
    </w:p>
    <w:p>
      <w:pPr>
        <w:pStyle w:val="Heading1"/>
        <w:spacing w:after="150" w:before="300"/>
      </w:pPr>
      <w:r>
        <w:rPr>
          <w:rFonts w:ascii="Arial" w:cs="Arial" w:eastAsia="Arial" w:hAnsi="Arial"/>
          <w:b/>
          <w:bCs/>
        </w:rPr>
        <w:t xml:space="preserve">Lead CRM — Pre-Sale Pipeline</w:t>
      </w:r>
    </w:p>
    <w:p>
      <w:pPr>
        <w:spacing w:after="120"/>
      </w:pPr>
      <w:r>
        <w:rPr>
          <w:rFonts w:ascii="Arial" w:cs="Arial" w:eastAsia="Arial" w:hAnsi="Arial"/>
          <w:color w:val="333333"/>
          <w:sz w:val="22"/>
          <w:szCs w:val="22"/>
        </w:rPr>
        <w:t xml:space="preserve">The Lead CRM automatically ingests leads from call logs using phone number as the unique identifier. Every inbound call creates or updates a lead record tied to the agent who took the call. Leads move through a structured lifecycle with configurable follow-up cadences.</w:t>
      </w:r>
    </w:p>
    <w:p>
      <w:pPr>
        <w:spacing w:after="10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B1929" w:val="clear"/>
            <w:tcMar>
              <w:top w:type="dxa" w:w="80"/>
              <w:left w:type="dxa" w:w="160"/>
              <w:bottom w:type="dxa" w:w="80"/>
              <w:right w:type="dxa" w:w="160"/>
            </w:tcMar>
          </w:tcPr>
          <w:p>
            <w:r>
              <w:rPr>
                <w:rFonts w:ascii="Arial" w:cs="Arial" w:eastAsia="Arial" w:hAnsi="Arial"/>
                <w:b/>
                <w:bCs/>
                <w:color w:val="FFFFFF"/>
                <w:spacing w:val="80"/>
                <w:sz w:val="18"/>
                <w:szCs w:val="18"/>
              </w:rPr>
              <w:t xml:space="preserve">LEAD LIFECYCLE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tcW w:type="dxa" w:w="1400"/>
            <w:tcBorders>
              <w:top w:val="none" w:color="FFFFFF" w:sz="0"/>
              <w:left w:val="none" w:color="FFFFFF" w:sz="0"/>
              <w:bottom w:val="none" w:color="FFFFFF" w:sz="0"/>
              <w:right w:val="none" w:color="FFFFFF" w:sz="0"/>
            </w:tcBorders>
            <w:shd w:fill="5B9FFF" w:val="clear"/>
            <w:tcMar>
              <w:top w:type="dxa" w:w="40"/>
              <w:left w:type="dxa" w:w="80"/>
              <w:bottom w:type="dxa" w:w="40"/>
              <w:right w:type="dxa" w:w="80"/>
            </w:tcMar>
          </w:tcPr>
          <w:p>
            <w:pPr>
              <w:jc w:val="center"/>
            </w:pPr>
            <w:r>
              <w:rPr>
                <w:rFonts w:ascii="Arial" w:cs="Arial" w:eastAsia="Arial" w:hAnsi="Arial"/>
                <w:b/>
                <w:bCs/>
                <w:color w:val="FFFFFF"/>
                <w:sz w:val="16"/>
                <w:szCs w:val="16"/>
              </w:rPr>
              <w:t xml:space="preserve">NEW</w:t>
            </w:r>
          </w:p>
        </w:tc>
        <w:tc>
          <w:tcPr>
            <w:tcW w:type="dxa" w:w="140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jc w:val="center"/>
            </w:pPr>
            <w:r>
              <w:rPr>
                <w:rFonts w:ascii="Arial" w:cs="Arial" w:eastAsia="Arial" w:hAnsi="Arial"/>
                <w:b/>
                <w:bCs/>
                <w:color w:val="999999"/>
                <w:sz w:val="16"/>
                <w:szCs w:val="16"/>
              </w:rPr>
              <w:t xml:space="preserve">→</w:t>
            </w:r>
          </w:p>
        </w:tc>
        <w:tc>
          <w:tcPr>
            <w:tcW w:type="dxa" w:w="1400"/>
            <w:tcBorders>
              <w:top w:val="none" w:color="FFFFFF" w:sz="0"/>
              <w:left w:val="none" w:color="FFFFFF" w:sz="0"/>
              <w:bottom w:val="none" w:color="FFFFFF" w:sz="0"/>
              <w:right w:val="none" w:color="FFFFFF" w:sz="0"/>
            </w:tcBorders>
            <w:shd w:fill="FACC15" w:val="clear"/>
            <w:tcMar>
              <w:top w:type="dxa" w:w="40"/>
              <w:left w:type="dxa" w:w="80"/>
              <w:bottom w:type="dxa" w:w="40"/>
              <w:right w:type="dxa" w:w="80"/>
            </w:tcMar>
          </w:tcPr>
          <w:p>
            <w:pPr>
              <w:jc w:val="center"/>
            </w:pPr>
            <w:r>
              <w:rPr>
                <w:rFonts w:ascii="Arial" w:cs="Arial" w:eastAsia="Arial" w:hAnsi="Arial"/>
                <w:b/>
                <w:bCs/>
                <w:color w:val="333333"/>
                <w:sz w:val="16"/>
                <w:szCs w:val="16"/>
              </w:rPr>
              <w:t xml:space="preserve">CONTACTED</w:t>
            </w:r>
          </w:p>
        </w:tc>
        <w:tc>
          <w:tcPr>
            <w:tcW w:type="dxa" w:w="140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jc w:val="center"/>
            </w:pPr>
            <w:r>
              <w:rPr>
                <w:rFonts w:ascii="Arial" w:cs="Arial" w:eastAsia="Arial" w:hAnsi="Arial"/>
                <w:b/>
                <w:bCs/>
                <w:color w:val="999999"/>
                <w:sz w:val="16"/>
                <w:szCs w:val="16"/>
              </w:rPr>
              <w:t xml:space="preserve">→</w:t>
            </w:r>
          </w:p>
        </w:tc>
        <w:tc>
          <w:tcPr>
            <w:tcW w:type="dxa" w:w="1400"/>
            <w:tcBorders>
              <w:top w:val="none" w:color="FFFFFF" w:sz="0"/>
              <w:left w:val="none" w:color="FFFFFF" w:sz="0"/>
              <w:bottom w:val="none" w:color="FFFFFF" w:sz="0"/>
              <w:right w:val="none" w:color="FFFFFF" w:sz="0"/>
            </w:tcBorders>
            <w:shd w:fill="9855F7" w:val="clear"/>
            <w:tcMar>
              <w:top w:type="dxa" w:w="40"/>
              <w:left w:type="dxa" w:w="80"/>
              <w:bottom w:type="dxa" w:w="40"/>
              <w:right w:type="dxa" w:w="80"/>
            </w:tcMar>
          </w:tcPr>
          <w:p>
            <w:pPr>
              <w:jc w:val="center"/>
            </w:pPr>
            <w:r>
              <w:rPr>
                <w:rFonts w:ascii="Arial" w:cs="Arial" w:eastAsia="Arial" w:hAnsi="Arial"/>
                <w:b/>
                <w:bCs/>
                <w:color w:val="FFFFFF"/>
                <w:sz w:val="16"/>
                <w:szCs w:val="16"/>
              </w:rPr>
              <w:t xml:space="preserve">FOLLOW-UP</w:t>
            </w:r>
          </w:p>
        </w:tc>
        <w:tc>
          <w:tcPr>
            <w:tcW w:type="dxa" w:w="1400"/>
            <w:tcBorders>
              <w:top w:val="none" w:color="FFFFFF" w:sz="0"/>
              <w:left w:val="none" w:color="FFFFFF" w:sz="0"/>
              <w:bottom w:val="none" w:color="FFFFFF" w:sz="0"/>
              <w:right w:val="none" w:color="FFFFFF" w:sz="0"/>
            </w:tcBorders>
            <w:shd w:fill="2ADE60" w:val="clear"/>
            <w:tcMar>
              <w:top w:type="dxa" w:w="40"/>
              <w:left w:type="dxa" w:w="80"/>
              <w:bottom w:type="dxa" w:w="40"/>
              <w:right w:type="dxa" w:w="80"/>
            </w:tcMar>
          </w:tcPr>
          <w:p>
            <w:pPr>
              <w:jc w:val="center"/>
            </w:pPr>
            <w:r>
              <w:rPr>
                <w:rFonts w:ascii="Arial" w:cs="Arial" w:eastAsia="Arial" w:hAnsi="Arial"/>
                <w:b/>
                <w:bCs/>
                <w:color w:val="FFFFFF"/>
                <w:sz w:val="16"/>
                <w:szCs w:val="16"/>
              </w:rPr>
              <w:t xml:space="preserve">CONVERTED</w:t>
            </w:r>
          </w:p>
        </w:tc>
      </w:tr>
    </w:tbl>
    <w:p>
      <w:pPr>
        <w:spacing w:after="60"/>
        <w:jc w:val="center"/>
      </w:pPr>
      <w:r>
        <w:rPr>
          <w:rFonts w:ascii="Arial" w:cs="Arial" w:eastAsia="Arial" w:hAnsi="Arial"/>
          <w:i/>
          <w:iCs/>
          <w:color w:val="999999"/>
          <w:sz w:val="16"/>
          <w:szCs w:val="16"/>
        </w:rPr>
        <w:t xml:space="preserve">If no conversion after 30 days → auto-reassign to POOL  |  Manager can manually reassign anytime</w:t>
      </w:r>
    </w:p>
    <w:p>
      <w:pPr>
        <w:spacing w:before="200"/>
      </w:pPr>
    </w:p>
    <w:p>
      <w:pPr>
        <w:pStyle w:val="Heading2"/>
        <w:spacing w:after="150" w:before="300"/>
      </w:pPr>
      <w:r>
        <w:rPr>
          <w:rFonts w:ascii="Arial" w:cs="Arial" w:eastAsia="Arial" w:hAnsi="Arial"/>
          <w:b/>
          <w:bCs/>
        </w:rPr>
        <w:t xml:space="preserve">Lead CRM Tab — UI Layout</w:t>
      </w:r>
    </w:p>
    <w:p>
      <w:pPr>
        <w:spacing w:after="120"/>
      </w:pPr>
      <w:r>
        <w:rPr>
          <w:rFonts w:ascii="Arial" w:cs="Arial" w:eastAsia="Arial" w:hAnsi="Arial"/>
          <w:color w:val="333333"/>
          <w:sz w:val="22"/>
          <w:szCs w:val="22"/>
        </w:rPr>
        <w:t xml:space="preserve">Inspired by HubSpot’s contact management interface. The Lead CRM tab features horizontal subtab filtering, a metrics summary row, and a sortable data table with click-through detail modals.</w:t>
      </w:r>
    </w:p>
    <w:p>
      <w:pPr>
        <w:spacing w:after="80"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B1929" w:val="clear"/>
            <w:tcMar>
              <w:top w:type="dxa" w:w="80"/>
              <w:left w:type="dxa" w:w="120"/>
              <w:bottom w:type="dxa" w:w="80"/>
              <w:right w:type="dxa" w:w="120"/>
            </w:tcMar>
          </w:tcPr>
          <w:p>
            <w:r>
              <w:rPr>
                <w:rFonts w:ascii="Arial" w:cs="Arial" w:eastAsia="Arial" w:hAnsi="Arial"/>
                <w:color w:val="FFFFFF"/>
                <w:sz w:val="18"/>
                <w:szCs w:val="18"/>
              </w:rPr>
              <w:t xml:space="preserve">  All  </w:t>
            </w:r>
            <w:r>
              <w:rPr>
                <w:rFonts w:ascii="Arial" w:cs="Arial" w:eastAsia="Arial" w:hAnsi="Arial"/>
                <w:color w:val="555555"/>
                <w:sz w:val="18"/>
                <w:szCs w:val="18"/>
              </w:rPr>
              <w:t xml:space="preserve">  |  </w:t>
            </w:r>
            <w:r>
              <w:rPr>
                <w:rFonts w:ascii="Arial" w:cs="Arial" w:eastAsia="Arial" w:hAnsi="Arial"/>
                <w:b/>
                <w:bCs/>
                <w:color w:val="5B9FFF"/>
                <w:sz w:val="18"/>
                <w:szCs w:val="18"/>
              </w:rPr>
              <w:t xml:space="preserve">  My Leads  </w:t>
            </w:r>
            <w:r>
              <w:rPr>
                <w:rFonts w:ascii="Arial" w:cs="Arial" w:eastAsia="Arial" w:hAnsi="Arial"/>
                <w:color w:val="555555"/>
                <w:sz w:val="18"/>
                <w:szCs w:val="18"/>
              </w:rPr>
              <w:t xml:space="preserve">  |  </w:t>
            </w:r>
            <w:r>
              <w:rPr>
                <w:rFonts w:ascii="Arial" w:cs="Arial" w:eastAsia="Arial" w:hAnsi="Arial"/>
                <w:color w:val="FFFFFF"/>
                <w:sz w:val="18"/>
                <w:szCs w:val="18"/>
              </w:rPr>
              <w:t xml:space="preserve">  New  </w:t>
            </w:r>
            <w:r>
              <w:rPr>
                <w:rFonts w:ascii="Arial" w:cs="Arial" w:eastAsia="Arial" w:hAnsi="Arial"/>
                <w:color w:val="555555"/>
                <w:sz w:val="18"/>
                <w:szCs w:val="18"/>
              </w:rPr>
              <w:t xml:space="preserve">  |  </w:t>
            </w:r>
            <w:r>
              <w:rPr>
                <w:rFonts w:ascii="Arial" w:cs="Arial" w:eastAsia="Arial" w:hAnsi="Arial"/>
                <w:color w:val="FFFFFF"/>
                <w:sz w:val="18"/>
                <w:szCs w:val="18"/>
              </w:rPr>
              <w:t xml:space="preserve">  Follow-Up  </w:t>
            </w:r>
            <w:r>
              <w:rPr>
                <w:rFonts w:ascii="Arial" w:cs="Arial" w:eastAsia="Arial" w:hAnsi="Arial"/>
                <w:color w:val="555555"/>
                <w:sz w:val="18"/>
                <w:szCs w:val="18"/>
              </w:rPr>
              <w:t xml:space="preserve">  |  </w:t>
            </w:r>
            <w:r>
              <w:rPr>
                <w:rFonts w:ascii="Arial" w:cs="Arial" w:eastAsia="Arial" w:hAnsi="Arial"/>
                <w:color w:val="FFFFFF"/>
                <w:sz w:val="18"/>
                <w:szCs w:val="18"/>
              </w:rPr>
              <w:t xml:space="preserve">  Converted  </w:t>
            </w:r>
            <w:r>
              <w:rPr>
                <w:rFonts w:ascii="Arial" w:cs="Arial" w:eastAsia="Arial" w:hAnsi="Arial"/>
                <w:color w:val="555555"/>
                <w:sz w:val="18"/>
                <w:szCs w:val="18"/>
              </w:rPr>
              <w:t xml:space="preserve">  |  </w:t>
            </w:r>
            <w:r>
              <w:rPr>
                <w:rFonts w:ascii="Arial" w:cs="Arial" w:eastAsia="Arial" w:hAnsi="Arial"/>
                <w:color w:val="FFFFFF"/>
                <w:sz w:val="18"/>
                <w:szCs w:val="18"/>
              </w:rPr>
              <w:t xml:space="preserve">  Dead  </w:t>
            </w:r>
            <w:r>
              <w:rPr>
                <w:rFonts w:ascii="Arial" w:cs="Arial" w:eastAsia="Arial" w:hAnsi="Arial"/>
                <w:color w:val="555555"/>
                <w:sz w:val="18"/>
                <w:szCs w:val="18"/>
              </w:rPr>
              <w:t xml:space="preserve">  |  </w:t>
            </w:r>
            <w:r>
              <w:rPr>
                <w:rFonts w:ascii="Arial" w:cs="Arial" w:eastAsia="Arial" w:hAnsi="Arial"/>
                <w:color w:val="FFFFFF"/>
                <w:sz w:val="18"/>
                <w:szCs w:val="18"/>
              </w:rPr>
              <w:t xml:space="preserve">  Pooled  </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5B9FFF"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TOTAL LEADS</w:t>
            </w:r>
          </w:p>
          <w:p>
            <w:pPr>
              <w:spacing w:after="20"/>
            </w:pPr>
            <w:r>
              <w:rPr>
                <w:rFonts w:ascii="Arial" w:cs="Arial" w:eastAsia="Arial" w:hAnsi="Arial"/>
                <w:b/>
                <w:bCs/>
                <w:color w:val="5B9FFF"/>
                <w:sz w:val="28"/>
                <w:szCs w:val="28"/>
              </w:rPr>
              <w:t xml:space="preserve">1,247</w:t>
            </w:r>
          </w:p>
          <w:p>
            <w:r>
              <w:rPr>
                <w:rFonts w:ascii="Arial" w:cs="Arial" w:eastAsia="Arial" w:hAnsi="Arial"/>
                <w:color w:val="999999"/>
                <w:sz w:val="14"/>
                <w:szCs w:val="14"/>
              </w:rPr>
              <w:t xml:space="preserve">Goal: 1,500/mo</w:t>
            </w:r>
          </w:p>
        </w:tc>
        <w:tc>
          <w:tcPr>
            <w:tcW w:type="dxa" w:w="2016"/>
            <w:tcBorders>
              <w:top w:val="single" w:color="2ADE60"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NEW TODAY</w:t>
            </w:r>
          </w:p>
          <w:p>
            <w:pPr>
              <w:spacing w:after="20"/>
            </w:pPr>
            <w:r>
              <w:rPr>
                <w:rFonts w:ascii="Arial" w:cs="Arial" w:eastAsia="Arial" w:hAnsi="Arial"/>
                <w:b/>
                <w:bCs/>
                <w:color w:val="2ADE60"/>
                <w:sz w:val="28"/>
                <w:szCs w:val="28"/>
              </w:rPr>
              <w:t xml:space="preserve">23</w:t>
            </w:r>
          </w:p>
          <w:p>
            <w:r>
              <w:rPr>
                <w:rFonts w:ascii="Arial" w:cs="Arial" w:eastAsia="Arial" w:hAnsi="Arial"/>
                <w:color w:val="999999"/>
                <w:sz w:val="14"/>
                <w:szCs w:val="14"/>
              </w:rPr>
              <w:t xml:space="preserve">+15% vs yesterday</w:t>
            </w:r>
          </w:p>
        </w:tc>
        <w:tc>
          <w:tcPr>
            <w:tcW w:type="dxa" w:w="2016"/>
            <w:tcBorders>
              <w:top w:val="single" w:color="D0CC10"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FOLLOW-UP DUE</w:t>
            </w:r>
          </w:p>
          <w:p>
            <w:pPr>
              <w:spacing w:after="20"/>
            </w:pPr>
            <w:r>
              <w:rPr>
                <w:rFonts w:ascii="Arial" w:cs="Arial" w:eastAsia="Arial" w:hAnsi="Arial"/>
                <w:b/>
                <w:bCs/>
                <w:color w:val="D0CC10"/>
                <w:sz w:val="28"/>
                <w:szCs w:val="28"/>
              </w:rPr>
              <w:t xml:space="preserve">47</w:t>
            </w:r>
          </w:p>
          <w:p>
            <w:r>
              <w:rPr>
                <w:rFonts w:ascii="Arial" w:cs="Arial" w:eastAsia="Arial" w:hAnsi="Arial"/>
                <w:color w:val="999999"/>
                <w:sz w:val="14"/>
                <w:szCs w:val="14"/>
              </w:rPr>
              <w:t xml:space="preserve">18 overdue</w:t>
            </w:r>
          </w:p>
        </w:tc>
        <w:tc>
          <w:tcPr>
            <w:tcW w:type="dxa" w:w="2016"/>
            <w:tcBorders>
              <w:top w:val="single" w:color="F87171"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CONVERSION RATE</w:t>
            </w:r>
          </w:p>
          <w:p>
            <w:pPr>
              <w:spacing w:after="20"/>
            </w:pPr>
            <w:r>
              <w:rPr>
                <w:rFonts w:ascii="Arial" w:cs="Arial" w:eastAsia="Arial" w:hAnsi="Arial"/>
                <w:b/>
                <w:bCs/>
                <w:color w:val="F87171"/>
                <w:sz w:val="28"/>
                <w:szCs w:val="28"/>
              </w:rPr>
              <w:t xml:space="preserve">12.4%</w:t>
            </w:r>
          </w:p>
          <w:p>
            <w:r>
              <w:rPr>
                <w:rFonts w:ascii="Arial" w:cs="Arial" w:eastAsia="Arial" w:hAnsi="Arial"/>
                <w:color w:val="999999"/>
                <w:sz w:val="14"/>
                <w:szCs w:val="14"/>
              </w:rPr>
              <w:t xml:space="preserve">Goal: 15%</w:t>
            </w:r>
          </w:p>
        </w:tc>
        <w:tc>
          <w:tcPr>
            <w:tcW w:type="dxa" w:w="2016"/>
            <w:tcBorders>
              <w:top w:val="single" w:color="A855F7"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AVG ATTEMPTS</w:t>
            </w:r>
          </w:p>
          <w:p>
            <w:pPr>
              <w:spacing w:after="20"/>
            </w:pPr>
            <w:r>
              <w:rPr>
                <w:rFonts w:ascii="Arial" w:cs="Arial" w:eastAsia="Arial" w:hAnsi="Arial"/>
                <w:b/>
                <w:bCs/>
                <w:color w:val="A855F7"/>
                <w:sz w:val="28"/>
                <w:szCs w:val="28"/>
              </w:rPr>
              <w:t xml:space="preserve">3.2</w:t>
            </w:r>
          </w:p>
          <w:p>
            <w:r>
              <w:rPr>
                <w:rFonts w:ascii="Arial" w:cs="Arial" w:eastAsia="Arial" w:hAnsi="Arial"/>
                <w:color w:val="999999"/>
                <w:sz w:val="14"/>
                <w:szCs w:val="14"/>
              </w:rPr>
              <w:t xml:space="preserve">Target: 4.0</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200"/>
        <w:gridCol w:w="1100"/>
        <w:gridCol w:w="1300"/>
        <w:gridCol w:w="1280"/>
        <w:gridCol w:w="1100"/>
        <w:gridCol w:w="1000"/>
      </w:tblGrid>
      <w:tr>
        <w:tc>
          <w:tcPr>
            <w:tcW w:type="dxa" w:w="126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Name</w:t>
            </w:r>
          </w:p>
        </w:tc>
        <w:tc>
          <w:tcPr>
            <w:tcW w:type="dxa" w:w="126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Phone</w:t>
            </w:r>
          </w:p>
        </w:tc>
        <w:tc>
          <w:tcPr>
            <w:tcW w:type="dxa" w:w="126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Source</w:t>
            </w:r>
          </w:p>
        </w:tc>
        <w:tc>
          <w:tcPr>
            <w:tcW w:type="dxa" w:w="126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Status</w:t>
            </w:r>
          </w:p>
        </w:tc>
        <w:tc>
          <w:tcPr>
            <w:tcW w:type="dxa" w:w="126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Agent</w:t>
            </w:r>
          </w:p>
        </w:tc>
        <w:tc>
          <w:tcPr>
            <w:tcW w:type="dxa" w:w="126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Last Contact</w:t>
            </w:r>
          </w:p>
        </w:tc>
        <w:tc>
          <w:tcPr>
            <w:tcW w:type="dxa" w:w="126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Follow-Up</w:t>
            </w:r>
          </w:p>
        </w:tc>
        <w:tc>
          <w:tcPr>
            <w:tcW w:type="dxa" w:w="126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Attempts</w:t>
            </w:r>
          </w:p>
        </w:tc>
      </w:tr>
      <w:tr>
        <w:tc>
          <w:tcPr>
            <w:tcW w:type="dxa" w:w="12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James Wilson</w:t>
            </w:r>
          </w:p>
        </w:tc>
        <w:tc>
          <w:tcPr>
            <w:tcW w:type="dxa" w:w="12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(555) 234-5678</w:t>
            </w:r>
          </w:p>
        </w:tc>
        <w:tc>
          <w:tcPr>
            <w:tcW w:type="dxa" w:w="12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BCL</w:t>
            </w:r>
          </w:p>
        </w:tc>
        <w:tc>
          <w:tcPr>
            <w:tcW w:type="dxa" w:w="12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 New</w:t>
            </w:r>
          </w:p>
        </w:tc>
        <w:tc>
          <w:tcPr>
            <w:tcW w:type="dxa" w:w="12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Sarah M.</w:t>
            </w:r>
          </w:p>
        </w:tc>
        <w:tc>
          <w:tcPr>
            <w:tcW w:type="dxa" w:w="12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Mar 6, 2026</w:t>
            </w:r>
          </w:p>
        </w:tc>
        <w:tc>
          <w:tcPr>
            <w:tcW w:type="dxa" w:w="12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Mar 9</w:t>
            </w:r>
          </w:p>
        </w:tc>
        <w:tc>
          <w:tcPr>
            <w:tcW w:type="dxa" w:w="12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r>
      <w:tr>
        <w:tc>
          <w:tcPr>
            <w:tcW w:type="dxa" w:w="1260"/>
            <w:tcBorders>
              <w:top w:val="single" w:color="DFE3EB" w:sz="1"/>
              <w:left w:val="single" w:color="DFE3EB" w:sz="1"/>
              <w:bottom w:val="single" w:color="DFE3EB" w:sz="1"/>
              <w:right w:val="single" w:color="DFE3EB" w:sz="1"/>
            </w:tcBorders>
            <w:shd w:fill="FFF8F0" w:val="clear"/>
            <w:tcMar>
              <w:top w:type="dxa" w:w="60"/>
              <w:left w:type="dxa" w:w="100"/>
              <w:bottom w:type="dxa" w:w="60"/>
              <w:right w:type="dxa" w:w="100"/>
            </w:tcMar>
          </w:tcPr>
          <w:p>
            <w:r>
              <w:rPr>
                <w:rFonts w:ascii="Arial" w:cs="Arial" w:eastAsia="Arial" w:hAnsi="Arial"/>
                <w:b w:val="false"/>
                <w:bCs w:val="false"/>
                <w:color w:val="333333"/>
                <w:sz w:val="18"/>
                <w:szCs w:val="18"/>
              </w:rPr>
              <w:t xml:space="preserve">Maria Garcia</w:t>
            </w:r>
          </w:p>
        </w:tc>
        <w:tc>
          <w:tcPr>
            <w:tcW w:type="dxa" w:w="1260"/>
            <w:tcBorders>
              <w:top w:val="single" w:color="DFE3EB" w:sz="1"/>
              <w:left w:val="single" w:color="DFE3EB" w:sz="1"/>
              <w:bottom w:val="single" w:color="DFE3EB" w:sz="1"/>
              <w:right w:val="single" w:color="DFE3EB" w:sz="1"/>
            </w:tcBorders>
            <w:shd w:fill="FFF8F0" w:val="clear"/>
            <w:tcMar>
              <w:top w:type="dxa" w:w="60"/>
              <w:left w:type="dxa" w:w="100"/>
              <w:bottom w:type="dxa" w:w="60"/>
              <w:right w:type="dxa" w:w="100"/>
            </w:tcMar>
          </w:tcPr>
          <w:p>
            <w:r>
              <w:rPr>
                <w:rFonts w:ascii="Arial" w:cs="Arial" w:eastAsia="Arial" w:hAnsi="Arial"/>
                <w:b w:val="false"/>
                <w:bCs w:val="false"/>
                <w:color w:val="333333"/>
                <w:sz w:val="18"/>
                <w:szCs w:val="18"/>
              </w:rPr>
              <w:t xml:space="preserve">(555) 345-6789</w:t>
            </w:r>
          </w:p>
        </w:tc>
        <w:tc>
          <w:tcPr>
            <w:tcW w:type="dxa" w:w="1260"/>
            <w:tcBorders>
              <w:top w:val="single" w:color="DFE3EB" w:sz="1"/>
              <w:left w:val="single" w:color="DFE3EB" w:sz="1"/>
              <w:bottom w:val="single" w:color="DFE3EB" w:sz="1"/>
              <w:right w:val="single" w:color="DFE3EB" w:sz="1"/>
            </w:tcBorders>
            <w:shd w:fill="FFF8F0" w:val="clear"/>
            <w:tcMar>
              <w:top w:type="dxa" w:w="60"/>
              <w:left w:type="dxa" w:w="100"/>
              <w:bottom w:type="dxa" w:w="60"/>
              <w:right w:type="dxa" w:w="100"/>
            </w:tcMar>
          </w:tcPr>
          <w:p>
            <w:r>
              <w:rPr>
                <w:rFonts w:ascii="Arial" w:cs="Arial" w:eastAsia="Arial" w:hAnsi="Arial"/>
                <w:b w:val="false"/>
                <w:bCs w:val="false"/>
                <w:color w:val="333333"/>
                <w:sz w:val="18"/>
                <w:szCs w:val="18"/>
              </w:rPr>
              <w:t xml:space="preserve">HIW</w:t>
            </w:r>
          </w:p>
        </w:tc>
        <w:tc>
          <w:tcPr>
            <w:tcW w:type="dxa" w:w="1260"/>
            <w:tcBorders>
              <w:top w:val="single" w:color="DFE3EB" w:sz="1"/>
              <w:left w:val="single" w:color="DFE3EB" w:sz="1"/>
              <w:bottom w:val="single" w:color="DFE3EB" w:sz="1"/>
              <w:right w:val="single" w:color="DFE3EB" w:sz="1"/>
            </w:tcBorders>
            <w:shd w:fill="FFF8F0" w:val="clear"/>
            <w:tcMar>
              <w:top w:type="dxa" w:w="60"/>
              <w:left w:type="dxa" w:w="100"/>
              <w:bottom w:type="dxa" w:w="60"/>
              <w:right w:type="dxa" w:w="100"/>
            </w:tcMar>
          </w:tcPr>
          <w:p>
            <w:r>
              <w:rPr>
                <w:rFonts w:ascii="Arial" w:cs="Arial" w:eastAsia="Arial" w:hAnsi="Arial"/>
                <w:b w:val="false"/>
                <w:bCs w:val="false"/>
                <w:color w:val="333333"/>
                <w:sz w:val="18"/>
                <w:szCs w:val="18"/>
              </w:rPr>
              <w:t xml:space="preserve">● Follow-Up</w:t>
            </w:r>
          </w:p>
        </w:tc>
        <w:tc>
          <w:tcPr>
            <w:tcW w:type="dxa" w:w="1260"/>
            <w:tcBorders>
              <w:top w:val="single" w:color="DFE3EB" w:sz="1"/>
              <w:left w:val="single" w:color="DFE3EB" w:sz="1"/>
              <w:bottom w:val="single" w:color="DFE3EB" w:sz="1"/>
              <w:right w:val="single" w:color="DFE3EB" w:sz="1"/>
            </w:tcBorders>
            <w:shd w:fill="FFF8F0" w:val="clear"/>
            <w:tcMar>
              <w:top w:type="dxa" w:w="60"/>
              <w:left w:type="dxa" w:w="100"/>
              <w:bottom w:type="dxa" w:w="60"/>
              <w:right w:type="dxa" w:w="100"/>
            </w:tcMar>
          </w:tcPr>
          <w:p>
            <w:r>
              <w:rPr>
                <w:rFonts w:ascii="Arial" w:cs="Arial" w:eastAsia="Arial" w:hAnsi="Arial"/>
                <w:b w:val="false"/>
                <w:bCs w:val="false"/>
                <w:color w:val="333333"/>
                <w:sz w:val="18"/>
                <w:szCs w:val="18"/>
              </w:rPr>
              <w:t xml:space="preserve">Tom B.</w:t>
            </w:r>
          </w:p>
        </w:tc>
        <w:tc>
          <w:tcPr>
            <w:tcW w:type="dxa" w:w="1260"/>
            <w:tcBorders>
              <w:top w:val="single" w:color="DFE3EB" w:sz="1"/>
              <w:left w:val="single" w:color="DFE3EB" w:sz="1"/>
              <w:bottom w:val="single" w:color="DFE3EB" w:sz="1"/>
              <w:right w:val="single" w:color="DFE3EB" w:sz="1"/>
            </w:tcBorders>
            <w:shd w:fill="FFF8F0" w:val="clear"/>
            <w:tcMar>
              <w:top w:type="dxa" w:w="60"/>
              <w:left w:type="dxa" w:w="100"/>
              <w:bottom w:type="dxa" w:w="60"/>
              <w:right w:type="dxa" w:w="100"/>
            </w:tcMar>
          </w:tcPr>
          <w:p>
            <w:r>
              <w:rPr>
                <w:rFonts w:ascii="Arial" w:cs="Arial" w:eastAsia="Arial" w:hAnsi="Arial"/>
                <w:b w:val="false"/>
                <w:bCs w:val="false"/>
                <w:color w:val="333333"/>
                <w:sz w:val="18"/>
                <w:szCs w:val="18"/>
              </w:rPr>
              <w:t xml:space="preserve">Mar 3, 2026</w:t>
            </w:r>
          </w:p>
        </w:tc>
        <w:tc>
          <w:tcPr>
            <w:tcW w:type="dxa" w:w="1260"/>
            <w:tcBorders>
              <w:top w:val="single" w:color="DFE3EB" w:sz="1"/>
              <w:left w:val="single" w:color="DFE3EB" w:sz="1"/>
              <w:bottom w:val="single" w:color="DFE3EB" w:sz="1"/>
              <w:right w:val="single" w:color="DFE3EB" w:sz="1"/>
            </w:tcBorders>
            <w:shd w:fill="FFF8F0" w:val="clear"/>
            <w:tcMar>
              <w:top w:type="dxa" w:w="60"/>
              <w:left w:type="dxa" w:w="100"/>
              <w:bottom w:type="dxa" w:w="60"/>
              <w:right w:type="dxa" w:w="100"/>
            </w:tcMar>
          </w:tcPr>
          <w:p>
            <w:r>
              <w:rPr>
                <w:rFonts w:ascii="Arial" w:cs="Arial" w:eastAsia="Arial" w:hAnsi="Arial"/>
                <w:b w:val="false"/>
                <w:bCs w:val="false"/>
                <w:color w:val="333333"/>
                <w:sz w:val="18"/>
                <w:szCs w:val="18"/>
              </w:rPr>
              <w:t xml:space="preserve">Mar 7</w:t>
            </w:r>
          </w:p>
        </w:tc>
        <w:tc>
          <w:tcPr>
            <w:tcW w:type="dxa" w:w="1260"/>
            <w:tcBorders>
              <w:top w:val="single" w:color="DFE3EB" w:sz="1"/>
              <w:left w:val="single" w:color="DFE3EB" w:sz="1"/>
              <w:bottom w:val="single" w:color="DFE3EB" w:sz="1"/>
              <w:right w:val="single" w:color="DFE3EB" w:sz="1"/>
            </w:tcBorders>
            <w:shd w:fill="FFF8F0" w:val="clear"/>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r>
      <w:tr>
        <w:tc>
          <w:tcPr>
            <w:tcW w:type="dxa" w:w="12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Robert Chen</w:t>
            </w:r>
          </w:p>
        </w:tc>
        <w:tc>
          <w:tcPr>
            <w:tcW w:type="dxa" w:w="12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(555) 456-7890</w:t>
            </w:r>
          </w:p>
        </w:tc>
        <w:tc>
          <w:tcPr>
            <w:tcW w:type="dxa" w:w="12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TV FEX</w:t>
            </w:r>
          </w:p>
        </w:tc>
        <w:tc>
          <w:tcPr>
            <w:tcW w:type="dxa" w:w="12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 Contacted</w:t>
            </w:r>
          </w:p>
        </w:tc>
        <w:tc>
          <w:tcPr>
            <w:tcW w:type="dxa" w:w="12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Sarah M.</w:t>
            </w:r>
          </w:p>
        </w:tc>
        <w:tc>
          <w:tcPr>
            <w:tcW w:type="dxa" w:w="12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Mar 5, 2026</w:t>
            </w:r>
          </w:p>
        </w:tc>
        <w:tc>
          <w:tcPr>
            <w:tcW w:type="dxa" w:w="12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Mar 10</w:t>
            </w:r>
          </w:p>
        </w:tc>
        <w:tc>
          <w:tcPr>
            <w:tcW w:type="dxa" w:w="12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r>
      <w:tr>
        <w:tc>
          <w:tcPr>
            <w:tcW w:type="dxa" w:w="12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Linda Thompson</w:t>
            </w:r>
          </w:p>
        </w:tc>
        <w:tc>
          <w:tcPr>
            <w:tcW w:type="dxa" w:w="12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(555) 567-8901</w:t>
            </w:r>
          </w:p>
        </w:tc>
        <w:tc>
          <w:tcPr>
            <w:tcW w:type="dxa" w:w="12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SDLT</w:t>
            </w:r>
          </w:p>
        </w:tc>
        <w:tc>
          <w:tcPr>
            <w:tcW w:type="dxa" w:w="12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 Converted</w:t>
            </w:r>
          </w:p>
        </w:tc>
        <w:tc>
          <w:tcPr>
            <w:tcW w:type="dxa" w:w="12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Tom B.</w:t>
            </w:r>
          </w:p>
        </w:tc>
        <w:tc>
          <w:tcPr>
            <w:tcW w:type="dxa" w:w="12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Feb 28, 2026</w:t>
            </w:r>
          </w:p>
        </w:tc>
        <w:tc>
          <w:tcPr>
            <w:tcW w:type="dxa" w:w="12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2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r>
    </w:tbl>
    <w:p>
      <w:pPr>
        <w:spacing w:after="40"/>
        <w:jc w:val="right"/>
      </w:pPr>
      <w:r>
        <w:rPr>
          <w:rFonts w:ascii="Arial" w:cs="Arial" w:eastAsia="Arial" w:hAnsi="Arial"/>
          <w:i/>
          <w:iCs/>
          <w:color w:val="5B9FFF"/>
          <w:sz w:val="16"/>
          <w:szCs w:val="16"/>
        </w:rPr>
        <w:t xml:space="preserve">Click any row to open Lead Detail Modal →</w:t>
      </w:r>
    </w:p>
    <w:p>
      <w:r>
        <w:br w:type="page"/>
      </w:r>
    </w:p>
    <w:p>
      <w:pPr>
        <w:pStyle w:val="Heading1"/>
        <w:spacing w:after="150" w:before="300"/>
      </w:pPr>
      <w:r>
        <w:rPr>
          <w:rFonts w:ascii="Arial" w:cs="Arial" w:eastAsia="Arial" w:hAnsi="Arial"/>
          <w:b/>
          <w:bCs/>
        </w:rPr>
        <w:t xml:space="preserve">Retention Dashboard — Post-Sale Lifecycle</w:t>
      </w:r>
    </w:p>
    <w:p>
      <w:pPr>
        <w:spacing w:after="120"/>
      </w:pPr>
      <w:r>
        <w:rPr>
          <w:rFonts w:ascii="Arial" w:cs="Arial" w:eastAsia="Arial" w:hAnsi="Arial"/>
          <w:color w:val="333333"/>
          <w:sz w:val="22"/>
          <w:szCs w:val="22"/>
        </w:rPr>
        <w:t xml:space="preserve">The Retention Dashboard monitors every active policyholder from issue through lapse or renewal. It tracks payment timeliness, flags at-risk members, and provides a structured win-back pipeline for lapsed policies. This directly impacts profitability by reducing carrier chargebacks on advanced commissions.</w:t>
      </w:r>
    </w:p>
    <w:p>
      <w:pPr>
        <w:spacing w:after="10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B1929" w:val="clear"/>
            <w:tcMar>
              <w:top w:type="dxa" w:w="80"/>
              <w:left w:type="dxa" w:w="160"/>
              <w:bottom w:type="dxa" w:w="80"/>
              <w:right w:type="dxa" w:w="160"/>
            </w:tcMar>
          </w:tcPr>
          <w:p>
            <w:r>
              <w:rPr>
                <w:rFonts w:ascii="Arial" w:cs="Arial" w:eastAsia="Arial" w:hAnsi="Arial"/>
                <w:b/>
                <w:bCs/>
                <w:color w:val="FFFFFF"/>
                <w:spacing w:val="80"/>
                <w:sz w:val="18"/>
                <w:szCs w:val="18"/>
              </w:rPr>
              <w:t xml:space="preserve">POLICYHOLDER LIFECYCLE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720"/>
        <w:gridCol w:w="1440"/>
        <w:gridCol w:w="720"/>
        <w:gridCol w:w="1440"/>
        <w:gridCol w:w="720"/>
        <w:gridCol w:w="1440"/>
        <w:gridCol w:w="720"/>
        <w:gridCol w:w="1440"/>
      </w:tblGrid>
      <w:tr>
        <w:tc>
          <w:tcPr>
            <w:tcW w:type="dxa" w:w="1440"/>
            <w:tcBorders>
              <w:top w:val="none" w:color="FFFFFF" w:sz="0"/>
              <w:left w:val="none" w:color="FFFFFF" w:sz="0"/>
              <w:bottom w:val="none" w:color="FFFFFF" w:sz="0"/>
              <w:right w:val="none" w:color="FFFFFF" w:sz="0"/>
            </w:tcBorders>
            <w:shd w:fill="2ADE60" w:val="clear"/>
            <w:tcMar>
              <w:top w:type="dxa" w:w="40"/>
              <w:left w:type="dxa" w:w="80"/>
              <w:bottom w:type="dxa" w:w="40"/>
              <w:right w:type="dxa" w:w="80"/>
            </w:tcMar>
          </w:tcPr>
          <w:p>
            <w:pPr>
              <w:jc w:val="center"/>
            </w:pPr>
            <w:r>
              <w:rPr>
                <w:rFonts w:ascii="Arial" w:cs="Arial" w:eastAsia="Arial" w:hAnsi="Arial"/>
                <w:b/>
                <w:bCs/>
                <w:color w:val="FFFFFF"/>
                <w:sz w:val="16"/>
                <w:szCs w:val="16"/>
              </w:rPr>
              <w:t xml:space="preserve">ACTIVE</w:t>
            </w:r>
          </w:p>
        </w:tc>
        <w:tc>
          <w:tcPr>
            <w:tcW w:type="dxa" w:w="7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jc w:val="center"/>
            </w:pPr>
            <w:r>
              <w:rPr>
                <w:rFonts w:ascii="Arial" w:cs="Arial" w:eastAsia="Arial" w:hAnsi="Arial"/>
                <w:b/>
                <w:bCs/>
                <w:color w:val="999999"/>
                <w:sz w:val="16"/>
                <w:szCs w:val="16"/>
              </w:rPr>
              <w:t xml:space="preserve">→</w:t>
            </w:r>
          </w:p>
        </w:tc>
        <w:tc>
          <w:tcPr>
            <w:tcW w:type="dxa" w:w="1440"/>
            <w:tcBorders>
              <w:top w:val="none" w:color="FFFFFF" w:sz="0"/>
              <w:left w:val="none" w:color="FFFFFF" w:sz="0"/>
              <w:bottom w:val="none" w:color="FFFFFF" w:sz="0"/>
              <w:right w:val="none" w:color="FFFFFF" w:sz="0"/>
            </w:tcBorders>
            <w:shd w:fill="D0CC10" w:val="clear"/>
            <w:tcMar>
              <w:top w:type="dxa" w:w="40"/>
              <w:left w:type="dxa" w:w="80"/>
              <w:bottom w:type="dxa" w:w="40"/>
              <w:right w:type="dxa" w:w="80"/>
            </w:tcMar>
          </w:tcPr>
          <w:p>
            <w:pPr>
              <w:jc w:val="center"/>
            </w:pPr>
            <w:r>
              <w:rPr>
                <w:rFonts w:ascii="Arial" w:cs="Arial" w:eastAsia="Arial" w:hAnsi="Arial"/>
                <w:b/>
                <w:bCs/>
                <w:color w:val="333333"/>
                <w:sz w:val="16"/>
                <w:szCs w:val="16"/>
              </w:rPr>
              <w:t xml:space="preserve">AT-RISK</w:t>
            </w:r>
          </w:p>
        </w:tc>
        <w:tc>
          <w:tcPr>
            <w:tcW w:type="dxa" w:w="7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jc w:val="center"/>
            </w:pPr>
            <w:r>
              <w:rPr>
                <w:rFonts w:ascii="Arial" w:cs="Arial" w:eastAsia="Arial" w:hAnsi="Arial"/>
                <w:b/>
                <w:bCs/>
                <w:color w:val="999999"/>
                <w:sz w:val="16"/>
                <w:szCs w:val="16"/>
              </w:rPr>
              <w:t xml:space="preserve">→</w:t>
            </w:r>
          </w:p>
        </w:tc>
        <w:tc>
          <w:tcPr>
            <w:tcW w:type="dxa" w:w="1440"/>
            <w:tcBorders>
              <w:top w:val="none" w:color="FFFFFF" w:sz="0"/>
              <w:left w:val="none" w:color="FFFFFF" w:sz="0"/>
              <w:bottom w:val="none" w:color="FFFFFF" w:sz="0"/>
              <w:right w:val="none" w:color="FFFFFF" w:sz="0"/>
            </w:tcBorders>
            <w:shd w:fill="D07171" w:val="clear"/>
            <w:tcMar>
              <w:top w:type="dxa" w:w="40"/>
              <w:left w:type="dxa" w:w="80"/>
              <w:bottom w:type="dxa" w:w="40"/>
              <w:right w:type="dxa" w:w="80"/>
            </w:tcMar>
          </w:tcPr>
          <w:p>
            <w:pPr>
              <w:jc w:val="center"/>
            </w:pPr>
            <w:r>
              <w:rPr>
                <w:rFonts w:ascii="Arial" w:cs="Arial" w:eastAsia="Arial" w:hAnsi="Arial"/>
                <w:b/>
                <w:bCs/>
                <w:color w:val="FFFFFF"/>
                <w:sz w:val="16"/>
                <w:szCs w:val="16"/>
              </w:rPr>
              <w:t xml:space="preserve">LAPSED</w:t>
            </w:r>
          </w:p>
        </w:tc>
        <w:tc>
          <w:tcPr>
            <w:tcW w:type="dxa" w:w="7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jc w:val="center"/>
            </w:pPr>
            <w:r>
              <w:rPr>
                <w:rFonts w:ascii="Arial" w:cs="Arial" w:eastAsia="Arial" w:hAnsi="Arial"/>
                <w:b/>
                <w:bCs/>
                <w:color w:val="999999"/>
                <w:sz w:val="16"/>
                <w:szCs w:val="16"/>
              </w:rPr>
              <w:t xml:space="preserve">→</w:t>
            </w:r>
          </w:p>
        </w:tc>
        <w:tc>
          <w:tcPr>
            <w:tcW w:type="dxa" w:w="1440"/>
            <w:tcBorders>
              <w:top w:val="none" w:color="FFFFFF" w:sz="0"/>
              <w:left w:val="none" w:color="FFFFFF" w:sz="0"/>
              <w:bottom w:val="none" w:color="FFFFFF" w:sz="0"/>
              <w:right w:val="none" w:color="FFFFFF" w:sz="0"/>
            </w:tcBorders>
            <w:shd w:fill="8855F7" w:val="clear"/>
            <w:tcMar>
              <w:top w:type="dxa" w:w="40"/>
              <w:left w:type="dxa" w:w="80"/>
              <w:bottom w:type="dxa" w:w="40"/>
              <w:right w:type="dxa" w:w="80"/>
            </w:tcMar>
          </w:tcPr>
          <w:p>
            <w:pPr>
              <w:jc w:val="center"/>
            </w:pPr>
            <w:r>
              <w:rPr>
                <w:rFonts w:ascii="Arial" w:cs="Arial" w:eastAsia="Arial" w:hAnsi="Arial"/>
                <w:b/>
                <w:bCs/>
                <w:color w:val="FFFFFF"/>
                <w:sz w:val="16"/>
                <w:szCs w:val="16"/>
              </w:rPr>
              <w:t xml:space="preserve">WIN-BACK</w:t>
            </w:r>
          </w:p>
        </w:tc>
        <w:tc>
          <w:tcPr>
            <w:tcW w:type="dxa" w:w="7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jc w:val="center"/>
            </w:pPr>
            <w:r>
              <w:rPr>
                <w:rFonts w:ascii="Arial" w:cs="Arial" w:eastAsia="Arial" w:hAnsi="Arial"/>
                <w:b/>
                <w:bCs/>
                <w:color w:val="999999"/>
                <w:sz w:val="16"/>
                <w:szCs w:val="16"/>
              </w:rPr>
              <w:t xml:space="preserve">→</w:t>
            </w:r>
          </w:p>
        </w:tc>
        <w:tc>
          <w:tcPr>
            <w:tcW w:type="dxa" w:w="1440"/>
            <w:tcBorders>
              <w:top w:val="none" w:color="FFFFFF" w:sz="0"/>
              <w:left w:val="none" w:color="FFFFFF" w:sz="0"/>
              <w:bottom w:val="none" w:color="FFFFFF" w:sz="0"/>
              <w:right w:val="none" w:color="FFFFFF" w:sz="0"/>
            </w:tcBorders>
            <w:shd w:fill="2ADE60" w:val="clear"/>
            <w:tcMar>
              <w:top w:type="dxa" w:w="40"/>
              <w:left w:type="dxa" w:w="80"/>
              <w:bottom w:type="dxa" w:w="40"/>
              <w:right w:type="dxa" w:w="80"/>
            </w:tcMar>
          </w:tcPr>
          <w:p>
            <w:pPr>
              <w:jc w:val="center"/>
            </w:pPr>
            <w:r>
              <w:rPr>
                <w:rFonts w:ascii="Arial" w:cs="Arial" w:eastAsia="Arial" w:hAnsi="Arial"/>
                <w:b/>
                <w:bCs/>
                <w:color w:val="FFFFFF"/>
                <w:sz w:val="16"/>
                <w:szCs w:val="16"/>
              </w:rPr>
              <w:t xml:space="preserve">REINSTATED</w:t>
            </w:r>
          </w:p>
        </w:tc>
      </w:tr>
    </w:tbl>
    <w:p>
      <w:pPr>
        <w:spacing w:after="80" w:before="200"/>
      </w:pPr>
    </w:p>
    <w:p>
      <w:pPr>
        <w:pStyle w:val="Heading2"/>
        <w:spacing w:after="150" w:before="300"/>
      </w:pPr>
      <w:r>
        <w:rPr>
          <w:rFonts w:ascii="Arial" w:cs="Arial" w:eastAsia="Arial" w:hAnsi="Arial"/>
          <w:b/>
          <w:bCs/>
        </w:rPr>
        <w:t xml:space="preserve">Retention Tab — UI Layout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B1929" w:val="clear"/>
            <w:tcMar>
              <w:top w:type="dxa" w:w="80"/>
              <w:left w:type="dxa" w:w="120"/>
              <w:bottom w:type="dxa" w:w="80"/>
              <w:right w:type="dxa" w:w="120"/>
            </w:tcMar>
          </w:tcPr>
          <w:p>
            <w:r>
              <w:rPr>
                <w:rFonts w:ascii="Arial" w:cs="Arial" w:eastAsia="Arial" w:hAnsi="Arial"/>
                <w:color w:val="FFFFFF"/>
                <w:sz w:val="18"/>
                <w:szCs w:val="18"/>
              </w:rPr>
              <w:t xml:space="preserve">  All Members  </w:t>
            </w:r>
            <w:r>
              <w:rPr>
                <w:rFonts w:ascii="Arial" w:cs="Arial" w:eastAsia="Arial" w:hAnsi="Arial"/>
                <w:color w:val="555555"/>
                <w:sz w:val="18"/>
                <w:szCs w:val="18"/>
              </w:rPr>
              <w:t xml:space="preserve">  |  </w:t>
            </w:r>
            <w:r>
              <w:rPr>
                <w:rFonts w:ascii="Arial" w:cs="Arial" w:eastAsia="Arial" w:hAnsi="Arial"/>
                <w:color w:val="FFFFFF"/>
                <w:sz w:val="18"/>
                <w:szCs w:val="18"/>
              </w:rPr>
              <w:t xml:space="preserve">  Active  </w:t>
            </w:r>
            <w:r>
              <w:rPr>
                <w:rFonts w:ascii="Arial" w:cs="Arial" w:eastAsia="Arial" w:hAnsi="Arial"/>
                <w:color w:val="555555"/>
                <w:sz w:val="18"/>
                <w:szCs w:val="18"/>
              </w:rPr>
              <w:t xml:space="preserve">  |  </w:t>
            </w:r>
            <w:r>
              <w:rPr>
                <w:rFonts w:ascii="Arial" w:cs="Arial" w:eastAsia="Arial" w:hAnsi="Arial"/>
                <w:b/>
                <w:bCs/>
                <w:color w:val="FACC15"/>
                <w:sz w:val="18"/>
                <w:szCs w:val="18"/>
              </w:rPr>
              <w:t xml:space="preserve">  At-Risk  </w:t>
            </w:r>
            <w:r>
              <w:rPr>
                <w:rFonts w:ascii="Arial" w:cs="Arial" w:eastAsia="Arial" w:hAnsi="Arial"/>
                <w:color w:val="555555"/>
                <w:sz w:val="18"/>
                <w:szCs w:val="18"/>
              </w:rPr>
              <w:t xml:space="preserve">  |  </w:t>
            </w:r>
            <w:r>
              <w:rPr>
                <w:rFonts w:ascii="Arial" w:cs="Arial" w:eastAsia="Arial" w:hAnsi="Arial"/>
                <w:color w:val="FFFFFF"/>
                <w:sz w:val="18"/>
                <w:szCs w:val="18"/>
              </w:rPr>
              <w:t xml:space="preserve">  Lapsed  </w:t>
            </w:r>
            <w:r>
              <w:rPr>
                <w:rFonts w:ascii="Arial" w:cs="Arial" w:eastAsia="Arial" w:hAnsi="Arial"/>
                <w:color w:val="555555"/>
                <w:sz w:val="18"/>
                <w:szCs w:val="18"/>
              </w:rPr>
              <w:t xml:space="preserve">  |  </w:t>
            </w:r>
            <w:r>
              <w:rPr>
                <w:rFonts w:ascii="Arial" w:cs="Arial" w:eastAsia="Arial" w:hAnsi="Arial"/>
                <w:color w:val="FFFFFF"/>
                <w:sz w:val="18"/>
                <w:szCs w:val="18"/>
              </w:rPr>
              <w:t xml:space="preserve">  Win-Back  </w:t>
            </w:r>
            <w:r>
              <w:rPr>
                <w:rFonts w:ascii="Arial" w:cs="Arial" w:eastAsia="Arial" w:hAnsi="Arial"/>
                <w:color w:val="555555"/>
                <w:sz w:val="18"/>
                <w:szCs w:val="18"/>
              </w:rPr>
              <w:t xml:space="preserve">  |  </w:t>
            </w:r>
            <w:r>
              <w:rPr>
                <w:rFonts w:ascii="Arial" w:cs="Arial" w:eastAsia="Arial" w:hAnsi="Arial"/>
                <w:color w:val="FFFFFF"/>
                <w:sz w:val="18"/>
                <w:szCs w:val="18"/>
              </w:rPr>
              <w:t xml:space="preserve">  Reinstated  </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2ADE60"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ACTIVE MEMBERS</w:t>
            </w:r>
          </w:p>
          <w:p>
            <w:pPr>
              <w:spacing w:after="20"/>
            </w:pPr>
            <w:r>
              <w:rPr>
                <w:rFonts w:ascii="Arial" w:cs="Arial" w:eastAsia="Arial" w:hAnsi="Arial"/>
                <w:b/>
                <w:bCs/>
                <w:color w:val="2ADE60"/>
                <w:sz w:val="28"/>
                <w:szCs w:val="28"/>
              </w:rPr>
              <w:t xml:space="preserve">892</w:t>
            </w:r>
          </w:p>
          <w:p>
            <w:r>
              <w:rPr>
                <w:rFonts w:ascii="Arial" w:cs="Arial" w:eastAsia="Arial" w:hAnsi="Arial"/>
                <w:color w:val="999999"/>
                <w:sz w:val="14"/>
                <w:szCs w:val="14"/>
              </w:rPr>
              <w:t xml:space="preserve">+12 this month</w:t>
            </w:r>
          </w:p>
        </w:tc>
        <w:tc>
          <w:tcPr>
            <w:tcW w:type="dxa" w:w="2016"/>
            <w:tcBorders>
              <w:top w:val="single" w:color="5B9FFF"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PREMIUM IN FORCE</w:t>
            </w:r>
          </w:p>
          <w:p>
            <w:pPr>
              <w:spacing w:after="20"/>
            </w:pPr>
            <w:r>
              <w:rPr>
                <w:rFonts w:ascii="Arial" w:cs="Arial" w:eastAsia="Arial" w:hAnsi="Arial"/>
                <w:b/>
                <w:bCs/>
                <w:color w:val="5B9FFF"/>
                <w:sz w:val="28"/>
                <w:szCs w:val="28"/>
              </w:rPr>
              <w:t xml:space="preserve">$62,440</w:t>
            </w:r>
          </w:p>
          <w:p>
            <w:r>
              <w:rPr>
                <w:rFonts w:ascii="Arial" w:cs="Arial" w:eastAsia="Arial" w:hAnsi="Arial"/>
                <w:color w:val="999999"/>
                <w:sz w:val="14"/>
                <w:szCs w:val="14"/>
              </w:rPr>
              <w:t xml:space="preserve">Goal: $75,000</w:t>
            </w:r>
          </w:p>
        </w:tc>
        <w:tc>
          <w:tcPr>
            <w:tcW w:type="dxa" w:w="2016"/>
            <w:tcBorders>
              <w:top w:val="single" w:color="D0CC10"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AT-RISK</w:t>
            </w:r>
          </w:p>
          <w:p>
            <w:pPr>
              <w:spacing w:after="20"/>
            </w:pPr>
            <w:r>
              <w:rPr>
                <w:rFonts w:ascii="Arial" w:cs="Arial" w:eastAsia="Arial" w:hAnsi="Arial"/>
                <w:b/>
                <w:bCs/>
                <w:color w:val="D0CC10"/>
                <w:sz w:val="28"/>
                <w:szCs w:val="28"/>
              </w:rPr>
              <w:t xml:space="preserve">34</w:t>
            </w:r>
          </w:p>
          <w:p>
            <w:r>
              <w:rPr>
                <w:rFonts w:ascii="Arial" w:cs="Arial" w:eastAsia="Arial" w:hAnsi="Arial"/>
                <w:color w:val="999999"/>
                <w:sz w:val="14"/>
                <w:szCs w:val="14"/>
              </w:rPr>
              <w:t xml:space="preserve">3.8% of active</w:t>
            </w:r>
          </w:p>
        </w:tc>
        <w:tc>
          <w:tcPr>
            <w:tcW w:type="dxa" w:w="2016"/>
            <w:tcBorders>
              <w:top w:val="single" w:color="2ADE60"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LAPSE RATE</w:t>
            </w:r>
          </w:p>
          <w:p>
            <w:pPr>
              <w:spacing w:after="20"/>
            </w:pPr>
            <w:r>
              <w:rPr>
                <w:rFonts w:ascii="Arial" w:cs="Arial" w:eastAsia="Arial" w:hAnsi="Arial"/>
                <w:b/>
                <w:bCs/>
                <w:color w:val="2ADE60"/>
                <w:sz w:val="28"/>
                <w:szCs w:val="28"/>
              </w:rPr>
              <w:t xml:space="preserve">2.1%</w:t>
            </w:r>
          </w:p>
          <w:p>
            <w:r>
              <w:rPr>
                <w:rFonts w:ascii="Arial" w:cs="Arial" w:eastAsia="Arial" w:hAnsi="Arial"/>
                <w:color w:val="999999"/>
                <w:sz w:val="14"/>
                <w:szCs w:val="14"/>
              </w:rPr>
              <w:t xml:space="preserve">Goal: &lt;3%</w:t>
            </w:r>
          </w:p>
        </w:tc>
        <w:tc>
          <w:tcPr>
            <w:tcW w:type="dxa" w:w="2016"/>
            <w:tcBorders>
              <w:top w:val="single" w:color="A855F7"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WIN-BACK SUCCESS</w:t>
            </w:r>
          </w:p>
          <w:p>
            <w:pPr>
              <w:spacing w:after="20"/>
            </w:pPr>
            <w:r>
              <w:rPr>
                <w:rFonts w:ascii="Arial" w:cs="Arial" w:eastAsia="Arial" w:hAnsi="Arial"/>
                <w:b/>
                <w:bCs/>
                <w:color w:val="A855F7"/>
                <w:sz w:val="28"/>
                <w:szCs w:val="28"/>
              </w:rPr>
              <w:t xml:space="preserve">8</w:t>
            </w:r>
          </w:p>
          <w:p>
            <w:r>
              <w:rPr>
                <w:rFonts w:ascii="Arial" w:cs="Arial" w:eastAsia="Arial" w:hAnsi="Arial"/>
                <w:color w:val="999999"/>
                <w:sz w:val="14"/>
                <w:szCs w:val="14"/>
              </w:rPr>
              <w:t xml:space="preserve">28% success rate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200"/>
        <w:gridCol w:w="1100"/>
        <w:gridCol w:w="1000"/>
        <w:gridCol w:w="1000"/>
        <w:gridCol w:w="1080"/>
        <w:gridCol w:w="1100"/>
        <w:gridCol w:w="1100"/>
      </w:tblGrid>
      <w:tr>
        <w:tc>
          <w:tcPr>
            <w:tcW w:type="dxa" w:w="112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Name</w:t>
            </w:r>
          </w:p>
        </w:tc>
        <w:tc>
          <w:tcPr>
            <w:tcW w:type="dxa" w:w="112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Policy #</w:t>
            </w:r>
          </w:p>
        </w:tc>
        <w:tc>
          <w:tcPr>
            <w:tcW w:type="dxa" w:w="112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Carrier</w:t>
            </w:r>
          </w:p>
        </w:tc>
        <w:tc>
          <w:tcPr>
            <w:tcW w:type="dxa" w:w="112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Product</w:t>
            </w:r>
          </w:p>
        </w:tc>
        <w:tc>
          <w:tcPr>
            <w:tcW w:type="dxa" w:w="112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Premium</w:t>
            </w:r>
          </w:p>
        </w:tc>
        <w:tc>
          <w:tcPr>
            <w:tcW w:type="dxa" w:w="112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Status</w:t>
            </w:r>
          </w:p>
        </w:tc>
        <w:tc>
          <w:tcPr>
            <w:tcW w:type="dxa" w:w="112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Days Since Pmt</w:t>
            </w:r>
          </w:p>
        </w:tc>
        <w:tc>
          <w:tcPr>
            <w:tcW w:type="dxa" w:w="112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Last Outreach</w:t>
            </w:r>
          </w:p>
        </w:tc>
        <w:tc>
          <w:tcPr>
            <w:tcW w:type="dxa" w:w="112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Attempts</w:t>
            </w:r>
          </w:p>
        </w:tc>
      </w:tr>
      <w:tr>
        <w:tc>
          <w:tcPr>
            <w:tcW w:type="dxa" w:w="112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James Wilson</w:t>
            </w:r>
          </w:p>
        </w:tc>
        <w:tc>
          <w:tcPr>
            <w:tcW w:type="dxa" w:w="112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AA-42819</w:t>
            </w:r>
          </w:p>
        </w:tc>
        <w:tc>
          <w:tcPr>
            <w:tcW w:type="dxa" w:w="112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Am. Amic.</w:t>
            </w:r>
          </w:p>
        </w:tc>
        <w:tc>
          <w:tcPr>
            <w:tcW w:type="dxa" w:w="112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SC FE Imm.</w:t>
            </w:r>
          </w:p>
        </w:tc>
        <w:tc>
          <w:tcPr>
            <w:tcW w:type="dxa" w:w="112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$85</w:t>
            </w:r>
          </w:p>
        </w:tc>
        <w:tc>
          <w:tcPr>
            <w:tcW w:type="dxa" w:w="112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 Active</w:t>
            </w:r>
          </w:p>
        </w:tc>
        <w:tc>
          <w:tcPr>
            <w:tcW w:type="dxa" w:w="112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112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12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w:t>
            </w:r>
          </w:p>
        </w:tc>
      </w:tr>
      <w:tr>
        <w:tc>
          <w:tcPr>
            <w:tcW w:type="dxa" w:w="1120"/>
            <w:tcBorders>
              <w:top w:val="single" w:color="DFE3EB" w:sz="1"/>
              <w:left w:val="single" w:color="DFE3EB" w:sz="1"/>
              <w:bottom w:val="single" w:color="DFE3EB" w:sz="1"/>
              <w:right w:val="single" w:color="DFE3EB" w:sz="1"/>
            </w:tcBorders>
            <w:shd w:fill="FFFBF0" w:val="clear"/>
            <w:tcMar>
              <w:top w:type="dxa" w:w="60"/>
              <w:left w:type="dxa" w:w="100"/>
              <w:bottom w:type="dxa" w:w="60"/>
              <w:right w:type="dxa" w:w="100"/>
            </w:tcMar>
          </w:tcPr>
          <w:p>
            <w:r>
              <w:rPr>
                <w:rFonts w:ascii="Arial" w:cs="Arial" w:eastAsia="Arial" w:hAnsi="Arial"/>
                <w:b w:val="false"/>
                <w:bCs w:val="false"/>
                <w:color w:val="333333"/>
                <w:sz w:val="18"/>
                <w:szCs w:val="18"/>
              </w:rPr>
              <w:t xml:space="preserve">Dorothy Hill</w:t>
            </w:r>
          </w:p>
        </w:tc>
        <w:tc>
          <w:tcPr>
            <w:tcW w:type="dxa" w:w="1120"/>
            <w:tcBorders>
              <w:top w:val="single" w:color="DFE3EB" w:sz="1"/>
              <w:left w:val="single" w:color="DFE3EB" w:sz="1"/>
              <w:bottom w:val="single" w:color="DFE3EB" w:sz="1"/>
              <w:right w:val="single" w:color="DFE3EB" w:sz="1"/>
            </w:tcBorders>
            <w:shd w:fill="FFFBF0" w:val="clear"/>
            <w:tcMar>
              <w:top w:type="dxa" w:w="60"/>
              <w:left w:type="dxa" w:w="100"/>
              <w:bottom w:type="dxa" w:w="60"/>
              <w:right w:type="dxa" w:w="100"/>
            </w:tcMar>
          </w:tcPr>
          <w:p>
            <w:r>
              <w:rPr>
                <w:rFonts w:ascii="Arial" w:cs="Arial" w:eastAsia="Arial" w:hAnsi="Arial"/>
                <w:b w:val="false"/>
                <w:bCs w:val="false"/>
                <w:color w:val="333333"/>
                <w:sz w:val="18"/>
                <w:szCs w:val="18"/>
              </w:rPr>
              <w:t xml:space="preserve">TL-18723</w:t>
            </w:r>
          </w:p>
        </w:tc>
        <w:tc>
          <w:tcPr>
            <w:tcW w:type="dxa" w:w="1120"/>
            <w:tcBorders>
              <w:top w:val="single" w:color="DFE3EB" w:sz="1"/>
              <w:left w:val="single" w:color="DFE3EB" w:sz="1"/>
              <w:bottom w:val="single" w:color="DFE3EB" w:sz="1"/>
              <w:right w:val="single" w:color="DFE3EB" w:sz="1"/>
            </w:tcBorders>
            <w:shd w:fill="FFFBF0" w:val="clear"/>
            <w:tcMar>
              <w:top w:type="dxa" w:w="60"/>
              <w:left w:type="dxa" w:w="100"/>
              <w:bottom w:type="dxa" w:w="60"/>
              <w:right w:type="dxa" w:w="100"/>
            </w:tcMar>
          </w:tcPr>
          <w:p>
            <w:r>
              <w:rPr>
                <w:rFonts w:ascii="Arial" w:cs="Arial" w:eastAsia="Arial" w:hAnsi="Arial"/>
                <w:b w:val="false"/>
                <w:bCs w:val="false"/>
                <w:color w:val="333333"/>
                <w:sz w:val="18"/>
                <w:szCs w:val="18"/>
              </w:rPr>
              <w:t xml:space="preserve">TransAm</w:t>
            </w:r>
          </w:p>
        </w:tc>
        <w:tc>
          <w:tcPr>
            <w:tcW w:type="dxa" w:w="1120"/>
            <w:tcBorders>
              <w:top w:val="single" w:color="DFE3EB" w:sz="1"/>
              <w:left w:val="single" w:color="DFE3EB" w:sz="1"/>
              <w:bottom w:val="single" w:color="DFE3EB" w:sz="1"/>
              <w:right w:val="single" w:color="DFE3EB" w:sz="1"/>
            </w:tcBorders>
            <w:shd w:fill="FFFBF0" w:val="clear"/>
            <w:tcMar>
              <w:top w:type="dxa" w:w="60"/>
              <w:left w:type="dxa" w:w="100"/>
              <w:bottom w:type="dxa" w:w="60"/>
              <w:right w:type="dxa" w:w="100"/>
            </w:tcMar>
          </w:tcPr>
          <w:p>
            <w:r>
              <w:rPr>
                <w:rFonts w:ascii="Arial" w:cs="Arial" w:eastAsia="Arial" w:hAnsi="Arial"/>
                <w:b w:val="false"/>
                <w:bCs w:val="false"/>
                <w:color w:val="333333"/>
                <w:sz w:val="18"/>
                <w:szCs w:val="18"/>
              </w:rPr>
              <w:t xml:space="preserve">FE Express</w:t>
            </w:r>
          </w:p>
        </w:tc>
        <w:tc>
          <w:tcPr>
            <w:tcW w:type="dxa" w:w="1120"/>
            <w:tcBorders>
              <w:top w:val="single" w:color="DFE3EB" w:sz="1"/>
              <w:left w:val="single" w:color="DFE3EB" w:sz="1"/>
              <w:bottom w:val="single" w:color="DFE3EB" w:sz="1"/>
              <w:right w:val="single" w:color="DFE3EB" w:sz="1"/>
            </w:tcBorders>
            <w:shd w:fill="FFFBF0" w:val="clear"/>
            <w:tcMar>
              <w:top w:type="dxa" w:w="60"/>
              <w:left w:type="dxa" w:w="100"/>
              <w:bottom w:type="dxa" w:w="60"/>
              <w:right w:type="dxa" w:w="100"/>
            </w:tcMar>
          </w:tcPr>
          <w:p>
            <w:r>
              <w:rPr>
                <w:rFonts w:ascii="Arial" w:cs="Arial" w:eastAsia="Arial" w:hAnsi="Arial"/>
                <w:b w:val="false"/>
                <w:bCs w:val="false"/>
                <w:color w:val="333333"/>
                <w:sz w:val="18"/>
                <w:szCs w:val="18"/>
              </w:rPr>
              <w:t xml:space="preserve">$72</w:t>
            </w:r>
          </w:p>
        </w:tc>
        <w:tc>
          <w:tcPr>
            <w:tcW w:type="dxa" w:w="1120"/>
            <w:tcBorders>
              <w:top w:val="single" w:color="DFE3EB" w:sz="1"/>
              <w:left w:val="single" w:color="DFE3EB" w:sz="1"/>
              <w:bottom w:val="single" w:color="DFE3EB" w:sz="1"/>
              <w:right w:val="single" w:color="DFE3EB" w:sz="1"/>
            </w:tcBorders>
            <w:shd w:fill="FFFBF0" w:val="clear"/>
            <w:tcMar>
              <w:top w:type="dxa" w:w="60"/>
              <w:left w:type="dxa" w:w="100"/>
              <w:bottom w:type="dxa" w:w="60"/>
              <w:right w:type="dxa" w:w="100"/>
            </w:tcMar>
          </w:tcPr>
          <w:p>
            <w:r>
              <w:rPr>
                <w:rFonts w:ascii="Arial" w:cs="Arial" w:eastAsia="Arial" w:hAnsi="Arial"/>
                <w:b w:val="false"/>
                <w:bCs w:val="false"/>
                <w:color w:val="333333"/>
                <w:sz w:val="18"/>
                <w:szCs w:val="18"/>
              </w:rPr>
              <w:t xml:space="preserve">● At-Risk</w:t>
            </w:r>
          </w:p>
        </w:tc>
        <w:tc>
          <w:tcPr>
            <w:tcW w:type="dxa" w:w="1120"/>
            <w:tcBorders>
              <w:top w:val="single" w:color="DFE3EB" w:sz="1"/>
              <w:left w:val="single" w:color="DFE3EB" w:sz="1"/>
              <w:bottom w:val="single" w:color="DFE3EB" w:sz="1"/>
              <w:right w:val="single" w:color="DFE3EB" w:sz="1"/>
            </w:tcBorders>
            <w:shd w:fill="FFFBF0" w:val="clear"/>
            <w:tcMar>
              <w:top w:type="dxa" w:w="60"/>
              <w:left w:type="dxa" w:w="100"/>
              <w:bottom w:type="dxa" w:w="60"/>
              <w:right w:type="dxa" w:w="100"/>
            </w:tcMar>
          </w:tcPr>
          <w:p>
            <w:r>
              <w:rPr>
                <w:rFonts w:ascii="Arial" w:cs="Arial" w:eastAsia="Arial" w:hAnsi="Arial"/>
                <w:b w:val="false"/>
                <w:bCs w:val="false"/>
                <w:color w:val="333333"/>
                <w:sz w:val="18"/>
                <w:szCs w:val="18"/>
              </w:rPr>
              <w:t xml:space="preserve">42</w:t>
            </w:r>
          </w:p>
        </w:tc>
        <w:tc>
          <w:tcPr>
            <w:tcW w:type="dxa" w:w="1120"/>
            <w:tcBorders>
              <w:top w:val="single" w:color="DFE3EB" w:sz="1"/>
              <w:left w:val="single" w:color="DFE3EB" w:sz="1"/>
              <w:bottom w:val="single" w:color="DFE3EB" w:sz="1"/>
              <w:right w:val="single" w:color="DFE3EB" w:sz="1"/>
            </w:tcBorders>
            <w:shd w:fill="FFFBF0" w:val="clear"/>
            <w:tcMar>
              <w:top w:type="dxa" w:w="60"/>
              <w:left w:type="dxa" w:w="100"/>
              <w:bottom w:type="dxa" w:w="60"/>
              <w:right w:type="dxa" w:w="100"/>
            </w:tcMar>
          </w:tcPr>
          <w:p>
            <w:r>
              <w:rPr>
                <w:rFonts w:ascii="Arial" w:cs="Arial" w:eastAsia="Arial" w:hAnsi="Arial"/>
                <w:b w:val="false"/>
                <w:bCs w:val="false"/>
                <w:color w:val="333333"/>
                <w:sz w:val="18"/>
                <w:szCs w:val="18"/>
              </w:rPr>
              <w:t xml:space="preserve">Mar 4</w:t>
            </w:r>
          </w:p>
        </w:tc>
        <w:tc>
          <w:tcPr>
            <w:tcW w:type="dxa" w:w="1120"/>
            <w:tcBorders>
              <w:top w:val="single" w:color="DFE3EB" w:sz="1"/>
              <w:left w:val="single" w:color="DFE3EB" w:sz="1"/>
              <w:bottom w:val="single" w:color="DFE3EB" w:sz="1"/>
              <w:right w:val="single" w:color="DFE3EB" w:sz="1"/>
            </w:tcBorders>
            <w:shd w:fill="FFFBF0"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r>
      <w:tr>
        <w:tc>
          <w:tcPr>
            <w:tcW w:type="dxa" w:w="1120"/>
            <w:tcBorders>
              <w:top w:val="single" w:color="DFE3EB" w:sz="1"/>
              <w:left w:val="single" w:color="DFE3EB" w:sz="1"/>
              <w:bottom w:val="single" w:color="DFE3EB" w:sz="1"/>
              <w:right w:val="single" w:color="DFE3EB"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Frank Moore</w:t>
            </w:r>
          </w:p>
        </w:tc>
        <w:tc>
          <w:tcPr>
            <w:tcW w:type="dxa" w:w="1120"/>
            <w:tcBorders>
              <w:top w:val="single" w:color="DFE3EB" w:sz="1"/>
              <w:left w:val="single" w:color="DFE3EB" w:sz="1"/>
              <w:bottom w:val="single" w:color="DFE3EB" w:sz="1"/>
              <w:right w:val="single" w:color="DFE3EB"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CB-90124</w:t>
            </w:r>
          </w:p>
        </w:tc>
        <w:tc>
          <w:tcPr>
            <w:tcW w:type="dxa" w:w="1120"/>
            <w:tcBorders>
              <w:top w:val="single" w:color="DFE3EB" w:sz="1"/>
              <w:left w:val="single" w:color="DFE3EB" w:sz="1"/>
              <w:bottom w:val="single" w:color="DFE3EB" w:sz="1"/>
              <w:right w:val="single" w:color="DFE3EB"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Corebridge</w:t>
            </w:r>
          </w:p>
        </w:tc>
        <w:tc>
          <w:tcPr>
            <w:tcW w:type="dxa" w:w="1120"/>
            <w:tcBorders>
              <w:top w:val="single" w:color="DFE3EB" w:sz="1"/>
              <w:left w:val="single" w:color="DFE3EB" w:sz="1"/>
              <w:bottom w:val="single" w:color="DFE3EB" w:sz="1"/>
              <w:right w:val="single" w:color="DFE3EB"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SIWL Max</w:t>
            </w:r>
          </w:p>
        </w:tc>
        <w:tc>
          <w:tcPr>
            <w:tcW w:type="dxa" w:w="1120"/>
            <w:tcBorders>
              <w:top w:val="single" w:color="DFE3EB" w:sz="1"/>
              <w:left w:val="single" w:color="DFE3EB" w:sz="1"/>
              <w:bottom w:val="single" w:color="DFE3EB" w:sz="1"/>
              <w:right w:val="single" w:color="DFE3EB"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$110</w:t>
            </w:r>
          </w:p>
        </w:tc>
        <w:tc>
          <w:tcPr>
            <w:tcW w:type="dxa" w:w="1120"/>
            <w:tcBorders>
              <w:top w:val="single" w:color="DFE3EB" w:sz="1"/>
              <w:left w:val="single" w:color="DFE3EB" w:sz="1"/>
              <w:bottom w:val="single" w:color="DFE3EB" w:sz="1"/>
              <w:right w:val="single" w:color="DFE3EB"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 Lapsed</w:t>
            </w:r>
          </w:p>
        </w:tc>
        <w:tc>
          <w:tcPr>
            <w:tcW w:type="dxa" w:w="1120"/>
            <w:tcBorders>
              <w:top w:val="single" w:color="DFE3EB" w:sz="1"/>
              <w:left w:val="single" w:color="DFE3EB" w:sz="1"/>
              <w:bottom w:val="single" w:color="DFE3EB" w:sz="1"/>
              <w:right w:val="single" w:color="DFE3EB"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68</w:t>
            </w:r>
          </w:p>
        </w:tc>
        <w:tc>
          <w:tcPr>
            <w:tcW w:type="dxa" w:w="1120"/>
            <w:tcBorders>
              <w:top w:val="single" w:color="DFE3EB" w:sz="1"/>
              <w:left w:val="single" w:color="DFE3EB" w:sz="1"/>
              <w:bottom w:val="single" w:color="DFE3EB" w:sz="1"/>
              <w:right w:val="single" w:color="DFE3EB"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Mar 1</w:t>
            </w:r>
          </w:p>
        </w:tc>
        <w:tc>
          <w:tcPr>
            <w:tcW w:type="dxa" w:w="1120"/>
            <w:tcBorders>
              <w:top w:val="single" w:color="DFE3EB" w:sz="1"/>
              <w:left w:val="single" w:color="DFE3EB" w:sz="1"/>
              <w:bottom w:val="single" w:color="DFE3EB" w:sz="1"/>
              <w:right w:val="single" w:color="DFE3EB" w:sz="1"/>
            </w:tcBorders>
            <w:shd w:fill="FFF0F0" w:val="clear"/>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r>
    </w:tbl>
    <w:p>
      <w:r>
        <w:br w:type="page"/>
      </w:r>
    </w:p>
    <w:p>
      <w:pPr>
        <w:pStyle w:val="Heading1"/>
        <w:spacing w:after="150" w:before="300"/>
      </w:pPr>
      <w:r>
        <w:rPr>
          <w:rFonts w:ascii="Arial" w:cs="Arial" w:eastAsia="Arial" w:hAnsi="Arial"/>
          <w:b/>
          <w:bCs/>
        </w:rPr>
        <w:t xml:space="preserve">Business Health — Aggregate Analytics</w:t>
      </w:r>
    </w:p>
    <w:p>
      <w:pPr>
        <w:spacing w:after="120"/>
      </w:pPr>
      <w:r>
        <w:rPr>
          <w:rFonts w:ascii="Arial" w:cs="Arial" w:eastAsia="Arial" w:hAnsi="Arial"/>
          <w:color w:val="333333"/>
          <w:sz w:val="22"/>
          <w:szCs w:val="22"/>
        </w:rPr>
        <w:t xml:space="preserve">The Business Health tab provides executive-level visibility into the overall health of the book of business. It aggregates data across all policyholders, carriers, and agents to surface trends, risks, and opportunities. This is the single most important view for understanding long-term profitability.</w:t>
      </w:r>
    </w:p>
    <w:p>
      <w:pPr>
        <w:spacing w:after="10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B1929" w:val="clear"/>
            <w:tcMar>
              <w:top w:type="dxa" w:w="80"/>
              <w:left w:type="dxa" w:w="160"/>
              <w:bottom w:type="dxa" w:w="80"/>
              <w:right w:type="dxa" w:w="160"/>
            </w:tcMar>
          </w:tcPr>
          <w:p>
            <w:r>
              <w:rPr>
                <w:rFonts w:ascii="Arial" w:cs="Arial" w:eastAsia="Arial" w:hAnsi="Arial"/>
                <w:b/>
                <w:bCs/>
                <w:color w:val="FFFFFF"/>
                <w:spacing w:val="80"/>
                <w:sz w:val="18"/>
                <w:szCs w:val="18"/>
              </w:rPr>
              <w:t xml:space="preserve">KPI DASHBOARD — 15 METRIC TILES</w:t>
            </w:r>
          </w:p>
        </w:tc>
      </w:tr>
    </w:tbl>
    <w:p>
      <w:pPr>
        <w:spacing w:after="80"/>
      </w:pPr>
    </w:p>
    <w:p>
      <w:pPr>
        <w:spacing w:after="40"/>
      </w:pPr>
      <w:r>
        <w:rPr>
          <w:rFonts w:ascii="Arial" w:cs="Arial" w:eastAsia="Arial" w:hAnsi="Arial"/>
          <w:b/>
          <w:bCs/>
          <w:color w:val="8FA3BE"/>
          <w:sz w:val="16"/>
          <w:szCs w:val="16"/>
        </w:rPr>
        <w:t xml:space="preserve">  ROW 1 — MEMBER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2ADE60"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ACTIVE MEMBERS</w:t>
            </w:r>
          </w:p>
          <w:p>
            <w:pPr>
              <w:spacing w:after="20"/>
            </w:pPr>
            <w:r>
              <w:rPr>
                <w:rFonts w:ascii="Arial" w:cs="Arial" w:eastAsia="Arial" w:hAnsi="Arial"/>
                <w:b/>
                <w:bCs/>
                <w:color w:val="2ADE60"/>
                <w:sz w:val="28"/>
                <w:szCs w:val="28"/>
              </w:rPr>
              <w:t xml:space="preserve">892</w:t>
            </w:r>
          </w:p>
          <w:p>
            <w:r>
              <w:rPr>
                <w:rFonts w:ascii="Arial" w:cs="Arial" w:eastAsia="Arial" w:hAnsi="Arial"/>
                <w:color w:val="999999"/>
                <w:sz w:val="14"/>
                <w:szCs w:val="14"/>
              </w:rPr>
              <w:t xml:space="preserve">↑ +5.4% MoM</w:t>
            </w:r>
          </w:p>
        </w:tc>
        <w:tc>
          <w:tcPr>
            <w:tcW w:type="dxa" w:w="2016"/>
            <w:tcBorders>
              <w:top w:val="single" w:color="5B9FFF"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PREMIUM IN FORCE</w:t>
            </w:r>
          </w:p>
          <w:p>
            <w:pPr>
              <w:spacing w:after="20"/>
            </w:pPr>
            <w:r>
              <w:rPr>
                <w:rFonts w:ascii="Arial" w:cs="Arial" w:eastAsia="Arial" w:hAnsi="Arial"/>
                <w:b/>
                <w:bCs/>
                <w:color w:val="5B9FFF"/>
                <w:sz w:val="28"/>
                <w:szCs w:val="28"/>
              </w:rPr>
              <w:t xml:space="preserve">$62,440</w:t>
            </w:r>
          </w:p>
          <w:p>
            <w:r>
              <w:rPr>
                <w:rFonts w:ascii="Arial" w:cs="Arial" w:eastAsia="Arial" w:hAnsi="Arial"/>
                <w:color w:val="999999"/>
                <w:sz w:val="14"/>
                <w:szCs w:val="14"/>
              </w:rPr>
              <w:t xml:space="preserve">↑ +$3,200 MoM</w:t>
            </w:r>
          </w:p>
        </w:tc>
        <w:tc>
          <w:tcPr>
            <w:tcW w:type="dxa" w:w="2016"/>
            <w:tcBorders>
              <w:top w:val="single" w:color="D0CC10"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AT-RISK MEMBERS</w:t>
            </w:r>
          </w:p>
          <w:p>
            <w:pPr>
              <w:spacing w:after="20"/>
            </w:pPr>
            <w:r>
              <w:rPr>
                <w:rFonts w:ascii="Arial" w:cs="Arial" w:eastAsia="Arial" w:hAnsi="Arial"/>
                <w:b/>
                <w:bCs/>
                <w:color w:val="D0CC10"/>
                <w:sz w:val="28"/>
                <w:szCs w:val="28"/>
              </w:rPr>
              <w:t xml:space="preserve">34</w:t>
            </w:r>
          </w:p>
          <w:p>
            <w:r>
              <w:rPr>
                <w:rFonts w:ascii="Arial" w:cs="Arial" w:eastAsia="Arial" w:hAnsi="Arial"/>
                <w:color w:val="999999"/>
                <w:sz w:val="14"/>
                <w:szCs w:val="14"/>
              </w:rPr>
              <w:t xml:space="preserve">3.8% of active</w:t>
            </w:r>
          </w:p>
        </w:tc>
        <w:tc>
          <w:tcPr>
            <w:tcW w:type="dxa" w:w="2016"/>
            <w:tcBorders>
              <w:top w:val="single" w:color="2ADE60"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LAPSED THIS MONTH</w:t>
            </w:r>
          </w:p>
          <w:p>
            <w:pPr>
              <w:spacing w:after="20"/>
            </w:pPr>
            <w:r>
              <w:rPr>
                <w:rFonts w:ascii="Arial" w:cs="Arial" w:eastAsia="Arial" w:hAnsi="Arial"/>
                <w:b/>
                <w:bCs/>
                <w:color w:val="2ADE60"/>
                <w:sz w:val="28"/>
                <w:szCs w:val="28"/>
              </w:rPr>
              <w:t xml:space="preserve">19</w:t>
            </w:r>
          </w:p>
          <w:p>
            <w:r>
              <w:rPr>
                <w:rFonts w:ascii="Arial" w:cs="Arial" w:eastAsia="Arial" w:hAnsi="Arial"/>
                <w:color w:val="999999"/>
                <w:sz w:val="14"/>
                <w:szCs w:val="14"/>
              </w:rPr>
              <w:t xml:space="preserve">↓ -3 vs last mo</w:t>
            </w:r>
          </w:p>
        </w:tc>
        <w:tc>
          <w:tcPr>
            <w:tcW w:type="dxa" w:w="2016"/>
            <w:tcBorders>
              <w:top w:val="single" w:color="A855F7"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WIN-BACK WINS</w:t>
            </w:r>
          </w:p>
          <w:p>
            <w:pPr>
              <w:spacing w:after="20"/>
            </w:pPr>
            <w:r>
              <w:rPr>
                <w:rFonts w:ascii="Arial" w:cs="Arial" w:eastAsia="Arial" w:hAnsi="Arial"/>
                <w:b/>
                <w:bCs/>
                <w:color w:val="A855F7"/>
                <w:sz w:val="28"/>
                <w:szCs w:val="28"/>
              </w:rPr>
              <w:t xml:space="preserve">8</w:t>
            </w:r>
          </w:p>
          <w:p>
            <w:r>
              <w:rPr>
                <w:rFonts w:ascii="Arial" w:cs="Arial" w:eastAsia="Arial" w:hAnsi="Arial"/>
                <w:color w:val="999999"/>
                <w:sz w:val="14"/>
                <w:szCs w:val="14"/>
              </w:rPr>
              <w:t xml:space="preserve">28% success rate</w:t>
            </w:r>
          </w:p>
        </w:tc>
      </w:tr>
    </w:tbl>
    <w:p>
      <w:pPr>
        <w:spacing w:after="40" w:before="100"/>
      </w:pPr>
      <w:r>
        <w:rPr>
          <w:rFonts w:ascii="Arial" w:cs="Arial" w:eastAsia="Arial" w:hAnsi="Arial"/>
          <w:b/>
          <w:bCs/>
          <w:color w:val="8FA3BE"/>
          <w:sz w:val="16"/>
          <w:szCs w:val="16"/>
        </w:rPr>
        <w:t xml:space="preserve">  ROW 2 — RETENTION RATES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2ADE60"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MONTHLY LAPSE RATE</w:t>
            </w:r>
          </w:p>
          <w:p>
            <w:pPr>
              <w:spacing w:after="20"/>
            </w:pPr>
            <w:r>
              <w:rPr>
                <w:rFonts w:ascii="Arial" w:cs="Arial" w:eastAsia="Arial" w:hAnsi="Arial"/>
                <w:b/>
                <w:bCs/>
                <w:color w:val="2ADE60"/>
                <w:sz w:val="28"/>
                <w:szCs w:val="28"/>
              </w:rPr>
              <w:t xml:space="preserve">2.1%</w:t>
            </w:r>
          </w:p>
          <w:p>
            <w:r>
              <w:rPr>
                <w:rFonts w:ascii="Arial" w:cs="Arial" w:eastAsia="Arial" w:hAnsi="Arial"/>
                <w:color w:val="999999"/>
                <w:sz w:val="14"/>
                <w:szCs w:val="14"/>
              </w:rPr>
              <w:t xml:space="preserve">Goal: &lt;3% ↓</w:t>
            </w:r>
          </w:p>
        </w:tc>
        <w:tc>
          <w:tcPr>
            <w:tcW w:type="dxa" w:w="2016"/>
            <w:tcBorders>
              <w:top w:val="single" w:color="2ADE60"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WIN-BACK RATE</w:t>
            </w:r>
          </w:p>
          <w:p>
            <w:pPr>
              <w:spacing w:after="20"/>
            </w:pPr>
            <w:r>
              <w:rPr>
                <w:rFonts w:ascii="Arial" w:cs="Arial" w:eastAsia="Arial" w:hAnsi="Arial"/>
                <w:b/>
                <w:bCs/>
                <w:color w:val="2ADE60"/>
                <w:sz w:val="28"/>
                <w:szCs w:val="28"/>
              </w:rPr>
              <w:t xml:space="preserve">28%</w:t>
            </w:r>
          </w:p>
          <w:p>
            <w:r>
              <w:rPr>
                <w:rFonts w:ascii="Arial" w:cs="Arial" w:eastAsia="Arial" w:hAnsi="Arial"/>
                <w:color w:val="999999"/>
                <w:sz w:val="14"/>
                <w:szCs w:val="14"/>
              </w:rPr>
              <w:t xml:space="preserve">Goal: 25%</w:t>
            </w:r>
          </w:p>
        </w:tc>
        <w:tc>
          <w:tcPr>
            <w:tcW w:type="dxa" w:w="2016"/>
            <w:tcBorders>
              <w:top w:val="single" w:color="2ADE60"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13-MO PERSISTENCY</w:t>
            </w:r>
          </w:p>
          <w:p>
            <w:pPr>
              <w:spacing w:after="20"/>
            </w:pPr>
            <w:r>
              <w:rPr>
                <w:rFonts w:ascii="Arial" w:cs="Arial" w:eastAsia="Arial" w:hAnsi="Arial"/>
                <w:b/>
                <w:bCs/>
                <w:color w:val="2ADE60"/>
                <w:sz w:val="28"/>
                <w:szCs w:val="28"/>
              </w:rPr>
              <w:t xml:space="preserve">82.4%</w:t>
            </w:r>
          </w:p>
          <w:p>
            <w:r>
              <w:rPr>
                <w:rFonts w:ascii="Arial" w:cs="Arial" w:eastAsia="Arial" w:hAnsi="Arial"/>
                <w:color w:val="999999"/>
                <w:sz w:val="14"/>
                <w:szCs w:val="14"/>
              </w:rPr>
              <w:t xml:space="preserve">Goal: 80%</w:t>
            </w:r>
          </w:p>
        </w:tc>
        <w:tc>
          <w:tcPr>
            <w:tcW w:type="dxa" w:w="2016"/>
            <w:tcBorders>
              <w:top w:val="single" w:color="5B9FFF"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AVG POLICY LIFE</w:t>
            </w:r>
          </w:p>
          <w:p>
            <w:pPr>
              <w:spacing w:after="20"/>
            </w:pPr>
            <w:r>
              <w:rPr>
                <w:rFonts w:ascii="Arial" w:cs="Arial" w:eastAsia="Arial" w:hAnsi="Arial"/>
                <w:b/>
                <w:bCs/>
                <w:color w:val="5B9FFF"/>
                <w:sz w:val="28"/>
                <w:szCs w:val="28"/>
              </w:rPr>
              <w:t xml:space="preserve">14.2 mo</w:t>
            </w:r>
          </w:p>
          <w:p>
            <w:r>
              <w:rPr>
                <w:rFonts w:ascii="Arial" w:cs="Arial" w:eastAsia="Arial" w:hAnsi="Arial"/>
                <w:color w:val="999999"/>
                <w:sz w:val="14"/>
                <w:szCs w:val="14"/>
              </w:rPr>
              <w:t xml:space="preserve">Industry: 12 mo</w:t>
            </w:r>
          </w:p>
        </w:tc>
        <w:tc>
          <w:tcPr>
            <w:tcW w:type="dxa" w:w="2016"/>
            <w:tcBorders>
              <w:top w:val="single" w:color="F87171"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REVENUE AT RISK</w:t>
            </w:r>
          </w:p>
          <w:p>
            <w:pPr>
              <w:spacing w:after="20"/>
            </w:pPr>
            <w:r>
              <w:rPr>
                <w:rFonts w:ascii="Arial" w:cs="Arial" w:eastAsia="Arial" w:hAnsi="Arial"/>
                <w:b/>
                <w:bCs/>
                <w:color w:val="F87171"/>
                <w:sz w:val="28"/>
                <w:szCs w:val="28"/>
              </w:rPr>
              <w:t xml:space="preserve">$3,740</w:t>
            </w:r>
          </w:p>
          <w:p>
            <w:r>
              <w:rPr>
                <w:rFonts w:ascii="Arial" w:cs="Arial" w:eastAsia="Arial" w:hAnsi="Arial"/>
                <w:color w:val="999999"/>
                <w:sz w:val="14"/>
                <w:szCs w:val="14"/>
              </w:rPr>
              <w:t xml:space="preserve">At-risk × avg prem</w:t>
            </w:r>
          </w:p>
        </w:tc>
      </w:tr>
    </w:tbl>
    <w:p>
      <w:pPr>
        <w:spacing w:after="40" w:before="100"/>
      </w:pPr>
      <w:r>
        <w:rPr>
          <w:rFonts w:ascii="Arial" w:cs="Arial" w:eastAsia="Arial" w:hAnsi="Arial"/>
          <w:b/>
          <w:bCs/>
          <w:color w:val="8FA3BE"/>
          <w:sz w:val="16"/>
          <w:szCs w:val="16"/>
        </w:rPr>
        <w:t xml:space="preserve">  ROW 3 —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F87171"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TOP LAPSE CARRIER</w:t>
            </w:r>
          </w:p>
          <w:p>
            <w:pPr>
              <w:spacing w:after="20"/>
            </w:pPr>
            <w:r>
              <w:rPr>
                <w:rFonts w:ascii="Arial" w:cs="Arial" w:eastAsia="Arial" w:hAnsi="Arial"/>
                <w:b/>
                <w:bCs/>
                <w:color w:val="F87171"/>
                <w:sz w:val="28"/>
                <w:szCs w:val="28"/>
              </w:rPr>
              <w:t xml:space="preserve">TransAm</w:t>
            </w:r>
          </w:p>
          <w:p>
            <w:r>
              <w:rPr>
                <w:rFonts w:ascii="Arial" w:cs="Arial" w:eastAsia="Arial" w:hAnsi="Arial"/>
                <w:color w:val="999999"/>
                <w:sz w:val="14"/>
                <w:szCs w:val="14"/>
              </w:rPr>
              <w:t xml:space="preserve">4.1% lapse rate</w:t>
            </w:r>
          </w:p>
        </w:tc>
        <w:tc>
          <w:tcPr>
            <w:tcW w:type="dxa" w:w="2016"/>
            <w:tcBorders>
              <w:top w:val="single" w:color="D0CC10"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TOP LAPSE REASON</w:t>
            </w:r>
          </w:p>
          <w:p>
            <w:pPr>
              <w:spacing w:after="20"/>
            </w:pPr>
            <w:r>
              <w:rPr>
                <w:rFonts w:ascii="Arial" w:cs="Arial" w:eastAsia="Arial" w:hAnsi="Arial"/>
                <w:b/>
                <w:bCs/>
                <w:color w:val="D0CC10"/>
                <w:sz w:val="28"/>
                <w:szCs w:val="28"/>
              </w:rPr>
              <w:t xml:space="preserve">Non-Payment</w:t>
            </w:r>
          </w:p>
          <w:p>
            <w:r>
              <w:rPr>
                <w:rFonts w:ascii="Arial" w:cs="Arial" w:eastAsia="Arial" w:hAnsi="Arial"/>
                <w:color w:val="999999"/>
                <w:sz w:val="14"/>
                <w:szCs w:val="14"/>
              </w:rPr>
              <w:t xml:space="preserve">58% of lapses</w:t>
            </w:r>
          </w:p>
        </w:tc>
        <w:tc>
          <w:tcPr>
            <w:tcW w:type="dxa" w:w="2016"/>
            <w:tcBorders>
              <w:top w:val="single" w:color="F87171"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WORST RETENTION</w:t>
            </w:r>
          </w:p>
          <w:p>
            <w:pPr>
              <w:spacing w:after="20"/>
            </w:pPr>
            <w:r>
              <w:rPr>
                <w:rFonts w:ascii="Arial" w:cs="Arial" w:eastAsia="Arial" w:hAnsi="Arial"/>
                <w:b/>
                <w:bCs/>
                <w:color w:val="F87171"/>
                <w:sz w:val="28"/>
                <w:szCs w:val="28"/>
              </w:rPr>
              <w:t xml:space="preserve">Tom B.</w:t>
            </w:r>
          </w:p>
          <w:p>
            <w:r>
              <w:rPr>
                <w:rFonts w:ascii="Arial" w:cs="Arial" w:eastAsia="Arial" w:hAnsi="Arial"/>
                <w:color w:val="999999"/>
                <w:sz w:val="14"/>
                <w:szCs w:val="14"/>
              </w:rPr>
              <w:t xml:space="preserve">6.2% lapse rate</w:t>
            </w:r>
          </w:p>
        </w:tc>
        <w:tc>
          <w:tcPr>
            <w:tcW w:type="dxa" w:w="2016"/>
            <w:tcBorders>
              <w:top w:val="single" w:color="2ADE60"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BEST RETENTION</w:t>
            </w:r>
          </w:p>
          <w:p>
            <w:pPr>
              <w:spacing w:after="20"/>
            </w:pPr>
            <w:r>
              <w:rPr>
                <w:rFonts w:ascii="Arial" w:cs="Arial" w:eastAsia="Arial" w:hAnsi="Arial"/>
                <w:b/>
                <w:bCs/>
                <w:color w:val="2ADE60"/>
                <w:sz w:val="28"/>
                <w:szCs w:val="28"/>
              </w:rPr>
              <w:t xml:space="preserve">Sarah M.</w:t>
            </w:r>
          </w:p>
          <w:p>
            <w:r>
              <w:rPr>
                <w:rFonts w:ascii="Arial" w:cs="Arial" w:eastAsia="Arial" w:hAnsi="Arial"/>
                <w:color w:val="999999"/>
                <w:sz w:val="14"/>
                <w:szCs w:val="14"/>
              </w:rPr>
              <w:t xml:space="preserve">0.8% lapse rate</w:t>
            </w:r>
          </w:p>
        </w:tc>
        <w:tc>
          <w:tcPr>
            <w:tcW w:type="dxa" w:w="2016"/>
            <w:tcBorders>
              <w:top w:val="single" w:color="A855F7" w:sz="6"/>
              <w:left w:val="single" w:color="DFE3EB" w:sz="1"/>
              <w:bottom w:val="single" w:color="DFE3EB" w:sz="1"/>
              <w:right w:val="single" w:color="DFE3EB" w:sz="1"/>
            </w:tcBorders>
            <w:shd w:fill="FFFFFF" w:val="clear"/>
            <w:tcMar>
              <w:top w:type="dxa" w:w="100"/>
              <w:left w:type="dxa" w:w="120"/>
              <w:bottom w:type="dxa" w:w="100"/>
              <w:right w:type="dxa" w:w="120"/>
            </w:tcMar>
          </w:tcPr>
          <w:p>
            <w:pPr>
              <w:spacing w:after="20"/>
            </w:pPr>
            <w:r>
              <w:rPr>
                <w:rFonts w:ascii="Arial" w:cs="Arial" w:eastAsia="Arial" w:hAnsi="Arial"/>
                <w:b/>
                <w:bCs/>
                <w:color w:val="8FA3BE"/>
                <w:sz w:val="14"/>
                <w:szCs w:val="14"/>
              </w:rPr>
              <w:t xml:space="preserve">OUTREACH DUE TODAY</w:t>
            </w:r>
          </w:p>
          <w:p>
            <w:pPr>
              <w:spacing w:after="20"/>
            </w:pPr>
            <w:r>
              <w:rPr>
                <w:rFonts w:ascii="Arial" w:cs="Arial" w:eastAsia="Arial" w:hAnsi="Arial"/>
                <w:b/>
                <w:bCs/>
                <w:color w:val="A855F7"/>
                <w:sz w:val="28"/>
                <w:szCs w:val="28"/>
              </w:rPr>
              <w:t xml:space="preserve">12</w:t>
            </w:r>
          </w:p>
          <w:p>
            <w:r>
              <w:rPr>
                <w:rFonts w:ascii="Arial" w:cs="Arial" w:eastAsia="Arial" w:hAnsi="Arial"/>
                <w:color w:val="999999"/>
                <w:sz w:val="14"/>
                <w:szCs w:val="14"/>
              </w:rPr>
              <w:t xml:space="preserve">5 overdue</w:t>
            </w:r>
          </w:p>
        </w:tc>
      </w:tr>
    </w:tbl>
    <w:p>
      <w:pPr>
        <w:spacing w:after="10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B1929" w:val="clear"/>
            <w:tcMar>
              <w:top w:type="dxa" w:w="80"/>
              <w:left w:type="dxa" w:w="160"/>
              <w:bottom w:type="dxa" w:w="80"/>
              <w:right w:type="dxa" w:w="160"/>
            </w:tcMar>
          </w:tcPr>
          <w:p>
            <w:r>
              <w:rPr>
                <w:rFonts w:ascii="Arial" w:cs="Arial" w:eastAsia="Arial" w:hAnsi="Arial"/>
                <w:b/>
                <w:bCs/>
                <w:color w:val="FFFFFF"/>
                <w:spacing w:val="80"/>
                <w:sz w:val="18"/>
                <w:szCs w:val="18"/>
              </w:rPr>
              <w:t xml:space="preserve">LAPSE REASON BREAKDOWN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880"/>
        <w:gridCol w:w="1000"/>
        <w:gridCol w:w="1000"/>
      </w:tblGrid>
      <w:tr>
        <w:tc>
          <w:tcPr>
            <w:tcW w:type="dxa" w:w="252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Reason</w:t>
            </w:r>
          </w:p>
        </w:tc>
        <w:tc>
          <w:tcPr>
            <w:tcW w:type="dxa" w:w="252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Distribution</w:t>
            </w:r>
          </w:p>
        </w:tc>
        <w:tc>
          <w:tcPr>
            <w:tcW w:type="dxa" w:w="252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Count</w:t>
            </w:r>
          </w:p>
        </w:tc>
        <w:tc>
          <w:tcPr>
            <w:tcW w:type="dxa" w:w="252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Recoverable?</w:t>
            </w:r>
          </w:p>
        </w:tc>
      </w:tr>
      <w:tr>
        <w:tc>
          <w:tcPr>
            <w:tcW w:type="dxa" w:w="2200"/>
            <w:tcBorders>
              <w:top w:val="single" w:color="DFE3EB" w:sz="1"/>
              <w:left w:val="single" w:color="DFE3EB" w:sz="1"/>
              <w:bottom w:val="single" w:color="DFE3EB" w:sz="1"/>
              <w:right w:val="single" w:color="DFE3EB" w:sz="1"/>
            </w:tcBorders>
            <w:tcMar>
              <w:top w:type="dxa" w:w="60"/>
              <w:left w:type="dxa" w:w="100"/>
              <w:bottom w:type="dxa" w:w="60"/>
              <w:right w:type="dxa" w:w="100"/>
            </w:tcMar>
          </w:tcPr>
          <w:p>
            <w:r>
              <w:rPr>
                <w:rFonts w:ascii="Arial" w:cs="Arial" w:eastAsia="Arial" w:hAnsi="Arial"/>
                <w:b/>
                <w:bCs/>
                <w:color w:val="333333"/>
                <w:sz w:val="18"/>
                <w:szCs w:val="18"/>
              </w:rPr>
              <w:t xml:space="preserve">Non-Payment</w:t>
            </w:r>
          </w:p>
        </w:tc>
        <w:tc>
          <w:tcPr>
            <w:tcW w:type="dxa" w:w="5880"/>
            <w:tcBorders>
              <w:top w:val="single" w:color="DFE3EB" w:sz="1"/>
              <w:left w:val="single" w:color="DFE3EB" w:sz="1"/>
              <w:bottom w:val="single" w:color="DFE3EB" w:sz="1"/>
              <w:right w:val="single" w:color="DFE3EB" w:sz="1"/>
            </w:tcBorders>
            <w:tcMar>
              <w:top w:type="dxa" w:w="60"/>
              <w:left w:type="dxa" w:w="100"/>
              <w:bottom w:type="dxa" w:w="60"/>
              <w:right w:type="dxa" w:w="100"/>
            </w:tcMar>
          </w:tcPr>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3248"/>
              <w:gridCol w:w="2352"/>
            </w:tblGrid>
            <w:tr>
              <w:tc>
                <w:tcPr>
                  <w:tcW w:type="dxa" w:w="3248"/>
                  <w:tcBorders>
                    <w:top w:val="none" w:color="FFFFFF" w:sz="0"/>
                    <w:left w:val="none" w:color="FFFFFF" w:sz="0"/>
                    <w:bottom w:val="none" w:color="FFFFFF" w:sz="0"/>
                    <w:right w:val="none" w:color="FFFFFF" w:sz="0"/>
                  </w:tcBorders>
                  <w:shd w:fill="F87171" w:val="clear"/>
                  <w:tcMar>
                    <w:top w:type="dxa" w:w="20"/>
                    <w:left w:type="dxa" w:w="40"/>
                    <w:bottom w:type="dxa" w:w="20"/>
                    <w:right w:type="dxa" w:w="40"/>
                  </w:tcMar>
                </w:tcPr>
                <w:p>
                  <w:r>
                    <w:rPr>
                      <w:rFonts w:ascii="Arial" w:cs="Arial" w:eastAsia="Arial" w:hAnsi="Arial"/>
                      <w:b/>
                      <w:bCs/>
                      <w:color w:val="FFFFFF"/>
                      <w:sz w:val="16"/>
                      <w:szCs w:val="16"/>
                    </w:rPr>
                    <w:t xml:space="preserve">58%</w:t>
                  </w:r>
                </w:p>
              </w:tc>
              <w:tc>
                <w:tcPr>
                  <w:tcW w:type="dxa" w:w="2352"/>
                  <w:tcBorders>
                    <w:top w:val="none" w:color="FFFFFF" w:sz="0"/>
                    <w:left w:val="none" w:color="FFFFFF" w:sz="0"/>
                    <w:bottom w:val="none" w:color="FFFFFF" w:sz="0"/>
                    <w:right w:val="none" w:color="FFFFFF" w:sz="0"/>
                  </w:tcBorders>
                  <w:tcMar>
                    <w:top w:type="dxa" w:w="20"/>
                    <w:left w:type="dxa" w:w="40"/>
                    <w:bottom w:type="dxa" w:w="20"/>
                    <w:right w:type="dxa" w:w="40"/>
                  </w:tcMar>
                </w:tcPr>
                <w:p/>
              </w:tc>
            </w:tr>
          </w:tbl>
          <w:p/>
        </w:tc>
        <w:tc>
          <w:tcPr>
            <w:tcW w:type="dxa" w:w="1000"/>
            <w:tcBorders>
              <w:top w:val="single" w:color="DFE3EB" w:sz="1"/>
              <w:left w:val="single" w:color="DFE3EB" w:sz="1"/>
              <w:bottom w:val="single" w:color="DFE3EB" w:sz="1"/>
              <w:right w:val="single" w:color="DFE3EB" w:sz="1"/>
            </w:tcBorders>
            <w:tcMar>
              <w:top w:type="dxa" w:w="60"/>
              <w:left w:type="dxa" w:w="100"/>
              <w:bottom w:type="dxa" w:w="60"/>
              <w:right w:type="dxa" w:w="100"/>
            </w:tcMar>
          </w:tcPr>
          <w:p>
            <w:pPr>
              <w:jc w:val="center"/>
            </w:pPr>
            <w:r>
              <w:rPr>
                <w:rFonts w:ascii="Arial" w:cs="Arial" w:eastAsia="Arial" w:hAnsi="Arial"/>
                <w:color w:val="333333"/>
                <w:sz w:val="18"/>
                <w:szCs w:val="18"/>
              </w:rPr>
              <w:t xml:space="preserve">11</w:t>
            </w:r>
          </w:p>
        </w:tc>
        <w:tc>
          <w:tcPr>
            <w:tcW w:type="dxa" w:w="1000"/>
            <w:tcBorders>
              <w:top w:val="single" w:color="DFE3EB" w:sz="1"/>
              <w:left w:val="single" w:color="DFE3EB" w:sz="1"/>
              <w:bottom w:val="single" w:color="DFE3EB" w:sz="1"/>
              <w:right w:val="single" w:color="DFE3EB" w:sz="1"/>
            </w:tcBorders>
            <w:tcMar>
              <w:top w:type="dxa" w:w="60"/>
              <w:left w:type="dxa" w:w="100"/>
              <w:bottom w:type="dxa" w:w="60"/>
              <w:right w:type="dxa" w:w="100"/>
            </w:tcMar>
          </w:tcPr>
          <w:p>
            <w:pPr>
              <w:jc w:val="center"/>
            </w:pPr>
            <w:r>
              <w:rPr>
                <w:rFonts w:ascii="Arial" w:cs="Arial" w:eastAsia="Arial" w:hAnsi="Arial"/>
                <w:b/>
                <w:bCs/>
                <w:color w:val="2ADE60"/>
                <w:sz w:val="18"/>
                <w:szCs w:val="18"/>
              </w:rPr>
              <w:t xml:space="preserve">Yes</w:t>
            </w:r>
          </w:p>
        </w:tc>
      </w:tr>
      <w:tr>
        <w:tc>
          <w:tcPr>
            <w:tcW w:type="dxa" w:w="2200"/>
            <w:tcBorders>
              <w:top w:val="single" w:color="DFE3EB" w:sz="1"/>
              <w:left w:val="single" w:color="DFE3EB" w:sz="1"/>
              <w:bottom w:val="single" w:color="DFE3EB" w:sz="1"/>
              <w:right w:val="single" w:color="DFE3EB" w:sz="1"/>
            </w:tcBorders>
            <w:tcMar>
              <w:top w:type="dxa" w:w="60"/>
              <w:left w:type="dxa" w:w="100"/>
              <w:bottom w:type="dxa" w:w="60"/>
              <w:right w:type="dxa" w:w="100"/>
            </w:tcMar>
          </w:tcPr>
          <w:p>
            <w:r>
              <w:rPr>
                <w:rFonts w:ascii="Arial" w:cs="Arial" w:eastAsia="Arial" w:hAnsi="Arial"/>
                <w:b/>
                <w:bCs/>
                <w:color w:val="333333"/>
                <w:sz w:val="18"/>
                <w:szCs w:val="18"/>
              </w:rPr>
              <w:t xml:space="preserve">Customer Cancelled</w:t>
            </w:r>
          </w:p>
        </w:tc>
        <w:tc>
          <w:tcPr>
            <w:tcW w:type="dxa" w:w="5880"/>
            <w:tcBorders>
              <w:top w:val="single" w:color="DFE3EB" w:sz="1"/>
              <w:left w:val="single" w:color="DFE3EB" w:sz="1"/>
              <w:bottom w:val="single" w:color="DFE3EB" w:sz="1"/>
              <w:right w:val="single" w:color="DFE3EB" w:sz="1"/>
            </w:tcBorders>
            <w:tcMar>
              <w:top w:type="dxa" w:w="60"/>
              <w:left w:type="dxa" w:w="100"/>
              <w:bottom w:type="dxa" w:w="60"/>
              <w:right w:type="dxa" w:w="100"/>
            </w:tcMar>
          </w:tcPr>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1456"/>
              <w:gridCol w:w="4144"/>
            </w:tblGrid>
            <w:tr>
              <w:tc>
                <w:tcPr>
                  <w:tcW w:type="dxa" w:w="1456"/>
                  <w:tcBorders>
                    <w:top w:val="none" w:color="FFFFFF" w:sz="0"/>
                    <w:left w:val="none" w:color="FFFFFF" w:sz="0"/>
                    <w:bottom w:val="none" w:color="FFFFFF" w:sz="0"/>
                    <w:right w:val="none" w:color="FFFFFF" w:sz="0"/>
                  </w:tcBorders>
                  <w:shd w:fill="E0CC10" w:val="clear"/>
                  <w:tcMar>
                    <w:top w:type="dxa" w:w="20"/>
                    <w:left w:type="dxa" w:w="40"/>
                    <w:bottom w:type="dxa" w:w="20"/>
                    <w:right w:type="dxa" w:w="40"/>
                  </w:tcMar>
                </w:tcPr>
                <w:p>
                  <w:r>
                    <w:rPr>
                      <w:rFonts w:ascii="Arial" w:cs="Arial" w:eastAsia="Arial" w:hAnsi="Arial"/>
                      <w:b/>
                      <w:bCs/>
                      <w:color w:val="333333"/>
                      <w:sz w:val="16"/>
                      <w:szCs w:val="16"/>
                    </w:rPr>
                    <w:t xml:space="preserve">26%</w:t>
                  </w:r>
                </w:p>
              </w:tc>
              <w:tc>
                <w:tcPr>
                  <w:tcW w:type="dxa" w:w="4144"/>
                  <w:tcBorders>
                    <w:top w:val="none" w:color="FFFFFF" w:sz="0"/>
                    <w:left w:val="none" w:color="FFFFFF" w:sz="0"/>
                    <w:bottom w:val="none" w:color="FFFFFF" w:sz="0"/>
                    <w:right w:val="none" w:color="FFFFFF" w:sz="0"/>
                  </w:tcBorders>
                  <w:tcMar>
                    <w:top w:type="dxa" w:w="20"/>
                    <w:left w:type="dxa" w:w="40"/>
                    <w:bottom w:type="dxa" w:w="20"/>
                    <w:right w:type="dxa" w:w="40"/>
                  </w:tcMar>
                </w:tcPr>
                <w:p/>
              </w:tc>
            </w:tr>
          </w:tbl>
          <w:p/>
        </w:tc>
        <w:tc>
          <w:tcPr>
            <w:tcW w:type="dxa" w:w="1000"/>
            <w:tcBorders>
              <w:top w:val="single" w:color="DFE3EB" w:sz="1"/>
              <w:left w:val="single" w:color="DFE3EB" w:sz="1"/>
              <w:bottom w:val="single" w:color="DFE3EB" w:sz="1"/>
              <w:right w:val="single" w:color="DFE3EB" w:sz="1"/>
            </w:tcBorders>
            <w:tcMar>
              <w:top w:type="dxa" w:w="60"/>
              <w:left w:type="dxa" w:w="100"/>
              <w:bottom w:type="dxa" w:w="60"/>
              <w:right w:type="dxa" w:w="100"/>
            </w:tcMar>
          </w:tcPr>
          <w:p>
            <w:pPr>
              <w:jc w:val="center"/>
            </w:pPr>
            <w:r>
              <w:rPr>
                <w:rFonts w:ascii="Arial" w:cs="Arial" w:eastAsia="Arial" w:hAnsi="Arial"/>
                <w:color w:val="333333"/>
                <w:sz w:val="18"/>
                <w:szCs w:val="18"/>
              </w:rPr>
              <w:t xml:space="preserve">5</w:t>
            </w:r>
          </w:p>
        </w:tc>
        <w:tc>
          <w:tcPr>
            <w:tcW w:type="dxa" w:w="1000"/>
            <w:tcBorders>
              <w:top w:val="single" w:color="DFE3EB" w:sz="1"/>
              <w:left w:val="single" w:color="DFE3EB" w:sz="1"/>
              <w:bottom w:val="single" w:color="DFE3EB" w:sz="1"/>
              <w:right w:val="single" w:color="DFE3EB" w:sz="1"/>
            </w:tcBorders>
            <w:tcMar>
              <w:top w:type="dxa" w:w="60"/>
              <w:left w:type="dxa" w:w="100"/>
              <w:bottom w:type="dxa" w:w="60"/>
              <w:right w:type="dxa" w:w="100"/>
            </w:tcMar>
          </w:tcPr>
          <w:p>
            <w:pPr>
              <w:jc w:val="center"/>
            </w:pPr>
            <w:r>
              <w:rPr>
                <w:rFonts w:ascii="Arial" w:cs="Arial" w:eastAsia="Arial" w:hAnsi="Arial"/>
                <w:b/>
                <w:bCs/>
                <w:color w:val="2ADE60"/>
                <w:sz w:val="18"/>
                <w:szCs w:val="18"/>
              </w:rPr>
              <w:t xml:space="preserve">Yes</w:t>
            </w:r>
          </w:p>
        </w:tc>
      </w:tr>
      <w:tr>
        <w:tc>
          <w:tcPr>
            <w:tcW w:type="dxa" w:w="2200"/>
            <w:tcBorders>
              <w:top w:val="single" w:color="DFE3EB" w:sz="1"/>
              <w:left w:val="single" w:color="DFE3EB" w:sz="1"/>
              <w:bottom w:val="single" w:color="DFE3EB" w:sz="1"/>
              <w:right w:val="single" w:color="DFE3EB" w:sz="1"/>
            </w:tcBorders>
            <w:tcMar>
              <w:top w:type="dxa" w:w="60"/>
              <w:left w:type="dxa" w:w="100"/>
              <w:bottom w:type="dxa" w:w="60"/>
              <w:right w:type="dxa" w:w="100"/>
            </w:tcMar>
          </w:tcPr>
          <w:p>
            <w:r>
              <w:rPr>
                <w:rFonts w:ascii="Arial" w:cs="Arial" w:eastAsia="Arial" w:hAnsi="Arial"/>
                <w:b/>
                <w:bCs/>
                <w:color w:val="333333"/>
                <w:sz w:val="18"/>
                <w:szCs w:val="18"/>
              </w:rPr>
              <w:t xml:space="preserve">NSF</w:t>
            </w:r>
          </w:p>
        </w:tc>
        <w:tc>
          <w:tcPr>
            <w:tcW w:type="dxa" w:w="5880"/>
            <w:tcBorders>
              <w:top w:val="single" w:color="DFE3EB" w:sz="1"/>
              <w:left w:val="single" w:color="DFE3EB" w:sz="1"/>
              <w:bottom w:val="single" w:color="DFE3EB" w:sz="1"/>
              <w:right w:val="single" w:color="DFE3EB" w:sz="1"/>
            </w:tcBorders>
            <w:tcMar>
              <w:top w:type="dxa" w:w="60"/>
              <w:left w:type="dxa" w:w="100"/>
              <w:bottom w:type="dxa" w:w="60"/>
              <w:right w:type="dxa" w:w="100"/>
            </w:tcMar>
          </w:tcPr>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60"/>
              <w:gridCol w:w="5040"/>
            </w:tblGrid>
            <w:tr>
              <w:tc>
                <w:tcPr>
                  <w:tcW w:type="dxa" w:w="560"/>
                  <w:tcBorders>
                    <w:top w:val="none" w:color="FFFFFF" w:sz="0"/>
                    <w:left w:val="none" w:color="FFFFFF" w:sz="0"/>
                    <w:bottom w:val="none" w:color="FFFFFF" w:sz="0"/>
                    <w:right w:val="none" w:color="FFFFFF" w:sz="0"/>
                  </w:tcBorders>
                  <w:shd w:fill="FF7A59" w:val="clear"/>
                  <w:tcMar>
                    <w:top w:type="dxa" w:w="20"/>
                    <w:left w:type="dxa" w:w="40"/>
                    <w:bottom w:type="dxa" w:w="20"/>
                    <w:right w:type="dxa" w:w="40"/>
                  </w:tcMar>
                </w:tcPr>
                <w:p>
                  <w:r>
                    <w:rPr>
                      <w:rFonts w:ascii="Arial" w:cs="Arial" w:eastAsia="Arial" w:hAnsi="Arial"/>
                      <w:b/>
                      <w:bCs/>
                      <w:color w:val="FFFFFF"/>
                      <w:sz w:val="16"/>
                      <w:szCs w:val="16"/>
                    </w:rPr>
                    <w:t xml:space="preserve">10%</w:t>
                  </w:r>
                </w:p>
              </w:tc>
              <w:tc>
                <w:tcPr>
                  <w:tcW w:type="dxa" w:w="5040"/>
                  <w:tcBorders>
                    <w:top w:val="none" w:color="FFFFFF" w:sz="0"/>
                    <w:left w:val="none" w:color="FFFFFF" w:sz="0"/>
                    <w:bottom w:val="none" w:color="FFFFFF" w:sz="0"/>
                    <w:right w:val="none" w:color="FFFFFF" w:sz="0"/>
                  </w:tcBorders>
                  <w:tcMar>
                    <w:top w:type="dxa" w:w="20"/>
                    <w:left w:type="dxa" w:w="40"/>
                    <w:bottom w:type="dxa" w:w="20"/>
                    <w:right w:type="dxa" w:w="40"/>
                  </w:tcMar>
                </w:tcPr>
                <w:p/>
              </w:tc>
            </w:tr>
          </w:tbl>
          <w:p/>
        </w:tc>
        <w:tc>
          <w:tcPr>
            <w:tcW w:type="dxa" w:w="1000"/>
            <w:tcBorders>
              <w:top w:val="single" w:color="DFE3EB" w:sz="1"/>
              <w:left w:val="single" w:color="DFE3EB" w:sz="1"/>
              <w:bottom w:val="single" w:color="DFE3EB" w:sz="1"/>
              <w:right w:val="single" w:color="DFE3EB"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w:t>
            </w:r>
          </w:p>
        </w:tc>
        <w:tc>
          <w:tcPr>
            <w:tcW w:type="dxa" w:w="1000"/>
            <w:tcBorders>
              <w:top w:val="single" w:color="DFE3EB" w:sz="1"/>
              <w:left w:val="single" w:color="DFE3EB" w:sz="1"/>
              <w:bottom w:val="single" w:color="DFE3EB" w:sz="1"/>
              <w:right w:val="single" w:color="DFE3EB" w:sz="1"/>
            </w:tcBorders>
            <w:tcMar>
              <w:top w:type="dxa" w:w="60"/>
              <w:left w:type="dxa" w:w="100"/>
              <w:bottom w:type="dxa" w:w="60"/>
              <w:right w:type="dxa" w:w="100"/>
            </w:tcMar>
          </w:tcPr>
          <w:p>
            <w:pPr>
              <w:jc w:val="center"/>
            </w:pPr>
            <w:r>
              <w:rPr>
                <w:rFonts w:ascii="Arial" w:cs="Arial" w:eastAsia="Arial" w:hAnsi="Arial"/>
                <w:b/>
                <w:bCs/>
                <w:color w:val="2ADE60"/>
                <w:sz w:val="18"/>
                <w:szCs w:val="18"/>
              </w:rPr>
              <w:t xml:space="preserve">Yes</w:t>
            </w:r>
          </w:p>
        </w:tc>
      </w:tr>
    </w:tbl>
    <w:p>
      <w:r>
        <w:br w:type="page"/>
      </w:r>
    </w:p>
    <w:p>
      <w:pPr>
        <w:pStyle w:val="Heading2"/>
        <w:spacing w:after="150" w:before="300"/>
      </w:pPr>
      <w:r>
        <w:rPr>
          <w:rFonts w:ascii="Arial" w:cs="Arial" w:eastAsia="Arial" w:hAnsi="Arial"/>
          <w:b/>
          <w:bCs/>
        </w:rPr>
        <w:t xml:space="preserve">Carrier Comparison — Persistency by Carrier</w:t>
      </w:r>
    </w:p>
    <w:p>
      <w:pPr>
        <w:spacing w:after="120"/>
      </w:pPr>
      <w:r>
        <w:rPr>
          <w:rFonts w:ascii="Arial" w:cs="Arial" w:eastAsia="Arial" w:hAnsi="Arial"/>
          <w:color w:val="333333"/>
          <w:sz w:val="22"/>
          <w:szCs w:val="22"/>
        </w:rPr>
        <w:t xml:space="preserve">Drill-down from carrier to product to agent to identify where retention problems concentrate. Color-coded persistency rates highlight which relationships are healthy and which need attention.</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200"/>
        <w:gridCol w:w="1200"/>
        <w:gridCol w:w="1580"/>
        <w:gridCol w:w="1500"/>
        <w:gridCol w:w="1300"/>
      </w:tblGrid>
      <w:tr>
        <w:tc>
          <w:tcPr>
            <w:tcW w:type="dxa" w:w="144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Carrier</w:t>
            </w:r>
          </w:p>
        </w:tc>
        <w:tc>
          <w:tcPr>
            <w:tcW w:type="dxa" w:w="144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Active</w:t>
            </w:r>
          </w:p>
        </w:tc>
        <w:tc>
          <w:tcPr>
            <w:tcW w:type="dxa" w:w="144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Lapsed</w:t>
            </w:r>
          </w:p>
        </w:tc>
        <w:tc>
          <w:tcPr>
            <w:tcW w:type="dxa" w:w="144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Lapse Rate</w:t>
            </w:r>
          </w:p>
        </w:tc>
        <w:tc>
          <w:tcPr>
            <w:tcW w:type="dxa" w:w="144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Premium in Force</w:t>
            </w:r>
          </w:p>
        </w:tc>
        <w:tc>
          <w:tcPr>
            <w:tcW w:type="dxa" w:w="144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Revenue at Risk</w:t>
            </w:r>
          </w:p>
        </w:tc>
        <w:tc>
          <w:tcPr>
            <w:tcW w:type="dxa" w:w="144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Persistency</w:t>
            </w:r>
          </w:p>
        </w:tc>
      </w:tr>
      <w:tr>
        <w:tc>
          <w:tcPr>
            <w:tcW w:type="dxa" w:w="144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American Amicable</w:t>
            </w:r>
          </w:p>
        </w:tc>
        <w:tc>
          <w:tcPr>
            <w:tcW w:type="dxa" w:w="144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312</w:t>
            </w:r>
          </w:p>
        </w:tc>
        <w:tc>
          <w:tcPr>
            <w:tcW w:type="dxa" w:w="144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44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1.6%</w:t>
            </w:r>
          </w:p>
        </w:tc>
        <w:tc>
          <w:tcPr>
            <w:tcW w:type="dxa" w:w="144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$21,840</w:t>
            </w:r>
          </w:p>
        </w:tc>
        <w:tc>
          <w:tcPr>
            <w:tcW w:type="dxa" w:w="144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$550</w:t>
            </w:r>
          </w:p>
        </w:tc>
        <w:tc>
          <w:tcPr>
            <w:tcW w:type="dxa" w:w="144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 94.2%</w:t>
            </w:r>
          </w:p>
        </w:tc>
      </w:tr>
      <w:tr>
        <w:tc>
          <w:tcPr>
            <w:tcW w:type="dxa" w:w="144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AIG Corebridge</w:t>
            </w:r>
          </w:p>
        </w:tc>
        <w:tc>
          <w:tcPr>
            <w:tcW w:type="dxa" w:w="144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245</w:t>
            </w:r>
          </w:p>
        </w:tc>
        <w:tc>
          <w:tcPr>
            <w:tcW w:type="dxa" w:w="144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144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3.3%</w:t>
            </w:r>
          </w:p>
        </w:tc>
        <w:tc>
          <w:tcPr>
            <w:tcW w:type="dxa" w:w="144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$18,620</w:t>
            </w:r>
          </w:p>
        </w:tc>
        <w:tc>
          <w:tcPr>
            <w:tcW w:type="dxa" w:w="144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$1,100</w:t>
            </w:r>
          </w:p>
        </w:tc>
        <w:tc>
          <w:tcPr>
            <w:tcW w:type="dxa" w:w="144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 88.1%</w:t>
            </w:r>
          </w:p>
        </w:tc>
      </w:tr>
      <w:tr>
        <w:tc>
          <w:tcPr>
            <w:tcW w:type="dxa" w:w="1440"/>
            <w:tcBorders>
              <w:top w:val="single" w:color="DFE3EB" w:sz="1"/>
              <w:left w:val="single" w:color="DFE3EB" w:sz="1"/>
              <w:bottom w:val="single" w:color="DFE3EB" w:sz="1"/>
              <w:right w:val="single" w:color="DFE3EB" w:sz="1"/>
            </w:tcBorders>
            <w:shd w:fill="FF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TransAmerica</w:t>
            </w:r>
          </w:p>
        </w:tc>
        <w:tc>
          <w:tcPr>
            <w:tcW w:type="dxa" w:w="1440"/>
            <w:tcBorders>
              <w:top w:val="single" w:color="DFE3EB" w:sz="1"/>
              <w:left w:val="single" w:color="DFE3EB" w:sz="1"/>
              <w:bottom w:val="single" w:color="DFE3EB" w:sz="1"/>
              <w:right w:val="single" w:color="DFE3EB" w:sz="1"/>
            </w:tcBorders>
            <w:shd w:fill="FF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198</w:t>
            </w:r>
          </w:p>
        </w:tc>
        <w:tc>
          <w:tcPr>
            <w:tcW w:type="dxa" w:w="1440"/>
            <w:tcBorders>
              <w:top w:val="single" w:color="DFE3EB" w:sz="1"/>
              <w:left w:val="single" w:color="DFE3EB" w:sz="1"/>
              <w:bottom w:val="single" w:color="DFE3EB" w:sz="1"/>
              <w:right w:val="single" w:color="DFE3EB" w:sz="1"/>
            </w:tcBorders>
            <w:shd w:fill="FF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1440"/>
            <w:tcBorders>
              <w:top w:val="single" w:color="DFE3EB" w:sz="1"/>
              <w:left w:val="single" w:color="DFE3EB" w:sz="1"/>
              <w:bottom w:val="single" w:color="DFE3EB" w:sz="1"/>
              <w:right w:val="single" w:color="DFE3EB" w:sz="1"/>
            </w:tcBorders>
            <w:shd w:fill="FF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6.1%</w:t>
            </w:r>
          </w:p>
        </w:tc>
        <w:tc>
          <w:tcPr>
            <w:tcW w:type="dxa" w:w="1440"/>
            <w:tcBorders>
              <w:top w:val="single" w:color="DFE3EB" w:sz="1"/>
              <w:left w:val="single" w:color="DFE3EB" w:sz="1"/>
              <w:bottom w:val="single" w:color="DFE3EB" w:sz="1"/>
              <w:right w:val="single" w:color="DFE3EB" w:sz="1"/>
            </w:tcBorders>
            <w:shd w:fill="FF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$14,256</w:t>
            </w:r>
          </w:p>
        </w:tc>
        <w:tc>
          <w:tcPr>
            <w:tcW w:type="dxa" w:w="1440"/>
            <w:tcBorders>
              <w:top w:val="single" w:color="DFE3EB" w:sz="1"/>
              <w:left w:val="single" w:color="DFE3EB" w:sz="1"/>
              <w:bottom w:val="single" w:color="DFE3EB" w:sz="1"/>
              <w:right w:val="single" w:color="DFE3EB" w:sz="1"/>
            </w:tcBorders>
            <w:shd w:fill="FF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$1,320</w:t>
            </w:r>
          </w:p>
        </w:tc>
        <w:tc>
          <w:tcPr>
            <w:tcW w:type="dxa" w:w="1440"/>
            <w:tcBorders>
              <w:top w:val="single" w:color="DFE3EB" w:sz="1"/>
              <w:left w:val="single" w:color="DFE3EB" w:sz="1"/>
              <w:bottom w:val="single" w:color="DFE3EB" w:sz="1"/>
              <w:right w:val="single" w:color="DFE3EB" w:sz="1"/>
            </w:tcBorders>
            <w:shd w:fill="FF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 76.4%</w:t>
            </w:r>
          </w:p>
        </w:tc>
      </w:tr>
      <w:tr>
        <w:tc>
          <w:tcPr>
            <w:tcW w:type="dxa" w:w="144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Baltimore Life</w:t>
            </w:r>
          </w:p>
        </w:tc>
        <w:tc>
          <w:tcPr>
            <w:tcW w:type="dxa" w:w="144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89</w:t>
            </w:r>
          </w:p>
        </w:tc>
        <w:tc>
          <w:tcPr>
            <w:tcW w:type="dxa" w:w="144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44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2.2%</w:t>
            </w:r>
          </w:p>
        </w:tc>
        <w:tc>
          <w:tcPr>
            <w:tcW w:type="dxa" w:w="144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$5,340</w:t>
            </w:r>
          </w:p>
        </w:tc>
        <w:tc>
          <w:tcPr>
            <w:tcW w:type="dxa" w:w="144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$280</w:t>
            </w:r>
          </w:p>
        </w:tc>
        <w:tc>
          <w:tcPr>
            <w:tcW w:type="dxa" w:w="144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 91.7%</w:t>
            </w:r>
          </w:p>
        </w:tc>
      </w:tr>
      <w:tr>
        <w:tc>
          <w:tcPr>
            <w:tcW w:type="dxa" w:w="1440"/>
            <w:tcBorders>
              <w:top w:val="single" w:color="DFE3EB" w:sz="1"/>
              <w:left w:val="single" w:color="DFE3EB" w:sz="1"/>
              <w:bottom w:val="single" w:color="DFE3EB" w:sz="1"/>
              <w:right w:val="single" w:color="DFE3EB" w:sz="1"/>
            </w:tcBorders>
            <w:shd w:fill="FF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CICA</w:t>
            </w:r>
          </w:p>
        </w:tc>
        <w:tc>
          <w:tcPr>
            <w:tcW w:type="dxa" w:w="1440"/>
            <w:tcBorders>
              <w:top w:val="single" w:color="DFE3EB" w:sz="1"/>
              <w:left w:val="single" w:color="DFE3EB" w:sz="1"/>
              <w:bottom w:val="single" w:color="DFE3EB" w:sz="1"/>
              <w:right w:val="single" w:color="DFE3EB" w:sz="1"/>
            </w:tcBorders>
            <w:shd w:fill="FF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48</w:t>
            </w:r>
          </w:p>
        </w:tc>
        <w:tc>
          <w:tcPr>
            <w:tcW w:type="dxa" w:w="1440"/>
            <w:tcBorders>
              <w:top w:val="single" w:color="DFE3EB" w:sz="1"/>
              <w:left w:val="single" w:color="DFE3EB" w:sz="1"/>
              <w:bottom w:val="single" w:color="DFE3EB" w:sz="1"/>
              <w:right w:val="single" w:color="DFE3EB" w:sz="1"/>
            </w:tcBorders>
            <w:shd w:fill="FF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440"/>
            <w:tcBorders>
              <w:top w:val="single" w:color="DFE3EB" w:sz="1"/>
              <w:left w:val="single" w:color="DFE3EB" w:sz="1"/>
              <w:bottom w:val="single" w:color="DFE3EB" w:sz="1"/>
              <w:right w:val="single" w:color="DFE3EB" w:sz="1"/>
            </w:tcBorders>
            <w:shd w:fill="FF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6.3%</w:t>
            </w:r>
          </w:p>
        </w:tc>
        <w:tc>
          <w:tcPr>
            <w:tcW w:type="dxa" w:w="1440"/>
            <w:tcBorders>
              <w:top w:val="single" w:color="DFE3EB" w:sz="1"/>
              <w:left w:val="single" w:color="DFE3EB" w:sz="1"/>
              <w:bottom w:val="single" w:color="DFE3EB" w:sz="1"/>
              <w:right w:val="single" w:color="DFE3EB" w:sz="1"/>
            </w:tcBorders>
            <w:shd w:fill="FF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$2,384</w:t>
            </w:r>
          </w:p>
        </w:tc>
        <w:tc>
          <w:tcPr>
            <w:tcW w:type="dxa" w:w="1440"/>
            <w:tcBorders>
              <w:top w:val="single" w:color="DFE3EB" w:sz="1"/>
              <w:left w:val="single" w:color="DFE3EB" w:sz="1"/>
              <w:bottom w:val="single" w:color="DFE3EB" w:sz="1"/>
              <w:right w:val="single" w:color="DFE3EB" w:sz="1"/>
            </w:tcBorders>
            <w:shd w:fill="FF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$490</w:t>
            </w:r>
          </w:p>
        </w:tc>
        <w:tc>
          <w:tcPr>
            <w:tcW w:type="dxa" w:w="1440"/>
            <w:tcBorders>
              <w:top w:val="single" w:color="DFE3EB" w:sz="1"/>
              <w:left w:val="single" w:color="DFE3EB" w:sz="1"/>
              <w:bottom w:val="single" w:color="DFE3EB" w:sz="1"/>
              <w:right w:val="single" w:color="DFE3EB" w:sz="1"/>
            </w:tcBorders>
            <w:shd w:fill="FF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 74.8%</w:t>
            </w:r>
          </w:p>
        </w:tc>
      </w:tr>
    </w:tbl>
    <w:p>
      <w:pPr>
        <w:spacing w:after="40"/>
        <w:jc w:val="right"/>
      </w:pPr>
      <w:r>
        <w:rPr>
          <w:rFonts w:ascii="Arial" w:cs="Arial" w:eastAsia="Arial" w:hAnsi="Arial"/>
          <w:i/>
          <w:iCs/>
          <w:color w:val="5B9FFF"/>
          <w:sz w:val="16"/>
          <w:szCs w:val="16"/>
        </w:rPr>
        <w:t xml:space="preserve">Click any carrier to drill into product-level persistency →</w:t>
      </w:r>
    </w:p>
    <w:p>
      <w:pPr>
        <w:spacing w:before="400"/>
      </w:pPr>
    </w:p>
    <w:p>
      <w:pPr>
        <w:pStyle w:val="Heading1"/>
        <w:spacing w:after="150" w:before="300"/>
      </w:pPr>
      <w:r>
        <w:rPr>
          <w:rFonts w:ascii="Arial" w:cs="Arial" w:eastAsia="Arial" w:hAnsi="Arial"/>
          <w:b/>
          <w:bCs/>
        </w:rPr>
        <w:t xml:space="preserve">Implementation Phases</w:t>
      </w:r>
    </w:p>
    <w:p>
      <w:pPr>
        <w:spacing w:after="120"/>
      </w:pPr>
      <w:r>
        <w:rPr>
          <w:rFonts w:ascii="Arial" w:cs="Arial" w:eastAsia="Arial" w:hAnsi="Arial"/>
          <w:color w:val="333333"/>
          <w:sz w:val="22"/>
          <w:szCs w:val="22"/>
        </w:rPr>
        <w:t xml:space="preserve">The system is built incrementally across 10 phases. Each phase delivers working functionality that can be tested and used immediately. Phases 1–7 are core; phases 8–10 are enhancements.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380"/>
        <w:gridCol w:w="6000"/>
      </w:tblGrid>
      <w:tr>
        <w:tc>
          <w:tcPr>
            <w:tcW w:type="dxa" w:w="336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Phase</w:t>
            </w:r>
          </w:p>
        </w:tc>
        <w:tc>
          <w:tcPr>
            <w:tcW w:type="dxa" w:w="336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Focus</w:t>
            </w:r>
          </w:p>
        </w:tc>
        <w:tc>
          <w:tcPr>
            <w:tcW w:type="dxa" w:w="3360"/>
            <w:tcBorders>
              <w:top w:val="single" w:color="DFE3EB" w:sz="1"/>
              <w:left w:val="single" w:color="DFE3EB" w:sz="1"/>
              <w:bottom w:val="single" w:color="DFE3EB" w:sz="1"/>
              <w:right w:val="single" w:color="DFE3EB" w:sz="1"/>
            </w:tcBorders>
            <w:shd w:fill="2D3E50" w:val="clear"/>
            <w:tcMar>
              <w:top w:type="dxa" w:w="60"/>
              <w:left w:type="dxa" w:w="100"/>
              <w:bottom w:type="dxa" w:w="60"/>
              <w:right w:type="dxa" w:w="100"/>
            </w:tcMar>
          </w:tcPr>
          <w:p>
            <w:r>
              <w:rPr>
                <w:rFonts w:ascii="Arial" w:cs="Arial" w:eastAsia="Arial" w:hAnsi="Arial"/>
                <w:b/>
                <w:bCs/>
                <w:color w:val="FFFFFF"/>
                <w:sz w:val="16"/>
                <w:szCs w:val="16"/>
              </w:rPr>
              <w:t xml:space="preserve">Key Deliverables</w:t>
            </w:r>
          </w:p>
        </w:tc>
      </w:tr>
      <w:tr>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w:t>
            </w:r>
          </w:p>
        </w:tc>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Foundation</w:t>
            </w:r>
          </w:p>
        </w:tc>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Sheet tabs created, API scaffolding, caching layer, component architecture</w:t>
            </w:r>
          </w:p>
        </w:tc>
      </w:tr>
      <w:tr>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Lead CRM Core</w:t>
            </w:r>
          </w:p>
        </w:tc>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Auto-sync calls to leads, CRUD APIs, Lead CRM tab with subtabs and detail modal</w:t>
            </w:r>
          </w:p>
        </w:tc>
      </w:tr>
      <w:tr>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Lead Conversion</w:t>
            </w:r>
          </w:p>
        </w:tc>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Lead-to-policy linking, conversion metrics, auto-create policyholder records</w:t>
            </w:r>
          </w:p>
        </w:tc>
      </w:tr>
      <w:tr>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Active Members</w:t>
            </w:r>
          </w:p>
        </w:tc>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Policyholder sync from sales sheet, Retention tab, detail modal</w:t>
            </w:r>
          </w:p>
        </w:tc>
      </w:tr>
      <w:tr>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Lapse Detection</w:t>
            </w:r>
          </w:p>
        </w:tc>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At-risk flagging, lapse recording with reasons, outreach logging, auto-task creation</w:t>
            </w:r>
          </w:p>
        </w:tc>
      </w:tr>
      <w:tr>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Business Health Metrics</w:t>
            </w:r>
          </w:p>
        </w:tc>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Pre-computed health/persistency sheets, KPI tiles, lapse breakdown chart</w:t>
            </w:r>
          </w:p>
        </w:tc>
      </w:tr>
      <w:tr>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Business Health Charts</w:t>
            </w:r>
          </w:p>
        </w:tc>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Time-series trends, revenue at risk, win-back rate, carrier comparison drilldowns</w:t>
            </w:r>
          </w:p>
        </w:tc>
      </w:tr>
      <w:tr>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Win-Back Pipeline</w:t>
            </w:r>
          </w:p>
        </w:tc>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Campaign management, multi-channel outreach logging, success tracking</w:t>
            </w:r>
          </w:p>
        </w:tc>
      </w:tr>
      <w:tr>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Polish</w:t>
            </w:r>
          </w:p>
        </w:tc>
        <w:tc>
          <w:tcPr>
            <w:tcW w:type="dxa" w:w="3360"/>
            <w:tcBorders>
              <w:top w:val="single" w:color="DFE3EB" w:sz="1"/>
              <w:left w:val="single" w:color="DFE3EB" w:sz="1"/>
              <w:bottom w:val="single" w:color="DFE3EB" w:sz="1"/>
              <w:right w:val="single" w:color="DFE3EB"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Forms, modals, caching optimization, load time &lt; 2s</w:t>
            </w:r>
          </w:p>
        </w:tc>
      </w:tr>
      <w:tr>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9–10</w:t>
            </w:r>
          </w:p>
        </w:tc>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Automation &amp; Reports</w:t>
            </w:r>
          </w:p>
        </w:tc>
        <w:tc>
          <w:tcPr>
            <w:tcW w:type="dxa" w:w="3360"/>
            <w:tcBorders>
              <w:top w:val="single" w:color="DFE3EB" w:sz="1"/>
              <w:left w:val="single" w:color="DFE3EB" w:sz="1"/>
              <w:bottom w:val="single" w:color="DFE3EB" w:sz="1"/>
              <w:right w:val="single" w:color="DFE3EB" w:sz="1"/>
            </w:tcBorders>
            <w:shd w:fill="F9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Daily cron for task generation, conversion funnel reports, CSV export</w:t>
            </w:r>
          </w:p>
        </w:tc>
      </w:tr>
    </w:tbl>
    <w:p>
      <w:pPr>
        <w:spacing w:after="80" w:before="200"/>
      </w:pPr>
    </w:p>
    <w:p>
      <w:pPr>
        <w:pStyle w:val="Heading2"/>
        <w:spacing w:after="150" w:before="300"/>
      </w:pPr>
      <w:r>
        <w:rPr>
          <w:rFonts w:ascii="Arial" w:cs="Arial" w:eastAsia="Arial" w:hAnsi="Arial"/>
          <w:b/>
          <w:bCs/>
        </w:rPr>
        <w:t xml:space="preserve">Technology Stack</w:t>
      </w:r>
    </w:p>
    <w:p>
      <w:pPr>
        <w:spacing w:after="100"/>
      </w:pPr>
      <w:r>
        <w:rPr>
          <w:rFonts w:ascii="Arial" w:cs="Arial" w:eastAsia="Arial" w:hAnsi="Arial"/>
          <w:b/>
          <w:bCs/>
          <w:color w:val="333333"/>
          <w:sz w:val="22"/>
          <w:szCs w:val="22"/>
        </w:rPr>
        <w:t xml:space="preserve">Frontend: </w:t>
      </w:r>
      <w:r>
        <w:rPr>
          <w:rFonts w:ascii="Arial" w:cs="Arial" w:eastAsia="Arial" w:hAnsi="Arial"/>
          <w:color w:val="555555"/>
          <w:sz w:val="22"/>
          <w:szCs w:val="22"/>
        </w:rPr>
        <w:t xml:space="preserve">Next.js 14 (App Router), React 18, Recharts for time-series charts</w:t>
      </w:r>
    </w:p>
    <w:p>
      <w:pPr>
        <w:spacing w:after="100"/>
      </w:pPr>
      <w:r>
        <w:rPr>
          <w:rFonts w:ascii="Arial" w:cs="Arial" w:eastAsia="Arial" w:hAnsi="Arial"/>
          <w:b/>
          <w:bCs/>
          <w:color w:val="333333"/>
          <w:sz w:val="22"/>
          <w:szCs w:val="22"/>
        </w:rPr>
        <w:t xml:space="preserve">Backend: </w:t>
      </w:r>
      <w:r>
        <w:rPr>
          <w:rFonts w:ascii="Arial" w:cs="Arial" w:eastAsia="Arial" w:hAnsi="Arial"/>
          <w:color w:val="555555"/>
          <w:sz w:val="22"/>
          <w:szCs w:val="22"/>
        </w:rPr>
        <w:t xml:space="preserve">Google Sheets API via service account, server-side caching (60–300s TTL)</w:t>
      </w:r>
    </w:p>
    <w:p>
      <w:pPr>
        <w:spacing w:after="100"/>
      </w:pPr>
      <w:r>
        <w:rPr>
          <w:rFonts w:ascii="Arial" w:cs="Arial" w:eastAsia="Arial" w:hAnsi="Arial"/>
          <w:b/>
          <w:bCs/>
          <w:color w:val="333333"/>
          <w:sz w:val="22"/>
          <w:szCs w:val="22"/>
        </w:rPr>
        <w:t xml:space="preserve">Data: </w:t>
      </w:r>
      <w:r>
        <w:rPr>
          <w:rFonts w:ascii="Arial" w:cs="Arial" w:eastAsia="Arial" w:hAnsi="Arial"/>
          <w:color w:val="555555"/>
          <w:sz w:val="22"/>
          <w:szCs w:val="22"/>
        </w:rPr>
        <w:t xml:space="preserve">6 new tabs across 3 existing Google Sheets (no new spreadsheets required)</w:t>
      </w:r>
    </w:p>
    <w:p>
      <w:pPr>
        <w:spacing w:after="100"/>
      </w:pPr>
      <w:r>
        <w:rPr>
          <w:rFonts w:ascii="Arial" w:cs="Arial" w:eastAsia="Arial" w:hAnsi="Arial"/>
          <w:b/>
          <w:bCs/>
          <w:color w:val="333333"/>
          <w:sz w:val="22"/>
          <w:szCs w:val="22"/>
        </w:rPr>
        <w:t xml:space="preserve">Design: </w:t>
      </w:r>
      <w:r>
        <w:rPr>
          <w:rFonts w:ascii="Arial" w:cs="Arial" w:eastAsia="Arial" w:hAnsi="Arial"/>
          <w:color w:val="555555"/>
          <w:sz w:val="22"/>
          <w:szCs w:val="22"/>
        </w:rPr>
        <w:t xml:space="preserve">Dark theme (#080B10), inline styles, JetBrains Mono for data, Inter for labels</w:t>
      </w:r>
    </w:p>
    <w:p>
      <w:pPr>
        <w:spacing w:after="100"/>
      </w:pPr>
      <w:r>
        <w:rPr>
          <w:rFonts w:ascii="Arial" w:cs="Arial" w:eastAsia="Arial" w:hAnsi="Arial"/>
          <w:b/>
          <w:bCs/>
          <w:color w:val="333333"/>
          <w:sz w:val="22"/>
          <w:szCs w:val="22"/>
        </w:rPr>
        <w:t xml:space="preserve">New Code: </w:t>
      </w:r>
      <w:r>
        <w:rPr>
          <w:rFonts w:ascii="Arial" w:cs="Arial" w:eastAsia="Arial" w:hAnsi="Arial"/>
          <w:color w:val="555555"/>
          <w:sz w:val="22"/>
          <w:szCs w:val="22"/>
        </w:rPr>
        <w:t xml:space="preserve">14 files, ~100KB total (8 API routes, 3 tab components, 2 modals, 1 shared module)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FA3BE"/>
        <w:sz w:val="16"/>
        <w:szCs w:val="16"/>
      </w:rPr>
      <w:t xml:space="preserve">True Choice Coverage  —  Confidential  —  Page </w:t>
    </w:r>
    <w:r>
      <w:rPr>
        <w:rFonts w:ascii="Arial" w:cs="Arial" w:eastAsia="Arial" w:hAnsi="Arial"/>
        <w:color w:val="8FA3B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3EB" w:sz="2" w:space="4"/>
      </w:pBdr>
      <w:tabs>
        <w:tab w:val="right" w:pos="9026"/>
      </w:tabs>
    </w:pPr>
    <w:r>
      <w:rPr>
        <w:rFonts w:ascii="Arial" w:cs="Arial" w:eastAsia="Arial" w:hAnsi="Arial"/>
        <w:color w:val="8FA3BE"/>
        <w:sz w:val="16"/>
        <w:szCs w:val="16"/>
      </w:rPr>
      <w:t xml:space="preserve">TCC CRM &amp; Retention System</w:t>
    </w:r>
    <w:r/>
    <w:r>
      <w:rPr>
        <w:rFonts w:ascii="Arial" w:cs="Arial" w:eastAsia="Arial" w:hAnsi="Arial"/>
        <w:color w:val="8FA3BE"/>
        <w:sz w:val="16"/>
        <w:szCs w:val="16"/>
      </w:rPr>
      <w:t xml:space="preserve">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192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2026-03-07T21:03:30.185Z</dcterms:created>
  <dcterms:modified xsi:type="dcterms:W3CDTF">2026-03-07T21:03:30.187Z</dcterms:modified>
</cp:coreProperties>
</file>

<file path=docProps/custom.xml><?xml version="1.0" encoding="utf-8"?>
<Properties xmlns="http://schemas.openxmlformats.org/officeDocument/2006/custom-properties" xmlns:vt="http://schemas.openxmlformats.org/officeDocument/2006/docPropsVTypes"/>
</file>