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1215" w:rsidRPr="00E41B66" w:rsidRDefault="00177774" w:rsidP="00E41B66">
      <w:pPr>
        <w:pStyle w:val="Heading1"/>
        <w:divId w:val="2074738821"/>
      </w:pPr>
      <w:r w:rsidRPr="00E41B66">
        <w:t>Concurrent validity of an Estimator of Weekly Alcohol Consumption (EWAC) based on the Extended AUDIT</w:t>
      </w:r>
    </w:p>
    <w:p w:rsidR="00B51215" w:rsidRPr="00E41B66" w:rsidRDefault="008816FC">
      <w:pPr>
        <w:numPr>
          <w:ilvl w:val="0"/>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introduction" w:history="1">
        <w:r w:rsidR="00177774" w:rsidRPr="00E41B66">
          <w:rPr>
            <w:rStyle w:val="toc-section-number"/>
            <w:rFonts w:asciiTheme="majorHAnsi" w:eastAsia="Times New Roman" w:hAnsiTheme="majorHAnsi" w:cstheme="majorHAnsi"/>
            <w:color w:val="337AB7"/>
            <w:sz w:val="21"/>
            <w:szCs w:val="21"/>
          </w:rPr>
          <w:t>1</w:t>
        </w:r>
        <w:r w:rsidR="00177774" w:rsidRPr="00E41B66">
          <w:rPr>
            <w:rStyle w:val="Hyperlink"/>
            <w:rFonts w:asciiTheme="majorHAnsi" w:eastAsia="Times New Roman" w:hAnsiTheme="majorHAnsi" w:cstheme="majorHAnsi"/>
            <w:sz w:val="21"/>
            <w:szCs w:val="21"/>
          </w:rPr>
          <w:t xml:space="preserve"> Introduction</w:t>
        </w:r>
      </w:hyperlink>
    </w:p>
    <w:p w:rsidR="00B51215" w:rsidRPr="00E41B66" w:rsidRDefault="008816FC">
      <w:pPr>
        <w:numPr>
          <w:ilvl w:val="0"/>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methods" w:history="1">
        <w:r w:rsidR="00177774" w:rsidRPr="00E41B66">
          <w:rPr>
            <w:rStyle w:val="toc-section-number"/>
            <w:rFonts w:asciiTheme="majorHAnsi" w:eastAsia="Times New Roman" w:hAnsiTheme="majorHAnsi" w:cstheme="majorHAnsi"/>
            <w:color w:val="337AB7"/>
            <w:sz w:val="21"/>
            <w:szCs w:val="21"/>
          </w:rPr>
          <w:t>2</w:t>
        </w:r>
        <w:r w:rsidR="00177774" w:rsidRPr="00E41B66">
          <w:rPr>
            <w:rStyle w:val="Hyperlink"/>
            <w:rFonts w:asciiTheme="majorHAnsi" w:eastAsia="Times New Roman" w:hAnsiTheme="majorHAnsi" w:cstheme="majorHAnsi"/>
            <w:sz w:val="21"/>
            <w:szCs w:val="21"/>
          </w:rPr>
          <w:t xml:space="preserve"> Methods</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approach" w:history="1">
        <w:r w:rsidR="00177774" w:rsidRPr="00E41B66">
          <w:rPr>
            <w:rStyle w:val="toc-section-number"/>
            <w:rFonts w:asciiTheme="majorHAnsi" w:eastAsia="Times New Roman" w:hAnsiTheme="majorHAnsi" w:cstheme="majorHAnsi"/>
            <w:color w:val="337AB7"/>
            <w:sz w:val="21"/>
            <w:szCs w:val="21"/>
          </w:rPr>
          <w:t>2.1</w:t>
        </w:r>
        <w:r w:rsidR="00177774" w:rsidRPr="00E41B66">
          <w:rPr>
            <w:rStyle w:val="Hyperlink"/>
            <w:rFonts w:asciiTheme="majorHAnsi" w:eastAsia="Times New Roman" w:hAnsiTheme="majorHAnsi" w:cstheme="majorHAnsi"/>
            <w:sz w:val="21"/>
            <w:szCs w:val="21"/>
          </w:rPr>
          <w:t xml:space="preserve"> Approach</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data-sources" w:history="1">
        <w:r w:rsidR="00177774" w:rsidRPr="00E41B66">
          <w:rPr>
            <w:rStyle w:val="toc-section-number"/>
            <w:rFonts w:asciiTheme="majorHAnsi" w:eastAsia="Times New Roman" w:hAnsiTheme="majorHAnsi" w:cstheme="majorHAnsi"/>
            <w:color w:val="337AB7"/>
            <w:sz w:val="21"/>
            <w:szCs w:val="21"/>
          </w:rPr>
          <w:t>2.2</w:t>
        </w:r>
        <w:r w:rsidR="00177774" w:rsidRPr="00E41B66">
          <w:rPr>
            <w:rStyle w:val="Hyperlink"/>
            <w:rFonts w:asciiTheme="majorHAnsi" w:eastAsia="Times New Roman" w:hAnsiTheme="majorHAnsi" w:cstheme="majorHAnsi"/>
            <w:sz w:val="21"/>
            <w:szCs w:val="21"/>
          </w:rPr>
          <w:t xml:space="preserve"> Data sources</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tudy-1-ewac-estimation-and-concurrent-" w:history="1">
        <w:r w:rsidR="00177774" w:rsidRPr="00E41B66">
          <w:rPr>
            <w:rStyle w:val="toc-section-number"/>
            <w:rFonts w:asciiTheme="majorHAnsi" w:eastAsia="Times New Roman" w:hAnsiTheme="majorHAnsi" w:cstheme="majorHAnsi"/>
            <w:color w:val="337AB7"/>
            <w:sz w:val="21"/>
            <w:szCs w:val="21"/>
          </w:rPr>
          <w:t>2.3</w:t>
        </w:r>
        <w:r w:rsidR="00177774" w:rsidRPr="00E41B66">
          <w:rPr>
            <w:rStyle w:val="Hyperlink"/>
            <w:rFonts w:asciiTheme="majorHAnsi" w:eastAsia="Times New Roman" w:hAnsiTheme="majorHAnsi" w:cstheme="majorHAnsi"/>
            <w:sz w:val="21"/>
            <w:szCs w:val="21"/>
          </w:rPr>
          <w:t xml:space="preserve"> Study 1: EWAC estimation and concurrent validity</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tudy-2-concurrent-validity-in-hospital" w:history="1">
        <w:r w:rsidR="00177774" w:rsidRPr="00E41B66">
          <w:rPr>
            <w:rStyle w:val="toc-section-number"/>
            <w:rFonts w:asciiTheme="majorHAnsi" w:eastAsia="Times New Roman" w:hAnsiTheme="majorHAnsi" w:cstheme="majorHAnsi"/>
            <w:color w:val="337AB7"/>
            <w:sz w:val="21"/>
            <w:szCs w:val="21"/>
          </w:rPr>
          <w:t>2.4</w:t>
        </w:r>
        <w:r w:rsidR="00177774" w:rsidRPr="00E41B66">
          <w:rPr>
            <w:rStyle w:val="Hyperlink"/>
            <w:rFonts w:asciiTheme="majorHAnsi" w:eastAsia="Times New Roman" w:hAnsiTheme="majorHAnsi" w:cstheme="majorHAnsi"/>
            <w:sz w:val="21"/>
            <w:szCs w:val="21"/>
          </w:rPr>
          <w:t xml:space="preserve"> Study 2: Concurrent validity in hospital outpatients</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tudy-3-aggregate-concurrent-validity" w:history="1">
        <w:r w:rsidR="00177774" w:rsidRPr="00E41B66">
          <w:rPr>
            <w:rStyle w:val="toc-section-number"/>
            <w:rFonts w:asciiTheme="majorHAnsi" w:eastAsia="Times New Roman" w:hAnsiTheme="majorHAnsi" w:cstheme="majorHAnsi"/>
            <w:color w:val="337AB7"/>
            <w:sz w:val="21"/>
            <w:szCs w:val="21"/>
          </w:rPr>
          <w:t>2.5</w:t>
        </w:r>
        <w:r w:rsidR="00177774" w:rsidRPr="00E41B66">
          <w:rPr>
            <w:rStyle w:val="Hyperlink"/>
            <w:rFonts w:asciiTheme="majorHAnsi" w:eastAsia="Times New Roman" w:hAnsiTheme="majorHAnsi" w:cstheme="majorHAnsi"/>
            <w:sz w:val="21"/>
            <w:szCs w:val="21"/>
          </w:rPr>
          <w:t xml:space="preserve"> Study 3: Aggregate concurrent validity</w:t>
        </w:r>
      </w:hyperlink>
    </w:p>
    <w:p w:rsidR="00B51215" w:rsidRPr="00E41B66" w:rsidRDefault="008816FC">
      <w:pPr>
        <w:numPr>
          <w:ilvl w:val="0"/>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results" w:history="1">
        <w:r w:rsidR="00177774" w:rsidRPr="00E41B66">
          <w:rPr>
            <w:rStyle w:val="toc-section-number"/>
            <w:rFonts w:asciiTheme="majorHAnsi" w:eastAsia="Times New Roman" w:hAnsiTheme="majorHAnsi" w:cstheme="majorHAnsi"/>
            <w:color w:val="337AB7"/>
            <w:sz w:val="21"/>
            <w:szCs w:val="21"/>
          </w:rPr>
          <w:t>3</w:t>
        </w:r>
        <w:r w:rsidR="00177774" w:rsidRPr="00E41B66">
          <w:rPr>
            <w:rStyle w:val="Hyperlink"/>
            <w:rFonts w:asciiTheme="majorHAnsi" w:eastAsia="Times New Roman" w:hAnsiTheme="majorHAnsi" w:cstheme="majorHAnsi"/>
            <w:sz w:val="21"/>
            <w:szCs w:val="21"/>
          </w:rPr>
          <w:t xml:space="preserve"> Results</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tudy-1-ewac-estimation-and-validation" w:history="1">
        <w:r w:rsidR="00177774" w:rsidRPr="00E41B66">
          <w:rPr>
            <w:rStyle w:val="toc-section-number"/>
            <w:rFonts w:asciiTheme="majorHAnsi" w:eastAsia="Times New Roman" w:hAnsiTheme="majorHAnsi" w:cstheme="majorHAnsi"/>
            <w:color w:val="337AB7"/>
            <w:sz w:val="21"/>
            <w:szCs w:val="21"/>
          </w:rPr>
          <w:t>3.1</w:t>
        </w:r>
        <w:r w:rsidR="00177774" w:rsidRPr="00E41B66">
          <w:rPr>
            <w:rStyle w:val="Hyperlink"/>
            <w:rFonts w:asciiTheme="majorHAnsi" w:eastAsia="Times New Roman" w:hAnsiTheme="majorHAnsi" w:cstheme="majorHAnsi"/>
            <w:sz w:val="21"/>
            <w:szCs w:val="21"/>
          </w:rPr>
          <w:t xml:space="preserve"> Study 1: EWAC estimation and validation</w:t>
        </w:r>
      </w:hyperlink>
    </w:p>
    <w:p w:rsidR="00B51215" w:rsidRPr="00E41B66" w:rsidRDefault="008816FC">
      <w:pPr>
        <w:numPr>
          <w:ilvl w:val="2"/>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overall-bias-and-accuracy" w:history="1">
        <w:r w:rsidR="00177774" w:rsidRPr="00E41B66">
          <w:rPr>
            <w:rStyle w:val="toc-section-number"/>
            <w:rFonts w:asciiTheme="majorHAnsi" w:eastAsia="Times New Roman" w:hAnsiTheme="majorHAnsi" w:cstheme="majorHAnsi"/>
            <w:color w:val="337AB7"/>
            <w:sz w:val="21"/>
            <w:szCs w:val="21"/>
          </w:rPr>
          <w:t>3.1.1</w:t>
        </w:r>
        <w:r w:rsidR="00177774" w:rsidRPr="00E41B66">
          <w:rPr>
            <w:rStyle w:val="Hyperlink"/>
            <w:rFonts w:asciiTheme="majorHAnsi" w:eastAsia="Times New Roman" w:hAnsiTheme="majorHAnsi" w:cstheme="majorHAnsi"/>
            <w:sz w:val="21"/>
            <w:szCs w:val="21"/>
          </w:rPr>
          <w:t xml:space="preserve"> Overall bias and accuracy</w:t>
        </w:r>
      </w:hyperlink>
    </w:p>
    <w:p w:rsidR="00B51215" w:rsidRPr="00E41B66" w:rsidRDefault="008816FC">
      <w:pPr>
        <w:numPr>
          <w:ilvl w:val="2"/>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ubgroup-accuracy" w:history="1">
        <w:r w:rsidR="00177774" w:rsidRPr="00E41B66">
          <w:rPr>
            <w:rStyle w:val="toc-section-number"/>
            <w:rFonts w:asciiTheme="majorHAnsi" w:eastAsia="Times New Roman" w:hAnsiTheme="majorHAnsi" w:cstheme="majorHAnsi"/>
            <w:color w:val="337AB7"/>
            <w:sz w:val="21"/>
            <w:szCs w:val="21"/>
          </w:rPr>
          <w:t>3.1.2</w:t>
        </w:r>
        <w:r w:rsidR="00177774" w:rsidRPr="00E41B66">
          <w:rPr>
            <w:rStyle w:val="Hyperlink"/>
            <w:rFonts w:asciiTheme="majorHAnsi" w:eastAsia="Times New Roman" w:hAnsiTheme="majorHAnsi" w:cstheme="majorHAnsi"/>
            <w:sz w:val="21"/>
            <w:szCs w:val="21"/>
          </w:rPr>
          <w:t xml:space="preserve"> Subgroup accuracy</w:t>
        </w:r>
      </w:hyperlink>
    </w:p>
    <w:p w:rsidR="00B51215" w:rsidRPr="00E41B66" w:rsidRDefault="008816FC">
      <w:pPr>
        <w:numPr>
          <w:ilvl w:val="2"/>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receiver-operating-characteristics" w:history="1">
        <w:r w:rsidR="00177774" w:rsidRPr="00E41B66">
          <w:rPr>
            <w:rStyle w:val="toc-section-number"/>
            <w:rFonts w:asciiTheme="majorHAnsi" w:eastAsia="Times New Roman" w:hAnsiTheme="majorHAnsi" w:cstheme="majorHAnsi"/>
            <w:color w:val="337AB7"/>
            <w:sz w:val="21"/>
            <w:szCs w:val="21"/>
          </w:rPr>
          <w:t>3.1.3</w:t>
        </w:r>
        <w:r w:rsidR="00177774" w:rsidRPr="00E41B66">
          <w:rPr>
            <w:rStyle w:val="Hyperlink"/>
            <w:rFonts w:asciiTheme="majorHAnsi" w:eastAsia="Times New Roman" w:hAnsiTheme="majorHAnsi" w:cstheme="majorHAnsi"/>
            <w:sz w:val="21"/>
            <w:szCs w:val="21"/>
          </w:rPr>
          <w:t xml:space="preserve"> Receiver Operating Characteristics</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tudy-2-concurrent-validity-in-hospital" w:history="1">
        <w:r w:rsidR="00177774" w:rsidRPr="00E41B66">
          <w:rPr>
            <w:rStyle w:val="toc-section-number"/>
            <w:rFonts w:asciiTheme="majorHAnsi" w:eastAsia="Times New Roman" w:hAnsiTheme="majorHAnsi" w:cstheme="majorHAnsi"/>
            <w:color w:val="337AB7"/>
            <w:sz w:val="21"/>
            <w:szCs w:val="21"/>
          </w:rPr>
          <w:t>3.2</w:t>
        </w:r>
        <w:r w:rsidR="00177774" w:rsidRPr="00E41B66">
          <w:rPr>
            <w:rStyle w:val="Hyperlink"/>
            <w:rFonts w:asciiTheme="majorHAnsi" w:eastAsia="Times New Roman" w:hAnsiTheme="majorHAnsi" w:cstheme="majorHAnsi"/>
            <w:sz w:val="21"/>
            <w:szCs w:val="21"/>
          </w:rPr>
          <w:t xml:space="preserve"> Study 2: Concurrent validity in hospital patients</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tudy-3-empirical-distribution-function" w:history="1">
        <w:r w:rsidR="00177774" w:rsidRPr="00E41B66">
          <w:rPr>
            <w:rStyle w:val="toc-section-number"/>
            <w:rFonts w:asciiTheme="majorHAnsi" w:eastAsia="Times New Roman" w:hAnsiTheme="majorHAnsi" w:cstheme="majorHAnsi"/>
            <w:color w:val="337AB7"/>
            <w:sz w:val="21"/>
            <w:szCs w:val="21"/>
          </w:rPr>
          <w:t>3.3</w:t>
        </w:r>
        <w:r w:rsidR="00177774" w:rsidRPr="00E41B66">
          <w:rPr>
            <w:rStyle w:val="Hyperlink"/>
            <w:rFonts w:asciiTheme="majorHAnsi" w:eastAsia="Times New Roman" w:hAnsiTheme="majorHAnsi" w:cstheme="majorHAnsi"/>
            <w:sz w:val="21"/>
            <w:szCs w:val="21"/>
          </w:rPr>
          <w:t xml:space="preserve"> Study 3: Empirical distribution functions</w:t>
        </w:r>
      </w:hyperlink>
    </w:p>
    <w:p w:rsidR="00B51215" w:rsidRPr="00E41B66" w:rsidRDefault="008816FC">
      <w:pPr>
        <w:numPr>
          <w:ilvl w:val="0"/>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discussion" w:history="1">
        <w:r w:rsidR="00177774" w:rsidRPr="00E41B66">
          <w:rPr>
            <w:rStyle w:val="toc-section-number"/>
            <w:rFonts w:asciiTheme="majorHAnsi" w:eastAsia="Times New Roman" w:hAnsiTheme="majorHAnsi" w:cstheme="majorHAnsi"/>
            <w:color w:val="337AB7"/>
            <w:sz w:val="21"/>
            <w:szCs w:val="21"/>
          </w:rPr>
          <w:t>4</w:t>
        </w:r>
        <w:r w:rsidR="00177774" w:rsidRPr="00E41B66">
          <w:rPr>
            <w:rStyle w:val="Hyperlink"/>
            <w:rFonts w:asciiTheme="majorHAnsi" w:eastAsia="Times New Roman" w:hAnsiTheme="majorHAnsi" w:cstheme="majorHAnsi"/>
            <w:sz w:val="21"/>
            <w:szCs w:val="21"/>
          </w:rPr>
          <w:t xml:space="preserve"> Discussion</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main-findings" w:history="1">
        <w:r w:rsidR="00177774" w:rsidRPr="00E41B66">
          <w:rPr>
            <w:rStyle w:val="toc-section-number"/>
            <w:rFonts w:asciiTheme="majorHAnsi" w:eastAsia="Times New Roman" w:hAnsiTheme="majorHAnsi" w:cstheme="majorHAnsi"/>
            <w:color w:val="337AB7"/>
            <w:sz w:val="21"/>
            <w:szCs w:val="21"/>
          </w:rPr>
          <w:t>4.1</w:t>
        </w:r>
        <w:r w:rsidR="00177774" w:rsidRPr="00E41B66">
          <w:rPr>
            <w:rStyle w:val="Hyperlink"/>
            <w:rFonts w:asciiTheme="majorHAnsi" w:eastAsia="Times New Roman" w:hAnsiTheme="majorHAnsi" w:cstheme="majorHAnsi"/>
            <w:sz w:val="21"/>
            <w:szCs w:val="21"/>
          </w:rPr>
          <w:t xml:space="preserve"> Main findings</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trengths-and-limitations" w:history="1">
        <w:r w:rsidR="00177774" w:rsidRPr="00E41B66">
          <w:rPr>
            <w:rStyle w:val="toc-section-number"/>
            <w:rFonts w:asciiTheme="majorHAnsi" w:eastAsia="Times New Roman" w:hAnsiTheme="majorHAnsi" w:cstheme="majorHAnsi"/>
            <w:color w:val="337AB7"/>
            <w:sz w:val="21"/>
            <w:szCs w:val="21"/>
          </w:rPr>
          <w:t>4.2</w:t>
        </w:r>
        <w:r w:rsidR="00177774" w:rsidRPr="00E41B66">
          <w:rPr>
            <w:rStyle w:val="Hyperlink"/>
            <w:rFonts w:asciiTheme="majorHAnsi" w:eastAsia="Times New Roman" w:hAnsiTheme="majorHAnsi" w:cstheme="majorHAnsi"/>
            <w:sz w:val="21"/>
            <w:szCs w:val="21"/>
          </w:rPr>
          <w:t xml:space="preserve"> Strengths and limitations</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limitations" w:history="1">
        <w:r w:rsidR="00177774" w:rsidRPr="00E41B66">
          <w:rPr>
            <w:rStyle w:val="toc-section-number"/>
            <w:rFonts w:asciiTheme="majorHAnsi" w:eastAsia="Times New Roman" w:hAnsiTheme="majorHAnsi" w:cstheme="majorHAnsi"/>
            <w:color w:val="337AB7"/>
            <w:sz w:val="21"/>
            <w:szCs w:val="21"/>
          </w:rPr>
          <w:t>4.3</w:t>
        </w:r>
        <w:r w:rsidR="00177774" w:rsidRPr="00E41B66">
          <w:rPr>
            <w:rStyle w:val="Hyperlink"/>
            <w:rFonts w:asciiTheme="majorHAnsi" w:eastAsia="Times New Roman" w:hAnsiTheme="majorHAnsi" w:cstheme="majorHAnsi"/>
            <w:sz w:val="21"/>
            <w:szCs w:val="21"/>
          </w:rPr>
          <w:t xml:space="preserve"> Limitations</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is-the-ewac-good-enough-to-be-used" w:history="1">
        <w:r w:rsidR="00177774" w:rsidRPr="00E41B66">
          <w:rPr>
            <w:rStyle w:val="toc-section-number"/>
            <w:rFonts w:asciiTheme="majorHAnsi" w:eastAsia="Times New Roman" w:hAnsiTheme="majorHAnsi" w:cstheme="majorHAnsi"/>
            <w:color w:val="337AB7"/>
            <w:sz w:val="21"/>
            <w:szCs w:val="21"/>
          </w:rPr>
          <w:t>4.4</w:t>
        </w:r>
        <w:r w:rsidR="00177774" w:rsidRPr="00E41B66">
          <w:rPr>
            <w:rStyle w:val="Hyperlink"/>
            <w:rFonts w:asciiTheme="majorHAnsi" w:eastAsia="Times New Roman" w:hAnsiTheme="majorHAnsi" w:cstheme="majorHAnsi"/>
            <w:sz w:val="21"/>
            <w:szCs w:val="21"/>
          </w:rPr>
          <w:t xml:space="preserve"> Is the EWAC good enough to be used?</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what-are-the-potential-applications" w:history="1">
        <w:r w:rsidR="00177774" w:rsidRPr="00E41B66">
          <w:rPr>
            <w:rStyle w:val="toc-section-number"/>
            <w:rFonts w:asciiTheme="majorHAnsi" w:eastAsia="Times New Roman" w:hAnsiTheme="majorHAnsi" w:cstheme="majorHAnsi"/>
            <w:color w:val="337AB7"/>
            <w:sz w:val="21"/>
            <w:szCs w:val="21"/>
          </w:rPr>
          <w:t>4.5</w:t>
        </w:r>
        <w:r w:rsidR="00177774" w:rsidRPr="00E41B66">
          <w:rPr>
            <w:rStyle w:val="Hyperlink"/>
            <w:rFonts w:asciiTheme="majorHAnsi" w:eastAsia="Times New Roman" w:hAnsiTheme="majorHAnsi" w:cstheme="majorHAnsi"/>
            <w:sz w:val="21"/>
            <w:szCs w:val="21"/>
          </w:rPr>
          <w:t xml:space="preserve"> What are the potential applications?</w:t>
        </w:r>
      </w:hyperlink>
    </w:p>
    <w:p w:rsidR="00B51215" w:rsidRPr="00E41B66" w:rsidRDefault="008816FC">
      <w:pPr>
        <w:numPr>
          <w:ilvl w:val="0"/>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conclusion" w:history="1">
        <w:r w:rsidR="00177774" w:rsidRPr="00E41B66">
          <w:rPr>
            <w:rStyle w:val="toc-section-number"/>
            <w:rFonts w:asciiTheme="majorHAnsi" w:eastAsia="Times New Roman" w:hAnsiTheme="majorHAnsi" w:cstheme="majorHAnsi"/>
            <w:color w:val="337AB7"/>
            <w:sz w:val="21"/>
            <w:szCs w:val="21"/>
          </w:rPr>
          <w:t>5</w:t>
        </w:r>
        <w:r w:rsidR="00177774" w:rsidRPr="00E41B66">
          <w:rPr>
            <w:rStyle w:val="Hyperlink"/>
            <w:rFonts w:asciiTheme="majorHAnsi" w:eastAsia="Times New Roman" w:hAnsiTheme="majorHAnsi" w:cstheme="majorHAnsi"/>
            <w:sz w:val="21"/>
            <w:szCs w:val="21"/>
          </w:rPr>
          <w:t xml:space="preserve"> Conclusion</w:t>
        </w:r>
      </w:hyperlink>
    </w:p>
    <w:p w:rsidR="00B51215" w:rsidRPr="00E41B66" w:rsidRDefault="008816FC">
      <w:pPr>
        <w:numPr>
          <w:ilvl w:val="0"/>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ethics" w:history="1">
        <w:r w:rsidR="00177774" w:rsidRPr="00E41B66">
          <w:rPr>
            <w:rStyle w:val="toc-section-number"/>
            <w:rFonts w:asciiTheme="majorHAnsi" w:eastAsia="Times New Roman" w:hAnsiTheme="majorHAnsi" w:cstheme="majorHAnsi"/>
            <w:color w:val="337AB7"/>
            <w:sz w:val="21"/>
            <w:szCs w:val="21"/>
          </w:rPr>
          <w:t>6</w:t>
        </w:r>
        <w:r w:rsidR="00177774" w:rsidRPr="00E41B66">
          <w:rPr>
            <w:rStyle w:val="Hyperlink"/>
            <w:rFonts w:asciiTheme="majorHAnsi" w:eastAsia="Times New Roman" w:hAnsiTheme="majorHAnsi" w:cstheme="majorHAnsi"/>
            <w:sz w:val="21"/>
            <w:szCs w:val="21"/>
          </w:rPr>
          <w:t xml:space="preserve"> Ethics</w:t>
        </w:r>
      </w:hyperlink>
    </w:p>
    <w:p w:rsidR="00B51215" w:rsidRPr="00E41B66" w:rsidRDefault="008816FC">
      <w:pPr>
        <w:numPr>
          <w:ilvl w:val="0"/>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upplementary-materials" w:history="1">
        <w:r w:rsidR="00177774" w:rsidRPr="00E41B66">
          <w:rPr>
            <w:rStyle w:val="toc-section-number"/>
            <w:rFonts w:asciiTheme="majorHAnsi" w:eastAsia="Times New Roman" w:hAnsiTheme="majorHAnsi" w:cstheme="majorHAnsi"/>
            <w:color w:val="337AB7"/>
            <w:sz w:val="21"/>
            <w:szCs w:val="21"/>
          </w:rPr>
          <w:t>7</w:t>
        </w:r>
        <w:r w:rsidR="00177774" w:rsidRPr="00E41B66">
          <w:rPr>
            <w:rStyle w:val="Hyperlink"/>
            <w:rFonts w:asciiTheme="majorHAnsi" w:eastAsia="Times New Roman" w:hAnsiTheme="majorHAnsi" w:cstheme="majorHAnsi"/>
            <w:sz w:val="21"/>
            <w:szCs w:val="21"/>
          </w:rPr>
          <w:t xml:space="preserve"> Supplementary materials</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upplementary-materials-1-ewac-coeffici" w:history="1">
        <w:r w:rsidR="00177774" w:rsidRPr="00E41B66">
          <w:rPr>
            <w:rStyle w:val="toc-section-number"/>
            <w:rFonts w:asciiTheme="majorHAnsi" w:eastAsia="Times New Roman" w:hAnsiTheme="majorHAnsi" w:cstheme="majorHAnsi"/>
            <w:color w:val="337AB7"/>
            <w:sz w:val="21"/>
            <w:szCs w:val="21"/>
          </w:rPr>
          <w:t>7.1</w:t>
        </w:r>
        <w:r w:rsidR="00177774" w:rsidRPr="00E41B66">
          <w:rPr>
            <w:rStyle w:val="Hyperlink"/>
            <w:rFonts w:asciiTheme="majorHAnsi" w:eastAsia="Times New Roman" w:hAnsiTheme="majorHAnsi" w:cstheme="majorHAnsi"/>
            <w:sz w:val="21"/>
            <w:szCs w:val="21"/>
          </w:rPr>
          <w:t xml:space="preserve"> Supplementary materials 1: EWAC coefficients (CSV file)</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upplementary-materials-2-bayesian-mode" w:history="1">
        <w:r w:rsidR="00177774" w:rsidRPr="00E41B66">
          <w:rPr>
            <w:rStyle w:val="toc-section-number"/>
            <w:rFonts w:asciiTheme="majorHAnsi" w:eastAsia="Times New Roman" w:hAnsiTheme="majorHAnsi" w:cstheme="majorHAnsi"/>
            <w:color w:val="337AB7"/>
            <w:sz w:val="21"/>
            <w:szCs w:val="21"/>
          </w:rPr>
          <w:t>7.2</w:t>
        </w:r>
        <w:r w:rsidR="00177774" w:rsidRPr="00E41B66">
          <w:rPr>
            <w:rStyle w:val="Hyperlink"/>
            <w:rFonts w:asciiTheme="majorHAnsi" w:eastAsia="Times New Roman" w:hAnsiTheme="majorHAnsi" w:cstheme="majorHAnsi"/>
            <w:sz w:val="21"/>
            <w:szCs w:val="21"/>
          </w:rPr>
          <w:t xml:space="preserve"> Supplementary materials 2: Bayesian model report (PDF file)</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upplementary-materials-3-subgroup-anal" w:history="1">
        <w:r w:rsidR="00177774" w:rsidRPr="00E41B66">
          <w:rPr>
            <w:rStyle w:val="toc-section-number"/>
            <w:rFonts w:asciiTheme="majorHAnsi" w:eastAsia="Times New Roman" w:hAnsiTheme="majorHAnsi" w:cstheme="majorHAnsi"/>
            <w:color w:val="337AB7"/>
            <w:sz w:val="21"/>
            <w:szCs w:val="21"/>
          </w:rPr>
          <w:t>7.3</w:t>
        </w:r>
        <w:r w:rsidR="00177774" w:rsidRPr="00E41B66">
          <w:rPr>
            <w:rStyle w:val="Hyperlink"/>
            <w:rFonts w:asciiTheme="majorHAnsi" w:eastAsia="Times New Roman" w:hAnsiTheme="majorHAnsi" w:cstheme="majorHAnsi"/>
            <w:sz w:val="21"/>
            <w:szCs w:val="21"/>
          </w:rPr>
          <w:t xml:space="preserve"> Supplementary materials 3: Subgroup analyses</w:t>
        </w:r>
      </w:hyperlink>
    </w:p>
    <w:p w:rsidR="00B51215" w:rsidRPr="00E41B66" w:rsidRDefault="008816FC">
      <w:pPr>
        <w:numPr>
          <w:ilvl w:val="1"/>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supplementary-materials-3-roc-curves" w:history="1">
        <w:r w:rsidR="00177774" w:rsidRPr="00E41B66">
          <w:rPr>
            <w:rStyle w:val="toc-section-number"/>
            <w:rFonts w:asciiTheme="majorHAnsi" w:eastAsia="Times New Roman" w:hAnsiTheme="majorHAnsi" w:cstheme="majorHAnsi"/>
            <w:color w:val="337AB7"/>
            <w:sz w:val="21"/>
            <w:szCs w:val="21"/>
          </w:rPr>
          <w:t>7.4</w:t>
        </w:r>
        <w:r w:rsidR="00177774" w:rsidRPr="00E41B66">
          <w:rPr>
            <w:rStyle w:val="Hyperlink"/>
            <w:rFonts w:asciiTheme="majorHAnsi" w:eastAsia="Times New Roman" w:hAnsiTheme="majorHAnsi" w:cstheme="majorHAnsi"/>
            <w:sz w:val="21"/>
            <w:szCs w:val="21"/>
          </w:rPr>
          <w:t xml:space="preserve"> Supplementary materials 3: ROC curves</w:t>
        </w:r>
      </w:hyperlink>
    </w:p>
    <w:p w:rsidR="00B51215" w:rsidRPr="00E41B66" w:rsidRDefault="008816FC">
      <w:pPr>
        <w:numPr>
          <w:ilvl w:val="0"/>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appendix-hospital-study" w:history="1">
        <w:r w:rsidR="00177774" w:rsidRPr="00E41B66">
          <w:rPr>
            <w:rStyle w:val="toc-section-number"/>
            <w:rFonts w:asciiTheme="majorHAnsi" w:eastAsia="Times New Roman" w:hAnsiTheme="majorHAnsi" w:cstheme="majorHAnsi"/>
            <w:color w:val="337AB7"/>
            <w:sz w:val="21"/>
            <w:szCs w:val="21"/>
          </w:rPr>
          <w:t>8</w:t>
        </w:r>
        <w:r w:rsidR="00177774" w:rsidRPr="00E41B66">
          <w:rPr>
            <w:rStyle w:val="Hyperlink"/>
            <w:rFonts w:asciiTheme="majorHAnsi" w:eastAsia="Times New Roman" w:hAnsiTheme="majorHAnsi" w:cstheme="majorHAnsi"/>
            <w:sz w:val="21"/>
            <w:szCs w:val="21"/>
          </w:rPr>
          <w:t xml:space="preserve"> Appendix hospital study</w:t>
        </w:r>
      </w:hyperlink>
    </w:p>
    <w:p w:rsidR="00B51215" w:rsidRPr="00E41B66" w:rsidRDefault="008816FC">
      <w:pPr>
        <w:numPr>
          <w:ilvl w:val="0"/>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tables" w:history="1">
        <w:r w:rsidR="00177774" w:rsidRPr="00E41B66">
          <w:rPr>
            <w:rStyle w:val="toc-section-number"/>
            <w:rFonts w:asciiTheme="majorHAnsi" w:eastAsia="Times New Roman" w:hAnsiTheme="majorHAnsi" w:cstheme="majorHAnsi"/>
            <w:color w:val="337AB7"/>
            <w:sz w:val="21"/>
            <w:szCs w:val="21"/>
          </w:rPr>
          <w:t>9</w:t>
        </w:r>
        <w:r w:rsidR="00177774" w:rsidRPr="00E41B66">
          <w:rPr>
            <w:rStyle w:val="Hyperlink"/>
            <w:rFonts w:asciiTheme="majorHAnsi" w:eastAsia="Times New Roman" w:hAnsiTheme="majorHAnsi" w:cstheme="majorHAnsi"/>
            <w:sz w:val="21"/>
            <w:szCs w:val="21"/>
          </w:rPr>
          <w:t xml:space="preserve"> Tables</w:t>
        </w:r>
      </w:hyperlink>
    </w:p>
    <w:p w:rsidR="00B51215" w:rsidRPr="00E41B66" w:rsidRDefault="008816FC">
      <w:pPr>
        <w:numPr>
          <w:ilvl w:val="0"/>
          <w:numId w:val="1"/>
        </w:numPr>
        <w:spacing w:before="100" w:beforeAutospacing="1" w:after="100" w:afterAutospacing="1"/>
        <w:divId w:val="1675455078"/>
        <w:rPr>
          <w:rFonts w:asciiTheme="majorHAnsi" w:eastAsia="Times New Roman" w:hAnsiTheme="majorHAnsi" w:cstheme="majorHAnsi"/>
          <w:color w:val="333333"/>
          <w:sz w:val="21"/>
          <w:szCs w:val="21"/>
        </w:rPr>
      </w:pPr>
      <w:hyperlink w:anchor="references" w:history="1">
        <w:r w:rsidR="00177774" w:rsidRPr="00E41B66">
          <w:rPr>
            <w:rStyle w:val="Hyperlink"/>
            <w:rFonts w:asciiTheme="majorHAnsi" w:eastAsia="Times New Roman" w:hAnsiTheme="majorHAnsi" w:cstheme="majorHAnsi"/>
            <w:sz w:val="21"/>
            <w:szCs w:val="21"/>
          </w:rPr>
          <w:t>References</w:t>
        </w:r>
      </w:hyperlink>
    </w:p>
    <w:p w:rsidR="00B51215" w:rsidRPr="00E41B66" w:rsidRDefault="00177774" w:rsidP="00E41B66">
      <w:pPr>
        <w:pStyle w:val="Heading1"/>
        <w:divId w:val="1660040404"/>
        <w:rPr>
          <w:sz w:val="51"/>
        </w:rPr>
      </w:pPr>
      <w:r w:rsidRPr="00E41B66">
        <w:rPr>
          <w:rStyle w:val="header-section-number"/>
        </w:rPr>
        <w:t>1</w:t>
      </w:r>
      <w:r w:rsidRPr="00E41B66">
        <w:t xml:space="preserve"> Introduction</w:t>
      </w:r>
    </w:p>
    <w:p w:rsidR="00B51215" w:rsidRPr="00E41B66" w:rsidRDefault="00177774">
      <w:pPr>
        <w:pStyle w:val="NormalWeb"/>
        <w:divId w:val="1660040404"/>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Globally, alcohol consumption is responsible for 5% of all deaths and disease </w:t>
      </w:r>
      <w:proofErr w:type="spellStart"/>
      <w:r w:rsidRPr="00E41B66">
        <w:rPr>
          <w:rFonts w:asciiTheme="majorHAnsi" w:hAnsiTheme="majorHAnsi" w:cstheme="majorHAnsi"/>
          <w:color w:val="333333"/>
          <w:sz w:val="21"/>
          <w:szCs w:val="21"/>
        </w:rPr>
        <w:t>disease</w:t>
      </w:r>
      <w:proofErr w:type="spellEnd"/>
      <w:r w:rsidRPr="00E41B66">
        <w:rPr>
          <w:rFonts w:asciiTheme="majorHAnsi" w:hAnsiTheme="majorHAnsi" w:cstheme="majorHAnsi"/>
          <w:color w:val="333333"/>
          <w:sz w:val="21"/>
          <w:szCs w:val="21"/>
        </w:rPr>
        <w:t xml:space="preserve"> </w:t>
      </w:r>
      <w:r w:rsidRPr="00E41B66">
        <w:rPr>
          <w:rStyle w:val="citation"/>
          <w:rFonts w:asciiTheme="majorHAnsi" w:hAnsiTheme="majorHAnsi" w:cstheme="majorHAnsi"/>
          <w:color w:val="333333"/>
          <w:sz w:val="21"/>
          <w:szCs w:val="21"/>
        </w:rPr>
        <w:t>[</w:t>
      </w:r>
      <w:hyperlink w:anchor="ref-Shield2020" w:history="1">
        <w:r w:rsidRPr="00E41B66">
          <w:rPr>
            <w:rStyle w:val="Hyperlink"/>
            <w:rFonts w:asciiTheme="majorHAnsi" w:hAnsiTheme="majorHAnsi" w:cstheme="majorHAnsi"/>
            <w:sz w:val="21"/>
            <w:szCs w:val="21"/>
          </w:rPr>
          <w:t>1</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The burden of alcohol consumption goes far beyond the burden of </w:t>
      </w:r>
      <w:r w:rsidRPr="00E41B66">
        <w:rPr>
          <w:rStyle w:val="Emphasis"/>
          <w:rFonts w:asciiTheme="majorHAnsi" w:hAnsiTheme="majorHAnsi" w:cstheme="majorHAnsi"/>
          <w:color w:val="333333"/>
          <w:sz w:val="21"/>
          <w:szCs w:val="21"/>
        </w:rPr>
        <w:t>alcohol use disorders</w:t>
      </w:r>
      <w:r w:rsidRPr="00E41B66">
        <w:rPr>
          <w:rFonts w:asciiTheme="majorHAnsi" w:hAnsiTheme="majorHAnsi" w:cstheme="majorHAnsi"/>
          <w:color w:val="333333"/>
          <w:sz w:val="21"/>
          <w:szCs w:val="21"/>
        </w:rPr>
        <w:t>, defined in the International Statistical Classification of Diseases (ICD-10 F10.1/F10.2; ICD-11 QE10/6C40.1).</w:t>
      </w:r>
    </w:p>
    <w:p w:rsidR="00B51215" w:rsidRPr="00E41B66" w:rsidRDefault="00177774">
      <w:pPr>
        <w:pStyle w:val="NormalWeb"/>
        <w:divId w:val="1660040404"/>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A number of strategies exist in order to prevent </w:t>
      </w:r>
      <w:r w:rsidRPr="00E41B66">
        <w:rPr>
          <w:rStyle w:val="citation"/>
          <w:rFonts w:asciiTheme="majorHAnsi" w:hAnsiTheme="majorHAnsi" w:cstheme="majorHAnsi"/>
          <w:color w:val="333333"/>
          <w:sz w:val="21"/>
          <w:szCs w:val="21"/>
        </w:rPr>
        <w:t>[</w:t>
      </w:r>
      <w:hyperlink w:anchor="ref-NICE-PH24" w:history="1">
        <w:r w:rsidRPr="00E41B66">
          <w:rPr>
            <w:rStyle w:val="Hyperlink"/>
            <w:rFonts w:asciiTheme="majorHAnsi" w:hAnsiTheme="majorHAnsi" w:cstheme="majorHAnsi"/>
            <w:sz w:val="21"/>
            <w:szCs w:val="21"/>
          </w:rPr>
          <w:t>2</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or treat and reduce </w:t>
      </w:r>
      <w:r w:rsidRPr="00E41B66">
        <w:rPr>
          <w:rStyle w:val="citation"/>
          <w:rFonts w:asciiTheme="majorHAnsi" w:hAnsiTheme="majorHAnsi" w:cstheme="majorHAnsi"/>
          <w:color w:val="333333"/>
          <w:sz w:val="21"/>
          <w:szCs w:val="21"/>
        </w:rPr>
        <w:t>[</w:t>
      </w:r>
      <w:hyperlink w:anchor="ref-NICE-CG115" w:history="1">
        <w:r w:rsidRPr="00E41B66">
          <w:rPr>
            <w:rStyle w:val="Hyperlink"/>
            <w:rFonts w:asciiTheme="majorHAnsi" w:hAnsiTheme="majorHAnsi" w:cstheme="majorHAnsi"/>
            <w:sz w:val="21"/>
            <w:szCs w:val="21"/>
          </w:rPr>
          <w:t>3</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harm from alcohol consumption. Some recommend systematic screening of alcohol use disorders using a validated diagnostic tool. More recently, others have advocated monitoring alcohol consumption like many other risk factors (</w:t>
      </w:r>
      <w:proofErr w:type="spellStart"/>
      <w:r w:rsidRPr="00E41B66">
        <w:rPr>
          <w:rFonts w:asciiTheme="majorHAnsi" w:hAnsiTheme="majorHAnsi" w:cstheme="majorHAnsi"/>
          <w:color w:val="333333"/>
          <w:sz w:val="21"/>
          <w:szCs w:val="21"/>
        </w:rPr>
        <w:t>eg</w:t>
      </w:r>
      <w:proofErr w:type="spellEnd"/>
      <w:r w:rsidRPr="00E41B66">
        <w:rPr>
          <w:rFonts w:asciiTheme="majorHAnsi" w:hAnsiTheme="majorHAnsi" w:cstheme="majorHAnsi"/>
          <w:color w:val="333333"/>
          <w:sz w:val="21"/>
          <w:szCs w:val="21"/>
        </w:rPr>
        <w:t xml:space="preserve"> body mass index or cholesterol), making individuals more conscious of their current intake and associated risk </w:t>
      </w:r>
      <w:r w:rsidRPr="00E41B66">
        <w:rPr>
          <w:rStyle w:val="citation"/>
          <w:rFonts w:asciiTheme="majorHAnsi" w:hAnsiTheme="majorHAnsi" w:cstheme="majorHAnsi"/>
          <w:color w:val="333333"/>
          <w:sz w:val="21"/>
          <w:szCs w:val="21"/>
        </w:rPr>
        <w:t>[</w:t>
      </w:r>
      <w:hyperlink w:anchor="ref-Nutt2014" w:history="1">
        <w:r w:rsidRPr="00E41B66">
          <w:rPr>
            <w:rStyle w:val="Hyperlink"/>
            <w:rFonts w:asciiTheme="majorHAnsi" w:hAnsiTheme="majorHAnsi" w:cstheme="majorHAnsi"/>
            <w:sz w:val="21"/>
            <w:szCs w:val="21"/>
          </w:rPr>
          <w:t>4</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This approach is intended to promote timely behaviour change interventions (and, if necessary, pharmacological interventions) and prevent the emergence of alcohol use disorders. Recent public health recommendations to the public </w:t>
      </w:r>
      <w:r w:rsidRPr="00E41B66">
        <w:rPr>
          <w:rStyle w:val="citation"/>
          <w:rFonts w:asciiTheme="majorHAnsi" w:hAnsiTheme="majorHAnsi" w:cstheme="majorHAnsi"/>
          <w:color w:val="333333"/>
          <w:sz w:val="21"/>
          <w:szCs w:val="21"/>
        </w:rPr>
        <w:t>[</w:t>
      </w:r>
      <w:hyperlink w:anchor="ref-AU.alcoguidelines2009" w:history="1">
        <w:r w:rsidRPr="00E41B66">
          <w:rPr>
            <w:rStyle w:val="Hyperlink"/>
            <w:rFonts w:asciiTheme="majorHAnsi" w:hAnsiTheme="majorHAnsi" w:cstheme="majorHAnsi"/>
            <w:sz w:val="21"/>
            <w:szCs w:val="21"/>
          </w:rPr>
          <w:t>6</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also now promote the idea of reducing consumption in the absence of a ‘safe’ level of alcohol consumption.</w:t>
      </w:r>
    </w:p>
    <w:p w:rsidR="00B51215" w:rsidRPr="00E41B66" w:rsidRDefault="00177774">
      <w:pPr>
        <w:pStyle w:val="NormalWeb"/>
        <w:divId w:val="1660040404"/>
        <w:rPr>
          <w:rFonts w:asciiTheme="majorHAnsi" w:hAnsiTheme="majorHAnsi" w:cstheme="majorHAnsi"/>
          <w:color w:val="333333"/>
          <w:sz w:val="21"/>
          <w:szCs w:val="21"/>
        </w:rPr>
      </w:pPr>
      <w:r w:rsidRPr="00E41B66">
        <w:rPr>
          <w:rFonts w:asciiTheme="majorHAnsi" w:hAnsiTheme="majorHAnsi" w:cstheme="majorHAnsi"/>
          <w:color w:val="333333"/>
          <w:sz w:val="21"/>
          <w:szCs w:val="21"/>
        </w:rPr>
        <w:t>In contrast with alcohol use disorder screening tools, alcohol consumption assessment tools are not well embedded in clinical practice. Potential reasons include: lack of diagnostic validation, difficulty to self-assess alcohol consumption, and time pressures. This creates a gap in the range of resources destined to help individuals understand, monitor and take control of their alcohol consumption with–or without–the involvement of primary care physicians.</w:t>
      </w:r>
    </w:p>
    <w:p w:rsidR="00B51215" w:rsidRPr="00E41B66" w:rsidRDefault="00177774">
      <w:pPr>
        <w:pStyle w:val="NormalWeb"/>
        <w:divId w:val="1660040404"/>
        <w:rPr>
          <w:rFonts w:asciiTheme="majorHAnsi" w:hAnsiTheme="majorHAnsi" w:cstheme="majorHAnsi"/>
          <w:color w:val="333333"/>
          <w:sz w:val="21"/>
          <w:szCs w:val="21"/>
        </w:rPr>
      </w:pPr>
      <w:r w:rsidRPr="00E41B66">
        <w:rPr>
          <w:rFonts w:asciiTheme="majorHAnsi" w:hAnsiTheme="majorHAnsi" w:cstheme="majorHAnsi"/>
          <w:color w:val="333333"/>
          <w:sz w:val="21"/>
          <w:szCs w:val="21"/>
        </w:rPr>
        <w:lastRenderedPageBreak/>
        <w:t xml:space="preserve">The objective of this paper is to develop and validate a fast and easy-to-complete Estimator of Weekly Alcohol Consumption (EWAC) by repurposing an existing screening tool. In many countries, the most widely used screening tool is the Alcohol Use Disorders Identification Test (AUDIT) </w:t>
      </w:r>
      <w:r w:rsidRPr="00E41B66">
        <w:rPr>
          <w:rStyle w:val="citation"/>
          <w:rFonts w:asciiTheme="majorHAnsi" w:hAnsiTheme="majorHAnsi" w:cstheme="majorHAnsi"/>
          <w:color w:val="333333"/>
          <w:sz w:val="21"/>
          <w:szCs w:val="21"/>
        </w:rPr>
        <w:t>[</w:t>
      </w:r>
      <w:hyperlink w:anchor="ref-Babor2001" w:history="1">
        <w:r w:rsidRPr="00E41B66">
          <w:rPr>
            <w:rStyle w:val="Hyperlink"/>
            <w:rFonts w:asciiTheme="majorHAnsi" w:hAnsiTheme="majorHAnsi" w:cstheme="majorHAnsi"/>
            <w:sz w:val="21"/>
            <w:szCs w:val="21"/>
          </w:rPr>
          <w:t>8</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a 10-item questionnaire schedule widely employed in clinical practice and clinical research as a diagnostic test for alcohol use disorder. The short, 3-item consumption version known as AUDIT-C has good diagnostics accuracy for both: (a) interview-based clinical diagnoses; and (b) consumption in excess of maximum recommended intakes (e.g. 140g/week in Australia, 112 g/week in UK) in a variety of populations </w:t>
      </w:r>
      <w:r w:rsidRPr="00E41B66">
        <w:rPr>
          <w:rStyle w:val="citation"/>
          <w:rFonts w:asciiTheme="majorHAnsi" w:hAnsiTheme="majorHAnsi" w:cstheme="majorHAnsi"/>
          <w:color w:val="333333"/>
          <w:sz w:val="21"/>
          <w:szCs w:val="21"/>
        </w:rPr>
        <w:t>[</w:t>
      </w:r>
      <w:hyperlink w:anchor="ref-DeMeneses-Gaya2009" w:history="1">
        <w:r w:rsidRPr="00E41B66">
          <w:rPr>
            <w:rStyle w:val="Hyperlink"/>
            <w:rFonts w:asciiTheme="majorHAnsi" w:hAnsiTheme="majorHAnsi" w:cstheme="majorHAnsi"/>
            <w:sz w:val="21"/>
            <w:szCs w:val="21"/>
          </w:rPr>
          <w:t>9</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The present study aims to validate the AUDIT-C against continuous measures of alcohol consumption, as opposed to against a particular clinical diagnosis or consumption threshold.</w:t>
      </w:r>
    </w:p>
    <w:p w:rsidR="00B51215" w:rsidRPr="00E41B66" w:rsidRDefault="00177774">
      <w:pPr>
        <w:pStyle w:val="NormalWeb"/>
        <w:divId w:val="1660040404"/>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To this end, we adopt a variant of the AUDIT-C schedule known as the ‘Extended AUDIT-C’, which improves the granularity of the information collected, thanks to a greater range of response options on quantity and frequency (items 1 and 2). The Extended AUDIT-C has been used in UK research as part of two trials </w:t>
      </w:r>
      <w:r w:rsidRPr="00E41B66">
        <w:rPr>
          <w:rStyle w:val="citation"/>
          <w:rFonts w:asciiTheme="majorHAnsi" w:hAnsiTheme="majorHAnsi" w:cstheme="majorHAnsi"/>
          <w:color w:val="333333"/>
          <w:sz w:val="21"/>
          <w:szCs w:val="21"/>
        </w:rPr>
        <w:t>[</w:t>
      </w:r>
      <w:hyperlink w:anchor="ref-Kaner2013c" w:history="1">
        <w:r w:rsidRPr="00E41B66">
          <w:rPr>
            <w:rStyle w:val="Hyperlink"/>
            <w:rFonts w:asciiTheme="majorHAnsi" w:hAnsiTheme="majorHAnsi" w:cstheme="majorHAnsi"/>
            <w:sz w:val="21"/>
            <w:szCs w:val="21"/>
          </w:rPr>
          <w:t>10</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and one continuous household survey </w:t>
      </w:r>
      <w:r w:rsidRPr="00E41B66">
        <w:rPr>
          <w:rStyle w:val="citation"/>
          <w:rFonts w:asciiTheme="majorHAnsi" w:hAnsiTheme="majorHAnsi" w:cstheme="majorHAnsi"/>
          <w:color w:val="333333"/>
          <w:sz w:val="21"/>
          <w:szCs w:val="21"/>
        </w:rPr>
        <w:t>[</w:t>
      </w:r>
      <w:hyperlink w:anchor="ref-Beard2015a" w:history="1">
        <w:r w:rsidRPr="00E41B66">
          <w:rPr>
            <w:rStyle w:val="Hyperlink"/>
            <w:rFonts w:asciiTheme="majorHAnsi" w:hAnsiTheme="majorHAnsi" w:cstheme="majorHAnsi"/>
            <w:sz w:val="21"/>
            <w:szCs w:val="21"/>
          </w:rPr>
          <w:t>12</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to capture greater information on the higher risk drinkers, based on the observation that AUDIT consumption items are right-truncated.</w:t>
      </w:r>
    </w:p>
    <w:p w:rsidR="00B51215" w:rsidRPr="00E41B66" w:rsidRDefault="00177774">
      <w:pPr>
        <w:pStyle w:val="NormalWeb"/>
        <w:divId w:val="1660040404"/>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This paper reports three distinct empirical studies. Study 1 estimates coefficients to apply to each of the AUDIT-C response items to compute </w:t>
      </w:r>
      <w:proofErr w:type="gramStart"/>
      <w:r w:rsidRPr="00E41B66">
        <w:rPr>
          <w:rFonts w:asciiTheme="majorHAnsi" w:hAnsiTheme="majorHAnsi" w:cstheme="majorHAnsi"/>
          <w:color w:val="333333"/>
          <w:sz w:val="21"/>
          <w:szCs w:val="21"/>
        </w:rPr>
        <w:t>an</w:t>
      </w:r>
      <w:proofErr w:type="gramEnd"/>
      <w:r w:rsidRPr="00E41B66">
        <w:rPr>
          <w:rFonts w:asciiTheme="majorHAnsi" w:hAnsiTheme="majorHAnsi" w:cstheme="majorHAnsi"/>
          <w:color w:val="333333"/>
          <w:sz w:val="21"/>
          <w:szCs w:val="21"/>
        </w:rPr>
        <w:t xml:space="preserve"> EWAC using data from a large English household survey, the Alcohol Toolkit Study (ATS). It then tests the concurrent validity of the EWAC across a number of demographic subpopulations in England. Study 2 tests the concurrent validity of the EWAC compared with the 28-day Timeline </w:t>
      </w:r>
      <w:proofErr w:type="spellStart"/>
      <w:r w:rsidRPr="00E41B66">
        <w:rPr>
          <w:rFonts w:asciiTheme="majorHAnsi" w:hAnsiTheme="majorHAnsi" w:cstheme="majorHAnsi"/>
          <w:color w:val="333333"/>
          <w:sz w:val="21"/>
          <w:szCs w:val="21"/>
        </w:rPr>
        <w:t>Followback</w:t>
      </w:r>
      <w:proofErr w:type="spellEnd"/>
      <w:r w:rsidRPr="00E41B66">
        <w:rPr>
          <w:rFonts w:asciiTheme="majorHAnsi" w:hAnsiTheme="majorHAnsi" w:cstheme="majorHAnsi"/>
          <w:color w:val="333333"/>
          <w:sz w:val="21"/>
          <w:szCs w:val="21"/>
        </w:rPr>
        <w:t xml:space="preserve"> in a clinical population (visitors of an acute hospital). Study 3 compares the population-wide total and empirical cumulative distribution of alcohol consumption in England using the EWAC, the ATS graduated frequency schedule, the Health Survey for England, and official statistics on alcohol sales.</w:t>
      </w:r>
    </w:p>
    <w:p w:rsidR="00B51215" w:rsidRPr="00E41B66" w:rsidRDefault="00177774" w:rsidP="00E41B66">
      <w:pPr>
        <w:pStyle w:val="Heading1"/>
        <w:divId w:val="1968659192"/>
        <w:rPr>
          <w:sz w:val="51"/>
        </w:rPr>
      </w:pPr>
      <w:r w:rsidRPr="00E41B66">
        <w:rPr>
          <w:rStyle w:val="header-section-number"/>
        </w:rPr>
        <w:t>2</w:t>
      </w:r>
      <w:r w:rsidRPr="00E41B66">
        <w:t xml:space="preserve"> Methods</w:t>
      </w:r>
    </w:p>
    <w:p w:rsidR="00B51215" w:rsidRPr="00E41B66" w:rsidRDefault="00177774" w:rsidP="00E41B66">
      <w:pPr>
        <w:pStyle w:val="Heading2"/>
        <w:divId w:val="75396218"/>
      </w:pPr>
      <w:r w:rsidRPr="00E41B66">
        <w:rPr>
          <w:rStyle w:val="header-section-number"/>
        </w:rPr>
        <w:t>2.1</w:t>
      </w:r>
      <w:r w:rsidRPr="00E41B66">
        <w:t xml:space="preserve"> Approach</w:t>
      </w:r>
    </w:p>
    <w:p w:rsidR="00B51215" w:rsidRPr="00E41B66" w:rsidRDefault="00177774">
      <w:pPr>
        <w:pStyle w:val="NormalWeb"/>
        <w:divId w:val="75396218"/>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This paper develops and validates an Estimator of usual Weekly Alcohol Consumption in units (EWAC) based on the Extended AUDIT-C. Neither the AUDIT-C nor the Extended AUDIT-C provide a measure of usual alcohol consumption, but the product of frequency of drinking (AUDIT-C item 1) and quantity of drinking (AUDIT-C item 2) can be used to estimate usual alcohol consumption, with adjustment for occasional heavy use (AUDIT-C item 3), following methods developed for quantity-frequency-variability instruments </w:t>
      </w:r>
      <w:r w:rsidRPr="00E41B66">
        <w:rPr>
          <w:rStyle w:val="citation"/>
          <w:rFonts w:asciiTheme="majorHAnsi" w:hAnsiTheme="majorHAnsi" w:cstheme="majorHAnsi"/>
          <w:color w:val="333333"/>
          <w:sz w:val="21"/>
          <w:szCs w:val="21"/>
        </w:rPr>
        <w:t>[</w:t>
      </w:r>
      <w:hyperlink w:anchor="ref-Lemmens1992" w:history="1">
        <w:r w:rsidRPr="00E41B66">
          <w:rPr>
            <w:rStyle w:val="Hyperlink"/>
            <w:rFonts w:asciiTheme="majorHAnsi" w:hAnsiTheme="majorHAnsi" w:cstheme="majorHAnsi"/>
            <w:sz w:val="21"/>
            <w:szCs w:val="21"/>
          </w:rPr>
          <w:t>13</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w:t>
      </w:r>
    </w:p>
    <w:p w:rsidR="0040238B" w:rsidRPr="0040238B" w:rsidRDefault="0040238B" w:rsidP="0040238B">
      <w:pPr>
        <w:pStyle w:val="NormalWeb"/>
        <w:divId w:val="75396218"/>
        <w:rPr>
          <w:rFonts w:asciiTheme="majorHAnsi" w:hAnsiTheme="majorHAnsi" w:cstheme="majorHAnsi"/>
          <w:color w:val="333333"/>
          <w:sz w:val="21"/>
          <w:szCs w:val="21"/>
          <w:lang w:val="en-US"/>
        </w:rPr>
      </w:pPr>
      <w:r w:rsidRPr="0040238B">
        <w:rPr>
          <w:rFonts w:asciiTheme="majorHAnsi" w:hAnsiTheme="majorHAnsi" w:cstheme="majorHAnsi"/>
          <w:color w:val="333333"/>
          <w:sz w:val="21"/>
          <w:szCs w:val="21"/>
          <w:lang w:val="en-US"/>
        </w:rPr>
        <w:t xml:space="preserve">In practice, for every </w:t>
      </w:r>
      <w:proofErr w:type="gramStart"/>
      <w:r w:rsidRPr="0040238B">
        <w:rPr>
          <w:rFonts w:asciiTheme="majorHAnsi" w:hAnsiTheme="majorHAnsi" w:cstheme="majorHAnsi"/>
          <w:color w:val="333333"/>
          <w:sz w:val="21"/>
          <w:szCs w:val="21"/>
          <w:lang w:val="en-US"/>
        </w:rPr>
        <w:t xml:space="preserve">individual </w:t>
      </w:r>
      <w:proofErr w:type="gramEnd"/>
      <m:oMath>
        <m:r>
          <w:rPr>
            <w:rFonts w:ascii="Cambria Math" w:hAnsi="Cambria Math" w:cstheme="majorHAnsi"/>
            <w:color w:val="333333"/>
            <w:sz w:val="21"/>
            <w:szCs w:val="21"/>
            <w:lang w:val="en-US"/>
          </w:rPr>
          <m:t>i</m:t>
        </m:r>
      </m:oMath>
      <w:r w:rsidRPr="0040238B">
        <w:rPr>
          <w:rFonts w:asciiTheme="majorHAnsi" w:hAnsiTheme="majorHAnsi" w:cstheme="majorHAnsi"/>
          <w:color w:val="333333"/>
          <w:sz w:val="21"/>
          <w:szCs w:val="21"/>
          <w:lang w:val="en-US"/>
        </w:rPr>
        <w:t xml:space="preserve">, the EWAC is computed as the product of </w:t>
      </w:r>
      <m:oMath>
        <m:sSub>
          <m:sSubPr>
            <m:ctrlPr>
              <w:rPr>
                <w:rFonts w:ascii="Cambria Math" w:hAnsi="Cambria Math" w:cstheme="majorHAnsi"/>
                <w:color w:val="333333"/>
                <w:sz w:val="21"/>
                <w:szCs w:val="21"/>
                <w:lang w:val="en-US"/>
              </w:rPr>
            </m:ctrlPr>
          </m:sSubPr>
          <m:e>
            <m:r>
              <w:rPr>
                <w:rFonts w:ascii="Cambria Math" w:hAnsi="Cambria Math" w:cstheme="majorHAnsi"/>
                <w:color w:val="333333"/>
                <w:sz w:val="21"/>
                <w:szCs w:val="21"/>
                <w:lang w:val="en-US"/>
              </w:rPr>
              <m:t>F</m:t>
            </m:r>
          </m:e>
          <m:sub>
            <m:r>
              <w:rPr>
                <w:rFonts w:ascii="Cambria Math" w:hAnsi="Cambria Math" w:cstheme="majorHAnsi"/>
                <w:color w:val="333333"/>
                <w:sz w:val="21"/>
                <w:szCs w:val="21"/>
                <w:lang w:val="en-US"/>
              </w:rPr>
              <m:t>i</m:t>
            </m:r>
          </m:sub>
        </m:sSub>
      </m:oMath>
      <w:r w:rsidRPr="0040238B">
        <w:rPr>
          <w:rFonts w:asciiTheme="majorHAnsi" w:hAnsiTheme="majorHAnsi" w:cstheme="majorHAnsi"/>
          <w:color w:val="333333"/>
          <w:sz w:val="21"/>
          <w:szCs w:val="21"/>
          <w:lang w:val="en-US"/>
        </w:rPr>
        <w:t xml:space="preserve"> and </w:t>
      </w:r>
      <m:oMath>
        <m:sSub>
          <m:sSubPr>
            <m:ctrlPr>
              <w:rPr>
                <w:rFonts w:ascii="Cambria Math" w:hAnsi="Cambria Math" w:cstheme="majorHAnsi"/>
                <w:color w:val="333333"/>
                <w:sz w:val="21"/>
                <w:szCs w:val="21"/>
                <w:lang w:val="en-US"/>
              </w:rPr>
            </m:ctrlPr>
          </m:sSubPr>
          <m:e>
            <m:r>
              <w:rPr>
                <w:rFonts w:ascii="Cambria Math" w:hAnsi="Cambria Math" w:cstheme="majorHAnsi"/>
                <w:color w:val="333333"/>
                <w:sz w:val="21"/>
                <w:szCs w:val="21"/>
                <w:lang w:val="en-US"/>
              </w:rPr>
              <m:t>Q</m:t>
            </m:r>
          </m:e>
          <m:sub>
            <m:r>
              <w:rPr>
                <w:rFonts w:ascii="Cambria Math" w:hAnsi="Cambria Math" w:cstheme="majorHAnsi"/>
                <w:color w:val="333333"/>
                <w:sz w:val="21"/>
                <w:szCs w:val="21"/>
                <w:lang w:val="en-US"/>
              </w:rPr>
              <m:t>i</m:t>
            </m:r>
          </m:sub>
        </m:sSub>
      </m:oMath>
      <w:r w:rsidRPr="0040238B">
        <w:rPr>
          <w:rFonts w:asciiTheme="majorHAnsi" w:hAnsiTheme="majorHAnsi" w:cstheme="majorHAnsi"/>
          <w:color w:val="333333"/>
          <w:sz w:val="21"/>
          <w:szCs w:val="21"/>
          <w:lang w:val="en-US"/>
        </w:rPr>
        <w:t xml:space="preserve"> (AUDIT items 1 and 2 respectively) adjusted with the frequency of intense drinking </w:t>
      </w:r>
      <m:oMath>
        <m:sSub>
          <m:sSubPr>
            <m:ctrlPr>
              <w:rPr>
                <w:rFonts w:ascii="Cambria Math" w:hAnsi="Cambria Math" w:cstheme="majorHAnsi"/>
                <w:color w:val="333333"/>
                <w:sz w:val="21"/>
                <w:szCs w:val="21"/>
                <w:lang w:val="en-US"/>
              </w:rPr>
            </m:ctrlPr>
          </m:sSubPr>
          <m:e>
            <m:r>
              <w:rPr>
                <w:rFonts w:ascii="Cambria Math" w:hAnsi="Cambria Math" w:cstheme="majorHAnsi"/>
                <w:color w:val="333333"/>
                <w:sz w:val="21"/>
                <w:szCs w:val="21"/>
                <w:lang w:val="en-US"/>
              </w:rPr>
              <m:t>V</m:t>
            </m:r>
          </m:e>
          <m:sub>
            <m:r>
              <w:rPr>
                <w:rFonts w:ascii="Cambria Math" w:hAnsi="Cambria Math" w:cstheme="majorHAnsi"/>
                <w:color w:val="333333"/>
                <w:sz w:val="21"/>
                <w:szCs w:val="21"/>
                <w:lang w:val="en-US"/>
              </w:rPr>
              <m:t>i</m:t>
            </m:r>
          </m:sub>
        </m:sSub>
      </m:oMath>
      <w:r w:rsidRPr="0040238B">
        <w:rPr>
          <w:rFonts w:asciiTheme="majorHAnsi" w:hAnsiTheme="majorHAnsi" w:cstheme="majorHAnsi"/>
          <w:color w:val="333333"/>
          <w:sz w:val="21"/>
          <w:szCs w:val="21"/>
          <w:lang w:val="en-US"/>
        </w:rPr>
        <w:t xml:space="preserve"> (AUDIT item 3):</w:t>
      </w:r>
    </w:p>
    <w:p w:rsidR="0040238B" w:rsidRPr="0040238B" w:rsidRDefault="0040238B" w:rsidP="0040238B">
      <w:pPr>
        <w:pStyle w:val="NormalWeb"/>
        <w:divId w:val="75396218"/>
        <w:rPr>
          <w:rFonts w:asciiTheme="majorHAnsi" w:hAnsiTheme="majorHAnsi" w:cstheme="majorHAnsi"/>
          <w:color w:val="333333"/>
          <w:sz w:val="21"/>
          <w:szCs w:val="21"/>
          <w:lang w:val="en-US"/>
        </w:rPr>
      </w:pPr>
      <m:oMathPara>
        <m:oMathParaPr>
          <m:jc m:val="center"/>
        </m:oMathParaPr>
        <m:oMath>
          <m:sSub>
            <m:sSubPr>
              <m:ctrlPr>
                <w:rPr>
                  <w:rFonts w:ascii="Cambria Math" w:hAnsi="Cambria Math" w:cstheme="majorHAnsi"/>
                  <w:color w:val="333333"/>
                  <w:sz w:val="21"/>
                  <w:szCs w:val="21"/>
                  <w:lang w:val="en-US"/>
                </w:rPr>
              </m:ctrlPr>
            </m:sSubPr>
            <m:e>
              <m:r>
                <m:rPr>
                  <m:sty m:val="p"/>
                </m:rPr>
                <w:rPr>
                  <w:rFonts w:ascii="Cambria Math" w:hAnsi="Cambria Math" w:cstheme="majorHAnsi"/>
                  <w:color w:val="333333"/>
                  <w:sz w:val="21"/>
                  <w:szCs w:val="21"/>
                  <w:lang w:val="en-US"/>
                </w:rPr>
                <m:t>EWAC</m:t>
              </m:r>
            </m:e>
            <m:sub>
              <m:r>
                <w:rPr>
                  <w:rFonts w:ascii="Cambria Math" w:hAnsi="Cambria Math" w:cstheme="majorHAnsi"/>
                  <w:color w:val="333333"/>
                  <w:sz w:val="21"/>
                  <w:szCs w:val="21"/>
                  <w:lang w:val="en-US"/>
                </w:rPr>
                <m:t>i</m:t>
              </m:r>
            </m:sub>
          </m:sSub>
          <m:r>
            <w:rPr>
              <w:rFonts w:ascii="Cambria Math" w:hAnsi="Cambria Math" w:cstheme="majorHAnsi"/>
              <w:color w:val="333333"/>
              <w:sz w:val="21"/>
              <w:szCs w:val="21"/>
              <w:lang w:val="en-US"/>
            </w:rPr>
            <m:t>=</m:t>
          </m:r>
          <m:sSub>
            <m:sSubPr>
              <m:ctrlPr>
                <w:rPr>
                  <w:rFonts w:ascii="Cambria Math" w:hAnsi="Cambria Math" w:cstheme="majorHAnsi"/>
                  <w:color w:val="333333"/>
                  <w:sz w:val="21"/>
                  <w:szCs w:val="21"/>
                  <w:lang w:val="en-US"/>
                </w:rPr>
              </m:ctrlPr>
            </m:sSubPr>
            <m:e>
              <m:r>
                <w:rPr>
                  <w:rFonts w:ascii="Cambria Math" w:hAnsi="Cambria Math" w:cstheme="majorHAnsi"/>
                  <w:color w:val="333333"/>
                  <w:sz w:val="21"/>
                  <w:szCs w:val="21"/>
                  <w:lang w:val="en-US"/>
                </w:rPr>
                <m:t>F</m:t>
              </m:r>
            </m:e>
            <m:sub>
              <m:r>
                <w:rPr>
                  <w:rFonts w:ascii="Cambria Math" w:hAnsi="Cambria Math" w:cstheme="majorHAnsi"/>
                  <w:color w:val="333333"/>
                  <w:sz w:val="21"/>
                  <w:szCs w:val="21"/>
                  <w:lang w:val="en-US"/>
                </w:rPr>
                <m:t>i</m:t>
              </m:r>
            </m:sub>
          </m:sSub>
          <m:sSub>
            <m:sSubPr>
              <m:ctrlPr>
                <w:rPr>
                  <w:rFonts w:ascii="Cambria Math" w:hAnsi="Cambria Math" w:cstheme="majorHAnsi"/>
                  <w:color w:val="333333"/>
                  <w:sz w:val="21"/>
                  <w:szCs w:val="21"/>
                  <w:lang w:val="en-US"/>
                </w:rPr>
              </m:ctrlPr>
            </m:sSubPr>
            <m:e>
              <m:r>
                <w:rPr>
                  <w:rFonts w:ascii="Cambria Math" w:hAnsi="Cambria Math" w:cstheme="majorHAnsi"/>
                  <w:color w:val="333333"/>
                  <w:sz w:val="21"/>
                  <w:szCs w:val="21"/>
                  <w:lang w:val="en-US"/>
                </w:rPr>
                <m:t>Q</m:t>
              </m:r>
            </m:e>
            <m:sub>
              <m:r>
                <w:rPr>
                  <w:rFonts w:ascii="Cambria Math" w:hAnsi="Cambria Math" w:cstheme="majorHAnsi"/>
                  <w:color w:val="333333"/>
                  <w:sz w:val="21"/>
                  <w:szCs w:val="21"/>
                  <w:lang w:val="en-US"/>
                </w:rPr>
                <m:t>i</m:t>
              </m:r>
            </m:sub>
          </m:sSub>
          <m:r>
            <w:rPr>
              <w:rFonts w:ascii="Cambria Math" w:hAnsi="Cambria Math" w:cstheme="majorHAnsi"/>
              <w:color w:val="333333"/>
              <w:sz w:val="21"/>
              <w:szCs w:val="21"/>
              <w:lang w:val="en-US"/>
            </w:rPr>
            <m:t>+</m:t>
          </m:r>
          <m:sSub>
            <m:sSubPr>
              <m:ctrlPr>
                <w:rPr>
                  <w:rFonts w:ascii="Cambria Math" w:hAnsi="Cambria Math" w:cstheme="majorHAnsi"/>
                  <w:color w:val="333333"/>
                  <w:sz w:val="21"/>
                  <w:szCs w:val="21"/>
                  <w:lang w:val="en-US"/>
                </w:rPr>
              </m:ctrlPr>
            </m:sSubPr>
            <m:e>
              <m:r>
                <w:rPr>
                  <w:rFonts w:ascii="Cambria Math" w:hAnsi="Cambria Math" w:cstheme="majorHAnsi"/>
                  <w:color w:val="333333"/>
                  <w:sz w:val="21"/>
                  <w:szCs w:val="21"/>
                  <w:lang w:val="en-US"/>
                </w:rPr>
                <m:t>V</m:t>
              </m:r>
            </m:e>
            <m:sub>
              <m:r>
                <w:rPr>
                  <w:rFonts w:ascii="Cambria Math" w:hAnsi="Cambria Math" w:cstheme="majorHAnsi"/>
                  <w:color w:val="333333"/>
                  <w:sz w:val="21"/>
                  <w:szCs w:val="21"/>
                  <w:lang w:val="en-US"/>
                </w:rPr>
                <m:t>i</m:t>
              </m:r>
            </m:sub>
          </m:sSub>
          <m:r>
            <w:rPr>
              <w:rFonts w:ascii="Cambria Math" w:hAnsi="Cambria Math" w:cstheme="majorHAnsi"/>
              <w:color w:val="333333"/>
              <w:sz w:val="21"/>
              <w:szCs w:val="21"/>
              <w:lang w:val="en-US"/>
            </w:rPr>
            <m:t>b</m:t>
          </m:r>
        </m:oMath>
      </m:oMathPara>
    </w:p>
    <w:p w:rsidR="00B51215" w:rsidRPr="00E41B66" w:rsidRDefault="00177774">
      <w:pPr>
        <w:pStyle w:val="NormalWeb"/>
        <w:divId w:val="75396218"/>
        <w:rPr>
          <w:rFonts w:asciiTheme="majorHAnsi" w:hAnsiTheme="majorHAnsi" w:cstheme="majorHAnsi"/>
          <w:color w:val="333333"/>
          <w:sz w:val="21"/>
          <w:szCs w:val="21"/>
        </w:rPr>
      </w:pPr>
      <w:proofErr w:type="gramStart"/>
      <w:r w:rsidRPr="00E41B66">
        <w:rPr>
          <w:rFonts w:asciiTheme="majorHAnsi" w:hAnsiTheme="majorHAnsi" w:cstheme="majorHAnsi"/>
          <w:color w:val="333333"/>
          <w:sz w:val="21"/>
          <w:szCs w:val="21"/>
        </w:rPr>
        <w:t>where</w:t>
      </w:r>
      <w:proofErr w:type="gramEnd"/>
      <w:r w:rsidRPr="00E41B66">
        <w:rPr>
          <w:rFonts w:asciiTheme="majorHAnsi" w:hAnsiTheme="majorHAnsi" w:cstheme="majorHAnsi"/>
          <w:color w:val="333333"/>
          <w:sz w:val="21"/>
          <w:szCs w:val="21"/>
        </w:rPr>
        <w:t xml:space="preserve"> </w:t>
      </w:r>
      <w:r w:rsidRPr="00E41B66">
        <w:rPr>
          <w:rStyle w:val="math"/>
          <w:rFonts w:asciiTheme="majorHAnsi" w:hAnsiTheme="majorHAnsi" w:cstheme="majorHAnsi"/>
          <w:color w:val="333333"/>
          <w:sz w:val="21"/>
          <w:szCs w:val="21"/>
        </w:rPr>
        <w:t>\(b\)</w:t>
      </w:r>
      <w:r w:rsidRPr="00E41B66">
        <w:rPr>
          <w:rFonts w:asciiTheme="majorHAnsi" w:hAnsiTheme="majorHAnsi" w:cstheme="majorHAnsi"/>
          <w:color w:val="333333"/>
          <w:sz w:val="21"/>
          <w:szCs w:val="21"/>
        </w:rPr>
        <w:t xml:space="preserve"> denotes the average number of units of alcohol consumed in an intense drinking day. </w:t>
      </w:r>
      <w:r w:rsidR="0040238B" w:rsidRPr="0040238B">
        <w:rPr>
          <w:rFonts w:asciiTheme="majorHAnsi" w:hAnsiTheme="majorHAnsi" w:cstheme="majorHAnsi"/>
          <w:color w:val="333333"/>
          <w:sz w:val="21"/>
          <w:szCs w:val="21"/>
        </w:rPr>
        <w:t xml:space="preserve">Coefficients </w:t>
      </w:r>
      <m:oMath>
        <m:r>
          <w:rPr>
            <w:rFonts w:ascii="Cambria Math" w:hAnsi="Cambria Math" w:cstheme="majorHAnsi"/>
            <w:color w:val="333333"/>
            <w:sz w:val="21"/>
            <w:szCs w:val="21"/>
          </w:rPr>
          <m:t>F,Q,V</m:t>
        </m:r>
      </m:oMath>
      <w:r w:rsidR="0040238B" w:rsidRPr="0040238B">
        <w:rPr>
          <w:rFonts w:asciiTheme="majorHAnsi" w:hAnsiTheme="majorHAnsi" w:cstheme="majorHAnsi"/>
          <w:color w:val="333333"/>
          <w:sz w:val="21"/>
          <w:szCs w:val="21"/>
        </w:rPr>
        <w:t xml:space="preserve"> and </w:t>
      </w:r>
      <m:oMath>
        <m:r>
          <w:rPr>
            <w:rFonts w:ascii="Cambria Math" w:hAnsi="Cambria Math" w:cstheme="majorHAnsi"/>
            <w:color w:val="333333"/>
            <w:sz w:val="21"/>
            <w:szCs w:val="21"/>
          </w:rPr>
          <m:t>b</m:t>
        </m:r>
      </m:oMath>
      <w:r w:rsidR="0040238B" w:rsidRPr="0040238B">
        <w:rPr>
          <w:rFonts w:asciiTheme="majorHAnsi" w:hAnsiTheme="majorHAnsi" w:cstheme="majorHAnsi"/>
          <w:color w:val="333333"/>
          <w:sz w:val="21"/>
          <w:szCs w:val="21"/>
        </w:rPr>
        <w:t xml:space="preserve"> are unknown</w:t>
      </w:r>
      <w:r w:rsidRPr="00E41B66">
        <w:rPr>
          <w:rFonts w:asciiTheme="majorHAnsi" w:hAnsiTheme="majorHAnsi" w:cstheme="majorHAnsi"/>
          <w:color w:val="333333"/>
          <w:sz w:val="21"/>
          <w:szCs w:val="21"/>
        </w:rPr>
        <w:t>. In this study, two sets of potential coefficients are evaluated:</w:t>
      </w:r>
    </w:p>
    <w:p w:rsidR="00B51215" w:rsidRPr="00E41B66" w:rsidRDefault="00177774">
      <w:pPr>
        <w:numPr>
          <w:ilvl w:val="0"/>
          <w:numId w:val="2"/>
        </w:numPr>
        <w:spacing w:before="100" w:beforeAutospacing="1" w:after="100" w:afterAutospacing="1"/>
        <w:divId w:val="75396218"/>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using the AUDIT response item interval midpoint: for example, 2.5 for ‘2 to 3 times per week’ in AUDIT item 2</w:t>
      </w:r>
    </w:p>
    <w:p w:rsidR="00B51215" w:rsidRPr="00E41B66" w:rsidRDefault="00177774">
      <w:pPr>
        <w:numPr>
          <w:ilvl w:val="0"/>
          <w:numId w:val="2"/>
        </w:numPr>
        <w:spacing w:before="100" w:beforeAutospacing="1" w:after="100" w:afterAutospacing="1"/>
        <w:divId w:val="75396218"/>
        <w:rPr>
          <w:rFonts w:asciiTheme="majorHAnsi" w:eastAsia="Times New Roman" w:hAnsiTheme="majorHAnsi" w:cstheme="majorHAnsi"/>
          <w:color w:val="333333"/>
          <w:sz w:val="21"/>
          <w:szCs w:val="21"/>
        </w:rPr>
      </w:pPr>
      <w:proofErr w:type="gramStart"/>
      <w:r w:rsidRPr="00E41B66">
        <w:rPr>
          <w:rFonts w:asciiTheme="majorHAnsi" w:eastAsia="Times New Roman" w:hAnsiTheme="majorHAnsi" w:cstheme="majorHAnsi"/>
          <w:color w:val="333333"/>
          <w:sz w:val="21"/>
          <w:szCs w:val="21"/>
        </w:rPr>
        <w:t>using</w:t>
      </w:r>
      <w:proofErr w:type="gramEnd"/>
      <w:r w:rsidRPr="00E41B66">
        <w:rPr>
          <w:rFonts w:asciiTheme="majorHAnsi" w:eastAsia="Times New Roman" w:hAnsiTheme="majorHAnsi" w:cstheme="majorHAnsi"/>
          <w:color w:val="333333"/>
          <w:sz w:val="21"/>
          <w:szCs w:val="21"/>
        </w:rPr>
        <w:t xml:space="preserve"> a statistical model to estimate the coefficients directly from gold standard data.</w:t>
      </w:r>
    </w:p>
    <w:p w:rsidR="00B51215" w:rsidRPr="00E41B66" w:rsidRDefault="00177774">
      <w:pPr>
        <w:pStyle w:val="NormalWeb"/>
        <w:divId w:val="75396218"/>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All results are reported in UK alcohol units (8g or 10mL of pure alcohol). Analyses are conducted in </w:t>
      </w:r>
      <w:r w:rsidRPr="00E41B66">
        <w:rPr>
          <w:rStyle w:val="HTMLCode"/>
          <w:rFonts w:asciiTheme="majorHAnsi" w:hAnsiTheme="majorHAnsi" w:cstheme="majorHAnsi"/>
          <w:sz w:val="19"/>
          <w:szCs w:val="19"/>
        </w:rPr>
        <w:t>R</w:t>
      </w:r>
      <w:r w:rsidRPr="00E41B66">
        <w:rPr>
          <w:rFonts w:asciiTheme="majorHAnsi" w:hAnsiTheme="majorHAnsi" w:cstheme="majorHAnsi"/>
          <w:color w:val="333333"/>
          <w:sz w:val="21"/>
          <w:szCs w:val="21"/>
        </w:rPr>
        <w:t xml:space="preserve"> </w:t>
      </w:r>
      <w:r w:rsidRPr="00E41B66">
        <w:rPr>
          <w:rStyle w:val="citation"/>
          <w:rFonts w:asciiTheme="majorHAnsi" w:hAnsiTheme="majorHAnsi" w:cstheme="majorHAnsi"/>
          <w:color w:val="333333"/>
          <w:sz w:val="21"/>
          <w:szCs w:val="21"/>
        </w:rPr>
        <w:t>[</w:t>
      </w:r>
      <w:hyperlink w:anchor="ref-RCoreTeam2017" w:history="1">
        <w:r w:rsidRPr="00E41B66">
          <w:rPr>
            <w:rStyle w:val="Hyperlink"/>
            <w:rFonts w:asciiTheme="majorHAnsi" w:hAnsiTheme="majorHAnsi" w:cstheme="majorHAnsi"/>
            <w:sz w:val="21"/>
            <w:szCs w:val="21"/>
          </w:rPr>
          <w:t>14</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using packages </w:t>
      </w:r>
      <w:proofErr w:type="spellStart"/>
      <w:r w:rsidRPr="00E41B66">
        <w:rPr>
          <w:rStyle w:val="HTMLCode"/>
          <w:rFonts w:asciiTheme="majorHAnsi" w:hAnsiTheme="majorHAnsi" w:cstheme="majorHAnsi"/>
          <w:sz w:val="19"/>
          <w:szCs w:val="19"/>
        </w:rPr>
        <w:t>tidyverse</w:t>
      </w:r>
      <w:proofErr w:type="spellEnd"/>
      <w:r w:rsidRPr="00E41B66">
        <w:rPr>
          <w:rFonts w:asciiTheme="majorHAnsi" w:hAnsiTheme="majorHAnsi" w:cstheme="majorHAnsi"/>
          <w:color w:val="333333"/>
          <w:sz w:val="21"/>
          <w:szCs w:val="21"/>
        </w:rPr>
        <w:t xml:space="preserve">, </w:t>
      </w:r>
      <w:r w:rsidRPr="00E41B66">
        <w:rPr>
          <w:rStyle w:val="HTMLCode"/>
          <w:rFonts w:asciiTheme="majorHAnsi" w:hAnsiTheme="majorHAnsi" w:cstheme="majorHAnsi"/>
          <w:sz w:val="19"/>
          <w:szCs w:val="19"/>
        </w:rPr>
        <w:t>survey</w:t>
      </w:r>
      <w:r w:rsidRPr="00E41B66">
        <w:rPr>
          <w:rFonts w:asciiTheme="majorHAnsi" w:hAnsiTheme="majorHAnsi" w:cstheme="majorHAnsi"/>
          <w:color w:val="333333"/>
          <w:sz w:val="21"/>
          <w:szCs w:val="21"/>
        </w:rPr>
        <w:t xml:space="preserve">, </w:t>
      </w:r>
      <w:proofErr w:type="spellStart"/>
      <w:r w:rsidRPr="00E41B66">
        <w:rPr>
          <w:rStyle w:val="HTMLCode"/>
          <w:rFonts w:asciiTheme="majorHAnsi" w:hAnsiTheme="majorHAnsi" w:cstheme="majorHAnsi"/>
          <w:sz w:val="19"/>
          <w:szCs w:val="19"/>
        </w:rPr>
        <w:t>rstan</w:t>
      </w:r>
      <w:proofErr w:type="spellEnd"/>
      <w:r w:rsidRPr="00E41B66">
        <w:rPr>
          <w:rFonts w:asciiTheme="majorHAnsi" w:hAnsiTheme="majorHAnsi" w:cstheme="majorHAnsi"/>
          <w:color w:val="333333"/>
          <w:sz w:val="21"/>
          <w:szCs w:val="21"/>
        </w:rPr>
        <w:t xml:space="preserve"> </w:t>
      </w:r>
      <w:r w:rsidRPr="00E41B66">
        <w:rPr>
          <w:rStyle w:val="citation"/>
          <w:rFonts w:asciiTheme="majorHAnsi" w:hAnsiTheme="majorHAnsi" w:cstheme="majorHAnsi"/>
          <w:color w:val="333333"/>
          <w:sz w:val="21"/>
          <w:szCs w:val="21"/>
        </w:rPr>
        <w:t>[</w:t>
      </w:r>
      <w:hyperlink w:anchor="ref-package-tidyverse" w:history="1">
        <w:r w:rsidRPr="00E41B66">
          <w:rPr>
            <w:rStyle w:val="Hyperlink"/>
            <w:rFonts w:asciiTheme="majorHAnsi" w:hAnsiTheme="majorHAnsi" w:cstheme="majorHAnsi"/>
            <w:sz w:val="21"/>
            <w:szCs w:val="21"/>
          </w:rPr>
          <w:t>15</w:t>
        </w:r>
      </w:hyperlink>
      <w:r w:rsidRPr="00E41B66">
        <w:rPr>
          <w:rStyle w:val="citation"/>
          <w:rFonts w:asciiTheme="majorHAnsi" w:hAnsiTheme="majorHAnsi" w:cstheme="majorHAnsi"/>
          <w:color w:val="333333"/>
          <w:sz w:val="21"/>
          <w:szCs w:val="21"/>
        </w:rPr>
        <w:t>–</w:t>
      </w:r>
      <w:hyperlink w:anchor="ref-Lumley2004" w:history="1">
        <w:r w:rsidRPr="00E41B66">
          <w:rPr>
            <w:rStyle w:val="Hyperlink"/>
            <w:rFonts w:asciiTheme="majorHAnsi" w:hAnsiTheme="majorHAnsi" w:cstheme="majorHAnsi"/>
            <w:sz w:val="21"/>
            <w:szCs w:val="21"/>
          </w:rPr>
          <w:t>18</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Computer scripts for all analyses are available on an online repository </w:t>
      </w:r>
      <w:r w:rsidRPr="00E41B66">
        <w:rPr>
          <w:rStyle w:val="citation"/>
          <w:rFonts w:asciiTheme="majorHAnsi" w:hAnsiTheme="majorHAnsi" w:cstheme="majorHAnsi"/>
          <w:color w:val="333333"/>
          <w:sz w:val="21"/>
          <w:szCs w:val="21"/>
        </w:rPr>
        <w:t>[</w:t>
      </w:r>
      <w:hyperlink w:anchor="ref-Dutey2020" w:history="1">
        <w:r w:rsidRPr="00E41B66">
          <w:rPr>
            <w:rStyle w:val="Hyperlink"/>
            <w:rFonts w:asciiTheme="majorHAnsi" w:hAnsiTheme="majorHAnsi" w:cstheme="majorHAnsi"/>
            <w:sz w:val="21"/>
            <w:szCs w:val="21"/>
          </w:rPr>
          <w:t>19</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w:t>
      </w:r>
    </w:p>
    <w:p w:rsidR="00B51215" w:rsidRPr="00E41B66" w:rsidRDefault="00177774" w:rsidP="00E41B66">
      <w:pPr>
        <w:pStyle w:val="Heading2"/>
        <w:divId w:val="1708869413"/>
        <w:rPr>
          <w:sz w:val="45"/>
        </w:rPr>
      </w:pPr>
      <w:r w:rsidRPr="00E41B66">
        <w:rPr>
          <w:rStyle w:val="header-section-number"/>
        </w:rPr>
        <w:t>2.2</w:t>
      </w:r>
      <w:r w:rsidRPr="00E41B66">
        <w:t xml:space="preserve"> Data sources</w:t>
      </w:r>
    </w:p>
    <w:p w:rsidR="00B51215" w:rsidRDefault="00177774">
      <w:pPr>
        <w:pStyle w:val="NormalWeb"/>
        <w:divId w:val="1708869413"/>
        <w:rPr>
          <w:rFonts w:asciiTheme="majorHAnsi" w:hAnsiTheme="majorHAnsi" w:cstheme="majorHAnsi"/>
          <w:color w:val="333333"/>
          <w:sz w:val="21"/>
          <w:szCs w:val="21"/>
        </w:rPr>
      </w:pPr>
      <w:r w:rsidRPr="00E41B66">
        <w:rPr>
          <w:rFonts w:asciiTheme="majorHAnsi" w:hAnsiTheme="majorHAnsi" w:cstheme="majorHAnsi"/>
          <w:color w:val="333333"/>
          <w:sz w:val="21"/>
          <w:szCs w:val="21"/>
        </w:rPr>
        <w:lastRenderedPageBreak/>
        <w:t xml:space="preserve">A longstanding obstacle in alcohol research and care is the absence of a diagnostic gold standard, which is not addressed even by the development of new biomarkers. Instead, a number of instruments exist which measure self-reported alcohol consumption with varying validity and reliability. A state-of-the art review from </w:t>
      </w:r>
      <w:r w:rsidRPr="00E41B66">
        <w:rPr>
          <w:rStyle w:val="citation"/>
          <w:rFonts w:asciiTheme="majorHAnsi" w:hAnsiTheme="majorHAnsi" w:cstheme="majorHAnsi"/>
          <w:color w:val="333333"/>
          <w:sz w:val="21"/>
          <w:szCs w:val="21"/>
        </w:rPr>
        <w:t>[</w:t>
      </w:r>
      <w:hyperlink w:anchor="ref-Greenfield2000" w:history="1">
        <w:r w:rsidRPr="00E41B66">
          <w:rPr>
            <w:rStyle w:val="Hyperlink"/>
            <w:rFonts w:asciiTheme="majorHAnsi" w:hAnsiTheme="majorHAnsi" w:cstheme="majorHAnsi"/>
            <w:sz w:val="21"/>
            <w:szCs w:val="21"/>
          </w:rPr>
          <w:t>20</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is summarised in Table 1 below.</w:t>
      </w:r>
    </w:p>
    <w:p w:rsidR="0090787A" w:rsidRPr="00E41B66" w:rsidRDefault="0090787A">
      <w:pPr>
        <w:pStyle w:val="NormalWeb"/>
        <w:divId w:val="1708869413"/>
        <w:rPr>
          <w:rFonts w:asciiTheme="majorHAnsi" w:hAnsiTheme="majorHAnsi" w:cstheme="majorHAnsi"/>
          <w:color w:val="333333"/>
          <w:sz w:val="21"/>
          <w:szCs w:val="21"/>
        </w:rPr>
      </w:pPr>
    </w:p>
    <w:p w:rsidR="00B51215" w:rsidRPr="00E41B66" w:rsidRDefault="00177774">
      <w:pPr>
        <w:pStyle w:val="NormalWeb"/>
        <w:divId w:val="1708869413"/>
        <w:rPr>
          <w:rFonts w:asciiTheme="majorHAnsi" w:hAnsiTheme="majorHAnsi" w:cstheme="majorHAnsi"/>
          <w:color w:val="333333"/>
          <w:sz w:val="21"/>
          <w:szCs w:val="21"/>
        </w:rPr>
      </w:pPr>
      <w:r w:rsidRPr="00E41B66">
        <w:rPr>
          <w:rFonts w:asciiTheme="majorHAnsi" w:hAnsiTheme="majorHAnsi" w:cstheme="majorHAnsi"/>
          <w:color w:val="333333"/>
          <w:sz w:val="21"/>
          <w:szCs w:val="21"/>
        </w:rPr>
        <w:t>Table 1: Alcohol schedules: selective comparison</w:t>
      </w:r>
    </w:p>
    <w:tbl>
      <w:tblPr>
        <w:tblStyle w:val="Style1"/>
        <w:tblW w:w="5000" w:type="pct"/>
        <w:tblLook w:val="0420" w:firstRow="1" w:lastRow="0" w:firstColumn="0" w:lastColumn="0" w:noHBand="0" w:noVBand="1"/>
      </w:tblPr>
      <w:tblGrid>
        <w:gridCol w:w="4170"/>
        <w:gridCol w:w="1077"/>
        <w:gridCol w:w="1248"/>
        <w:gridCol w:w="2531"/>
      </w:tblGrid>
      <w:tr w:rsidR="00B51215" w:rsidRPr="0090787A" w:rsidTr="00B51215">
        <w:trPr>
          <w:cnfStyle w:val="100000000000" w:firstRow="1" w:lastRow="0" w:firstColumn="0" w:lastColumn="0" w:oddVBand="0" w:evenVBand="0" w:oddHBand="0" w:evenHBand="0" w:firstRowFirstColumn="0" w:firstRowLastColumn="0" w:lastRowFirstColumn="0" w:lastRowLastColumn="0"/>
          <w:divId w:val="1708869413"/>
          <w:trHeight w:val="309"/>
        </w:trPr>
        <w:tc>
          <w:tcPr>
            <w:tcW w:w="0" w:type="auto"/>
            <w:hideMark/>
          </w:tcPr>
          <w:p w:rsidR="00B51215" w:rsidRPr="0090787A" w:rsidRDefault="00177774" w:rsidP="0090787A">
            <w:pPr>
              <w:spacing w:after="120"/>
              <w:rPr>
                <w:rFonts w:asciiTheme="majorHAnsi" w:eastAsia="Times New Roman" w:hAnsiTheme="majorHAnsi" w:cstheme="majorHAnsi"/>
                <w:bCs/>
                <w:color w:val="333333"/>
                <w:sz w:val="20"/>
                <w:szCs w:val="20"/>
              </w:rPr>
            </w:pPr>
            <w:r w:rsidRPr="0090787A">
              <w:rPr>
                <w:rFonts w:asciiTheme="majorHAnsi" w:eastAsia="Times New Roman" w:hAnsiTheme="majorHAnsi" w:cstheme="majorHAnsi"/>
                <w:bCs/>
                <w:color w:val="333333"/>
                <w:sz w:val="20"/>
                <w:szCs w:val="20"/>
              </w:rPr>
              <w:t xml:space="preserve">Schedule </w:t>
            </w:r>
          </w:p>
        </w:tc>
        <w:tc>
          <w:tcPr>
            <w:tcW w:w="0" w:type="auto"/>
            <w:hideMark/>
          </w:tcPr>
          <w:p w:rsidR="00B51215" w:rsidRPr="0090787A" w:rsidRDefault="00177774" w:rsidP="0090787A">
            <w:pPr>
              <w:spacing w:after="120"/>
              <w:rPr>
                <w:rFonts w:asciiTheme="majorHAnsi" w:eastAsia="Times New Roman" w:hAnsiTheme="majorHAnsi" w:cstheme="majorHAnsi"/>
                <w:bCs/>
                <w:color w:val="333333"/>
                <w:sz w:val="20"/>
                <w:szCs w:val="20"/>
              </w:rPr>
            </w:pPr>
            <w:r w:rsidRPr="0090787A">
              <w:rPr>
                <w:rFonts w:asciiTheme="majorHAnsi" w:eastAsia="Times New Roman" w:hAnsiTheme="majorHAnsi" w:cstheme="majorHAnsi"/>
                <w:bCs/>
                <w:color w:val="333333"/>
                <w:sz w:val="20"/>
                <w:szCs w:val="20"/>
              </w:rPr>
              <w:t xml:space="preserve">Bias </w:t>
            </w:r>
          </w:p>
        </w:tc>
        <w:tc>
          <w:tcPr>
            <w:tcW w:w="0" w:type="auto"/>
            <w:hideMark/>
          </w:tcPr>
          <w:p w:rsidR="00B51215" w:rsidRPr="0090787A" w:rsidRDefault="00177774" w:rsidP="0090787A">
            <w:pPr>
              <w:spacing w:after="120"/>
              <w:rPr>
                <w:rFonts w:asciiTheme="majorHAnsi" w:eastAsia="Times New Roman" w:hAnsiTheme="majorHAnsi" w:cstheme="majorHAnsi"/>
                <w:bCs/>
                <w:color w:val="333333"/>
                <w:sz w:val="20"/>
                <w:szCs w:val="20"/>
              </w:rPr>
            </w:pPr>
            <w:r w:rsidRPr="0090787A">
              <w:rPr>
                <w:rFonts w:asciiTheme="majorHAnsi" w:eastAsia="Times New Roman" w:hAnsiTheme="majorHAnsi" w:cstheme="majorHAnsi"/>
                <w:bCs/>
                <w:color w:val="333333"/>
                <w:sz w:val="20"/>
                <w:szCs w:val="20"/>
              </w:rPr>
              <w:t xml:space="preserve">Variance </w:t>
            </w:r>
          </w:p>
        </w:tc>
        <w:tc>
          <w:tcPr>
            <w:tcW w:w="0" w:type="auto"/>
            <w:hideMark/>
          </w:tcPr>
          <w:p w:rsidR="00B51215" w:rsidRPr="0090787A" w:rsidRDefault="00177774" w:rsidP="0090787A">
            <w:pPr>
              <w:spacing w:after="120"/>
              <w:rPr>
                <w:rFonts w:asciiTheme="majorHAnsi" w:eastAsia="Times New Roman" w:hAnsiTheme="majorHAnsi" w:cstheme="majorHAnsi"/>
                <w:bCs/>
                <w:color w:val="333333"/>
                <w:sz w:val="20"/>
                <w:szCs w:val="20"/>
              </w:rPr>
            </w:pPr>
            <w:r w:rsidRPr="0090787A">
              <w:rPr>
                <w:rFonts w:asciiTheme="majorHAnsi" w:eastAsia="Times New Roman" w:hAnsiTheme="majorHAnsi" w:cstheme="majorHAnsi"/>
                <w:bCs/>
                <w:color w:val="333333"/>
                <w:sz w:val="20"/>
                <w:szCs w:val="20"/>
              </w:rPr>
              <w:t xml:space="preserve">Measures variability </w:t>
            </w:r>
          </w:p>
        </w:tc>
      </w:tr>
      <w:tr w:rsidR="00B51215" w:rsidRPr="0090787A" w:rsidTr="00B51215">
        <w:trPr>
          <w:divId w:val="1708869413"/>
        </w:trPr>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Graduated frequency (GF)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Unclear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Yes </w:t>
            </w:r>
          </w:p>
        </w:tc>
      </w:tr>
      <w:tr w:rsidR="00B51215" w:rsidRPr="0090787A" w:rsidTr="00B51215">
        <w:trPr>
          <w:divId w:val="1708869413"/>
        </w:trPr>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Quantity-Frequency (QF)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Unclear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No </w:t>
            </w:r>
          </w:p>
        </w:tc>
      </w:tr>
      <w:tr w:rsidR="00B51215" w:rsidRPr="0090787A" w:rsidTr="00B51215">
        <w:trPr>
          <w:divId w:val="1708869413"/>
        </w:trPr>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Quantity-Frequency-Variability (QFV)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Unclear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Yes </w:t>
            </w:r>
          </w:p>
        </w:tc>
      </w:tr>
      <w:tr w:rsidR="00B51215" w:rsidRPr="0090787A" w:rsidTr="00B51215">
        <w:trPr>
          <w:divId w:val="1708869413"/>
        </w:trPr>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Yesterday’ recall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Minimal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High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No </w:t>
            </w:r>
          </w:p>
        </w:tc>
      </w:tr>
      <w:tr w:rsidR="00B51215" w:rsidRPr="0090787A" w:rsidTr="00B51215">
        <w:trPr>
          <w:divId w:val="1708869413"/>
        </w:trPr>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Timeline </w:t>
            </w:r>
            <w:proofErr w:type="spellStart"/>
            <w:r w:rsidRPr="0090787A">
              <w:rPr>
                <w:rFonts w:asciiTheme="majorHAnsi" w:eastAsia="Times New Roman" w:hAnsiTheme="majorHAnsi" w:cstheme="majorHAnsi"/>
                <w:color w:val="333333"/>
                <w:sz w:val="20"/>
                <w:szCs w:val="20"/>
              </w:rPr>
              <w:t>followback</w:t>
            </w:r>
            <w:proofErr w:type="spellEnd"/>
            <w:r w:rsidRPr="0090787A">
              <w:rPr>
                <w:rFonts w:asciiTheme="majorHAnsi" w:eastAsia="Times New Roman" w:hAnsiTheme="majorHAnsi" w:cstheme="majorHAnsi"/>
                <w:color w:val="333333"/>
                <w:sz w:val="20"/>
                <w:szCs w:val="20"/>
              </w:rPr>
              <w:t xml:space="preserve"> (TLFB)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Yes </w:t>
            </w:r>
          </w:p>
        </w:tc>
      </w:tr>
      <w:tr w:rsidR="00B51215" w:rsidRPr="0090787A" w:rsidTr="00B51215">
        <w:trPr>
          <w:divId w:val="1708869413"/>
        </w:trPr>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Prospective diary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Low </w:t>
            </w:r>
          </w:p>
        </w:tc>
        <w:tc>
          <w:tcPr>
            <w:tcW w:w="0" w:type="auto"/>
            <w:hideMark/>
          </w:tcPr>
          <w:p w:rsidR="00B51215" w:rsidRPr="0090787A" w:rsidRDefault="00177774" w:rsidP="0090787A">
            <w:pPr>
              <w:spacing w:after="120"/>
              <w:rPr>
                <w:rFonts w:asciiTheme="majorHAnsi" w:eastAsia="Times New Roman" w:hAnsiTheme="majorHAnsi" w:cstheme="majorHAnsi"/>
                <w:color w:val="333333"/>
                <w:sz w:val="20"/>
                <w:szCs w:val="20"/>
              </w:rPr>
            </w:pPr>
            <w:r w:rsidRPr="0090787A">
              <w:rPr>
                <w:rFonts w:asciiTheme="majorHAnsi" w:eastAsia="Times New Roman" w:hAnsiTheme="majorHAnsi" w:cstheme="majorHAnsi"/>
                <w:color w:val="333333"/>
                <w:sz w:val="20"/>
                <w:szCs w:val="20"/>
              </w:rPr>
              <w:t xml:space="preserve">Yes </w:t>
            </w:r>
          </w:p>
        </w:tc>
      </w:tr>
    </w:tbl>
    <w:p w:rsidR="0090787A" w:rsidRDefault="0090787A">
      <w:pPr>
        <w:pStyle w:val="NormalWeb"/>
        <w:divId w:val="1708869413"/>
        <w:rPr>
          <w:rFonts w:asciiTheme="majorHAnsi" w:hAnsiTheme="majorHAnsi" w:cstheme="majorHAnsi"/>
          <w:color w:val="333333"/>
          <w:sz w:val="21"/>
          <w:szCs w:val="21"/>
        </w:rPr>
      </w:pPr>
    </w:p>
    <w:p w:rsidR="00B51215" w:rsidRPr="00E41B66" w:rsidRDefault="00177774">
      <w:pPr>
        <w:pStyle w:val="NormalWeb"/>
        <w:divId w:val="1708869413"/>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Prospective diaries tend to record higher alcohol consumption by minimising recall bias, followed by GF, while lower levels seem to be recorded with QF measures </w:t>
      </w:r>
      <w:r w:rsidRPr="00E41B66">
        <w:rPr>
          <w:rStyle w:val="citation"/>
          <w:rFonts w:asciiTheme="majorHAnsi" w:hAnsiTheme="majorHAnsi" w:cstheme="majorHAnsi"/>
          <w:color w:val="333333"/>
          <w:sz w:val="21"/>
          <w:szCs w:val="21"/>
        </w:rPr>
        <w:t>[</w:t>
      </w:r>
      <w:hyperlink w:anchor="ref-Heeb2005" w:history="1">
        <w:r w:rsidRPr="00E41B66">
          <w:rPr>
            <w:rStyle w:val="Hyperlink"/>
            <w:rFonts w:asciiTheme="majorHAnsi" w:hAnsiTheme="majorHAnsi" w:cstheme="majorHAnsi"/>
            <w:sz w:val="21"/>
            <w:szCs w:val="21"/>
          </w:rPr>
          <w:t>21</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w:t>
      </w:r>
    </w:p>
    <w:p w:rsidR="00B51215" w:rsidRDefault="00177774">
      <w:pPr>
        <w:pStyle w:val="NormalWeb"/>
        <w:divId w:val="1708869413"/>
        <w:rPr>
          <w:rFonts w:asciiTheme="majorHAnsi" w:hAnsiTheme="majorHAnsi" w:cstheme="majorHAnsi"/>
          <w:color w:val="333333"/>
          <w:sz w:val="21"/>
          <w:szCs w:val="21"/>
        </w:rPr>
      </w:pPr>
      <w:r w:rsidRPr="00E41B66">
        <w:rPr>
          <w:rFonts w:asciiTheme="majorHAnsi" w:hAnsiTheme="majorHAnsi" w:cstheme="majorHAnsi"/>
          <w:color w:val="333333"/>
          <w:sz w:val="21"/>
          <w:szCs w:val="21"/>
        </w:rPr>
        <w:t>The present paper employs four sources of data. An overview is available in Table 2 below, together with references to publicly available methodological descriptions.</w:t>
      </w:r>
    </w:p>
    <w:p w:rsidR="0090787A" w:rsidRDefault="0090787A" w:rsidP="0090787A">
      <w:pPr>
        <w:divId w:val="249125579"/>
        <w:rPr>
          <w:rStyle w:val="header-section-number"/>
        </w:rPr>
        <w:sectPr w:rsidR="0090787A">
          <w:pgSz w:w="11906" w:h="16838"/>
          <w:pgMar w:top="1440" w:right="1440" w:bottom="1440" w:left="1440" w:header="708" w:footer="708" w:gutter="0"/>
          <w:cols w:space="708"/>
          <w:docGrid w:linePitch="360"/>
        </w:sectPr>
      </w:pPr>
    </w:p>
    <w:p w:rsidR="0090787A" w:rsidRDefault="0090787A" w:rsidP="0090787A">
      <w:pPr>
        <w:divId w:val="249125579"/>
        <w:rPr>
          <w:rStyle w:val="header-section-number"/>
        </w:rPr>
      </w:pPr>
    </w:p>
    <w:p w:rsidR="0090787A" w:rsidRDefault="0090787A" w:rsidP="0090787A">
      <w:pPr>
        <w:divId w:val="249125579"/>
        <w:rPr>
          <w:rStyle w:val="header-section-number"/>
        </w:rPr>
      </w:pPr>
    </w:p>
    <w:p w:rsidR="0090787A" w:rsidRPr="00E41B66" w:rsidRDefault="0090787A" w:rsidP="0090787A">
      <w:pPr>
        <w:pStyle w:val="NormalWeb"/>
        <w:divId w:val="249125579"/>
        <w:rPr>
          <w:rFonts w:asciiTheme="majorHAnsi" w:hAnsiTheme="majorHAnsi" w:cstheme="majorHAnsi"/>
          <w:color w:val="333333"/>
          <w:sz w:val="21"/>
          <w:szCs w:val="21"/>
        </w:rPr>
      </w:pPr>
    </w:p>
    <w:p w:rsidR="0090787A" w:rsidRPr="00E41B66" w:rsidRDefault="0090787A" w:rsidP="0090787A">
      <w:pPr>
        <w:pStyle w:val="NormalWeb"/>
        <w:divId w:val="249125579"/>
        <w:rPr>
          <w:rFonts w:asciiTheme="majorHAnsi" w:hAnsiTheme="majorHAnsi" w:cstheme="majorHAnsi"/>
          <w:color w:val="333333"/>
          <w:sz w:val="21"/>
          <w:szCs w:val="21"/>
        </w:rPr>
      </w:pPr>
      <w:r w:rsidRPr="00E41B66">
        <w:rPr>
          <w:rFonts w:asciiTheme="majorHAnsi" w:hAnsiTheme="majorHAnsi" w:cstheme="majorHAnsi"/>
          <w:color w:val="333333"/>
          <w:sz w:val="21"/>
          <w:szCs w:val="21"/>
        </w:rPr>
        <w:t>Table 2: Description of data sources</w:t>
      </w:r>
    </w:p>
    <w:tbl>
      <w:tblPr>
        <w:tblStyle w:val="Style1"/>
        <w:tblW w:w="0" w:type="auto"/>
        <w:tblLook w:val="0620" w:firstRow="1" w:lastRow="0" w:firstColumn="0" w:lastColumn="0" w:noHBand="1" w:noVBand="1"/>
      </w:tblPr>
      <w:tblGrid>
        <w:gridCol w:w="1660"/>
        <w:gridCol w:w="1532"/>
        <w:gridCol w:w="1793"/>
        <w:gridCol w:w="2227"/>
        <w:gridCol w:w="2838"/>
        <w:gridCol w:w="978"/>
        <w:gridCol w:w="2930"/>
      </w:tblGrid>
      <w:tr w:rsidR="0090787A" w:rsidRPr="00C369E5" w:rsidTr="0090787A">
        <w:trPr>
          <w:cnfStyle w:val="100000000000" w:firstRow="1" w:lastRow="0" w:firstColumn="0" w:lastColumn="0" w:oddVBand="0" w:evenVBand="0" w:oddHBand="0" w:evenHBand="0" w:firstRowFirstColumn="0" w:firstRowLastColumn="0" w:lastRowFirstColumn="0" w:lastRowLastColumn="0"/>
          <w:divId w:val="249125579"/>
        </w:trPr>
        <w:tc>
          <w:tcPr>
            <w:tcW w:w="0" w:type="auto"/>
            <w:hideMark/>
          </w:tcPr>
          <w:p w:rsidR="0090787A" w:rsidRPr="00C369E5" w:rsidRDefault="0090787A" w:rsidP="00D84AFA">
            <w:pPr>
              <w:jc w:val="center"/>
              <w:rPr>
                <w:rFonts w:asciiTheme="majorHAnsi" w:eastAsia="Times New Roman" w:hAnsiTheme="majorHAnsi" w:cstheme="majorHAnsi"/>
                <w:bCs/>
                <w:color w:val="333333"/>
                <w:sz w:val="20"/>
                <w:szCs w:val="20"/>
              </w:rPr>
            </w:pPr>
            <w:r w:rsidRPr="00C369E5">
              <w:rPr>
                <w:rFonts w:asciiTheme="majorHAnsi" w:eastAsia="Times New Roman" w:hAnsiTheme="majorHAnsi" w:cstheme="majorHAnsi"/>
                <w:bCs/>
                <w:color w:val="333333"/>
                <w:sz w:val="20"/>
                <w:szCs w:val="20"/>
              </w:rPr>
              <w:t>Source</w:t>
            </w:r>
          </w:p>
        </w:tc>
        <w:tc>
          <w:tcPr>
            <w:tcW w:w="0" w:type="auto"/>
            <w:hideMark/>
          </w:tcPr>
          <w:p w:rsidR="0090787A" w:rsidRPr="00C369E5" w:rsidRDefault="0090787A" w:rsidP="00D84AFA">
            <w:pPr>
              <w:jc w:val="center"/>
              <w:rPr>
                <w:rFonts w:asciiTheme="majorHAnsi" w:eastAsia="Times New Roman" w:hAnsiTheme="majorHAnsi" w:cstheme="majorHAnsi"/>
                <w:bCs/>
                <w:color w:val="333333"/>
                <w:sz w:val="20"/>
                <w:szCs w:val="20"/>
              </w:rPr>
            </w:pPr>
            <w:r w:rsidRPr="00C369E5">
              <w:rPr>
                <w:rFonts w:asciiTheme="majorHAnsi" w:eastAsia="Times New Roman" w:hAnsiTheme="majorHAnsi" w:cstheme="majorHAnsi"/>
                <w:bCs/>
                <w:color w:val="333333"/>
                <w:sz w:val="20"/>
                <w:szCs w:val="20"/>
              </w:rPr>
              <w:t>Time</w:t>
            </w:r>
          </w:p>
        </w:tc>
        <w:tc>
          <w:tcPr>
            <w:tcW w:w="0" w:type="auto"/>
            <w:hideMark/>
          </w:tcPr>
          <w:p w:rsidR="0090787A" w:rsidRPr="00C369E5" w:rsidRDefault="0090787A" w:rsidP="00D84AFA">
            <w:pPr>
              <w:jc w:val="center"/>
              <w:rPr>
                <w:rFonts w:asciiTheme="majorHAnsi" w:eastAsia="Times New Roman" w:hAnsiTheme="majorHAnsi" w:cstheme="majorHAnsi"/>
                <w:bCs/>
                <w:color w:val="333333"/>
                <w:sz w:val="20"/>
                <w:szCs w:val="20"/>
              </w:rPr>
            </w:pPr>
            <w:r w:rsidRPr="00C369E5">
              <w:rPr>
                <w:rFonts w:asciiTheme="majorHAnsi" w:eastAsia="Times New Roman" w:hAnsiTheme="majorHAnsi" w:cstheme="majorHAnsi"/>
                <w:bCs/>
                <w:color w:val="333333"/>
                <w:sz w:val="20"/>
                <w:szCs w:val="20"/>
              </w:rPr>
              <w:t>Study population</w:t>
            </w:r>
          </w:p>
        </w:tc>
        <w:tc>
          <w:tcPr>
            <w:tcW w:w="0" w:type="auto"/>
            <w:hideMark/>
          </w:tcPr>
          <w:p w:rsidR="0090787A" w:rsidRPr="00C369E5" w:rsidRDefault="0090787A" w:rsidP="00D84AFA">
            <w:pPr>
              <w:jc w:val="center"/>
              <w:rPr>
                <w:rFonts w:asciiTheme="majorHAnsi" w:eastAsia="Times New Roman" w:hAnsiTheme="majorHAnsi" w:cstheme="majorHAnsi"/>
                <w:bCs/>
                <w:color w:val="333333"/>
                <w:sz w:val="20"/>
                <w:szCs w:val="20"/>
              </w:rPr>
            </w:pPr>
            <w:r w:rsidRPr="00C369E5">
              <w:rPr>
                <w:rFonts w:asciiTheme="majorHAnsi" w:eastAsia="Times New Roman" w:hAnsiTheme="majorHAnsi" w:cstheme="majorHAnsi"/>
                <w:bCs/>
                <w:color w:val="333333"/>
                <w:sz w:val="20"/>
                <w:szCs w:val="20"/>
              </w:rPr>
              <w:t>Measurements</w:t>
            </w:r>
          </w:p>
        </w:tc>
        <w:tc>
          <w:tcPr>
            <w:tcW w:w="0" w:type="auto"/>
            <w:hideMark/>
          </w:tcPr>
          <w:p w:rsidR="0090787A" w:rsidRPr="00C369E5" w:rsidRDefault="0090787A" w:rsidP="00D84AFA">
            <w:pPr>
              <w:jc w:val="center"/>
              <w:rPr>
                <w:rFonts w:asciiTheme="majorHAnsi" w:eastAsia="Times New Roman" w:hAnsiTheme="majorHAnsi" w:cstheme="majorHAnsi"/>
                <w:bCs/>
                <w:color w:val="333333"/>
                <w:sz w:val="20"/>
                <w:szCs w:val="20"/>
              </w:rPr>
            </w:pPr>
            <w:r w:rsidRPr="00C369E5">
              <w:rPr>
                <w:rFonts w:asciiTheme="majorHAnsi" w:eastAsia="Times New Roman" w:hAnsiTheme="majorHAnsi" w:cstheme="majorHAnsi"/>
                <w:bCs/>
                <w:color w:val="333333"/>
                <w:sz w:val="20"/>
                <w:szCs w:val="20"/>
              </w:rPr>
              <w:t>Validation</w:t>
            </w:r>
          </w:p>
        </w:tc>
        <w:tc>
          <w:tcPr>
            <w:tcW w:w="0" w:type="auto"/>
            <w:hideMark/>
          </w:tcPr>
          <w:p w:rsidR="0090787A" w:rsidRPr="00C369E5" w:rsidRDefault="0090787A" w:rsidP="00D84AFA">
            <w:pPr>
              <w:jc w:val="right"/>
              <w:rPr>
                <w:rFonts w:asciiTheme="majorHAnsi" w:eastAsia="Times New Roman" w:hAnsiTheme="majorHAnsi" w:cstheme="majorHAnsi"/>
                <w:bCs/>
                <w:color w:val="333333"/>
                <w:sz w:val="20"/>
                <w:szCs w:val="20"/>
              </w:rPr>
            </w:pPr>
            <w:r w:rsidRPr="00C369E5">
              <w:rPr>
                <w:rFonts w:asciiTheme="majorHAnsi" w:eastAsia="Times New Roman" w:hAnsiTheme="majorHAnsi" w:cstheme="majorHAnsi"/>
                <w:bCs/>
                <w:color w:val="333333"/>
                <w:sz w:val="20"/>
                <w:szCs w:val="20"/>
              </w:rPr>
              <w:t>Sample size</w:t>
            </w:r>
          </w:p>
        </w:tc>
        <w:tc>
          <w:tcPr>
            <w:tcW w:w="0" w:type="auto"/>
            <w:hideMark/>
          </w:tcPr>
          <w:p w:rsidR="0090787A" w:rsidRPr="00C369E5" w:rsidRDefault="0090787A" w:rsidP="00D84AFA">
            <w:pPr>
              <w:jc w:val="center"/>
              <w:rPr>
                <w:rFonts w:asciiTheme="majorHAnsi" w:eastAsia="Times New Roman" w:hAnsiTheme="majorHAnsi" w:cstheme="majorHAnsi"/>
                <w:bCs/>
                <w:color w:val="333333"/>
                <w:sz w:val="20"/>
                <w:szCs w:val="20"/>
              </w:rPr>
            </w:pPr>
            <w:r w:rsidRPr="00C369E5">
              <w:rPr>
                <w:rFonts w:asciiTheme="majorHAnsi" w:eastAsia="Times New Roman" w:hAnsiTheme="majorHAnsi" w:cstheme="majorHAnsi"/>
                <w:bCs/>
                <w:color w:val="333333"/>
                <w:sz w:val="20"/>
                <w:szCs w:val="20"/>
              </w:rPr>
              <w:t>Design</w:t>
            </w:r>
          </w:p>
        </w:tc>
      </w:tr>
      <w:tr w:rsidR="0090787A" w:rsidRPr="00C369E5" w:rsidTr="0090787A">
        <w:trPr>
          <w:divId w:val="249125579"/>
        </w:trPr>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 xml:space="preserve">Alcohol Toolkit Study (ATS) </w:t>
            </w:r>
            <w:r w:rsidRPr="00C369E5">
              <w:rPr>
                <w:rStyle w:val="citation"/>
                <w:rFonts w:asciiTheme="majorHAnsi" w:eastAsia="Times New Roman" w:hAnsiTheme="majorHAnsi" w:cstheme="majorHAnsi"/>
                <w:color w:val="333333"/>
                <w:sz w:val="20"/>
                <w:szCs w:val="20"/>
              </w:rPr>
              <w:t>[</w:t>
            </w:r>
            <w:hyperlink w:anchor="ref-Beard2015a" w:history="1">
              <w:r w:rsidRPr="00C369E5">
                <w:rPr>
                  <w:rStyle w:val="Hyperlink"/>
                  <w:rFonts w:asciiTheme="majorHAnsi" w:eastAsia="Times New Roman" w:hAnsiTheme="majorHAnsi" w:cstheme="majorHAnsi"/>
                  <w:sz w:val="20"/>
                  <w:szCs w:val="20"/>
                </w:rPr>
                <w:t>12</w:t>
              </w:r>
            </w:hyperlink>
            <w:r w:rsidRPr="00C369E5">
              <w:rPr>
                <w:rStyle w:val="citation"/>
                <w:rFonts w:asciiTheme="majorHAnsi" w:eastAsia="Times New Roman" w:hAnsiTheme="majorHAnsi" w:cstheme="majorHAnsi"/>
                <w:color w:val="333333"/>
                <w:sz w:val="20"/>
                <w:szCs w:val="20"/>
              </w:rPr>
              <w:t>]</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November 2015–October 2017 (waves 110–133)</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Residents of private English households aged 16 years and over</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Interviewer-led Extended AUDIT-C and GF</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w:t>
            </w:r>
          </w:p>
        </w:tc>
        <w:tc>
          <w:tcPr>
            <w:tcW w:w="0" w:type="auto"/>
            <w:hideMark/>
          </w:tcPr>
          <w:p w:rsidR="0090787A" w:rsidRPr="00C369E5" w:rsidRDefault="0090787A" w:rsidP="00D84AFA">
            <w:pPr>
              <w:jc w:val="right"/>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40,832</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TBC</w:t>
            </w:r>
          </w:p>
        </w:tc>
      </w:tr>
      <w:tr w:rsidR="0090787A" w:rsidRPr="00C369E5" w:rsidTr="0090787A">
        <w:trPr>
          <w:divId w:val="249125579"/>
        </w:trPr>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 xml:space="preserve">Health Survey for England (HSE) </w:t>
            </w:r>
            <w:r w:rsidRPr="00C369E5">
              <w:rPr>
                <w:rStyle w:val="citation"/>
                <w:rFonts w:asciiTheme="majorHAnsi" w:eastAsia="Times New Roman" w:hAnsiTheme="majorHAnsi" w:cstheme="majorHAnsi"/>
                <w:color w:val="333333"/>
                <w:sz w:val="20"/>
                <w:szCs w:val="20"/>
              </w:rPr>
              <w:t>[</w:t>
            </w:r>
            <w:hyperlink w:anchor="ref-NatCenSocialResearch2013" w:history="1">
              <w:r w:rsidRPr="00C369E5">
                <w:rPr>
                  <w:rStyle w:val="Hyperlink"/>
                  <w:rFonts w:asciiTheme="majorHAnsi" w:eastAsia="Times New Roman" w:hAnsiTheme="majorHAnsi" w:cstheme="majorHAnsi"/>
                  <w:sz w:val="20"/>
                  <w:szCs w:val="20"/>
                </w:rPr>
                <w:t>23</w:t>
              </w:r>
            </w:hyperlink>
            <w:r w:rsidRPr="00C369E5">
              <w:rPr>
                <w:rStyle w:val="citation"/>
                <w:rFonts w:asciiTheme="majorHAnsi" w:eastAsia="Times New Roman" w:hAnsiTheme="majorHAnsi" w:cstheme="majorHAnsi"/>
                <w:color w:val="333333"/>
                <w:sz w:val="20"/>
                <w:szCs w:val="20"/>
              </w:rPr>
              <w:t>]</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2011</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Residents of private English households aged 18 years and over</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Interviewer-led beverage-specific QF</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 xml:space="preserve">This UK-specific schedule is consistent with a prospective diary </w:t>
            </w:r>
            <w:r w:rsidRPr="00C369E5">
              <w:rPr>
                <w:rStyle w:val="citation"/>
                <w:rFonts w:asciiTheme="majorHAnsi" w:eastAsia="Times New Roman" w:hAnsiTheme="majorHAnsi" w:cstheme="majorHAnsi"/>
                <w:color w:val="333333"/>
                <w:sz w:val="20"/>
                <w:szCs w:val="20"/>
              </w:rPr>
              <w:t>[</w:t>
            </w:r>
            <w:hyperlink w:anchor="ref-Boniface2014" w:history="1">
              <w:r w:rsidRPr="00C369E5">
                <w:rPr>
                  <w:rStyle w:val="Hyperlink"/>
                  <w:rFonts w:asciiTheme="majorHAnsi" w:eastAsia="Times New Roman" w:hAnsiTheme="majorHAnsi" w:cstheme="majorHAnsi"/>
                  <w:sz w:val="20"/>
                  <w:szCs w:val="20"/>
                </w:rPr>
                <w:t>24</w:t>
              </w:r>
            </w:hyperlink>
            <w:r w:rsidRPr="00C369E5">
              <w:rPr>
                <w:rStyle w:val="citation"/>
                <w:rFonts w:asciiTheme="majorHAnsi" w:eastAsia="Times New Roman" w:hAnsiTheme="majorHAnsi" w:cstheme="majorHAnsi"/>
                <w:color w:val="333333"/>
                <w:sz w:val="20"/>
                <w:szCs w:val="20"/>
              </w:rPr>
              <w:t>]</w:t>
            </w:r>
            <w:r w:rsidRPr="00C369E5">
              <w:rPr>
                <w:rFonts w:asciiTheme="majorHAnsi" w:eastAsia="Times New Roman" w:hAnsiTheme="majorHAnsi" w:cstheme="majorHAnsi"/>
                <w:color w:val="333333"/>
                <w:sz w:val="20"/>
                <w:szCs w:val="20"/>
              </w:rPr>
              <w:t xml:space="preserve"> and yesterday recall </w:t>
            </w:r>
            <w:r w:rsidRPr="00C369E5">
              <w:rPr>
                <w:rStyle w:val="citation"/>
                <w:rFonts w:asciiTheme="majorHAnsi" w:eastAsia="Times New Roman" w:hAnsiTheme="majorHAnsi" w:cstheme="majorHAnsi"/>
                <w:color w:val="333333"/>
                <w:sz w:val="20"/>
                <w:szCs w:val="20"/>
              </w:rPr>
              <w:t>[</w:t>
            </w:r>
            <w:hyperlink w:anchor="ref-Stockwell2016" w:history="1">
              <w:r w:rsidRPr="00C369E5">
                <w:rPr>
                  <w:rStyle w:val="Hyperlink"/>
                  <w:rFonts w:asciiTheme="majorHAnsi" w:eastAsia="Times New Roman" w:hAnsiTheme="majorHAnsi" w:cstheme="majorHAnsi"/>
                  <w:sz w:val="20"/>
                  <w:szCs w:val="20"/>
                </w:rPr>
                <w:t>25</w:t>
              </w:r>
            </w:hyperlink>
            <w:r w:rsidRPr="00C369E5">
              <w:rPr>
                <w:rStyle w:val="citation"/>
                <w:rFonts w:asciiTheme="majorHAnsi" w:eastAsia="Times New Roman" w:hAnsiTheme="majorHAnsi" w:cstheme="majorHAnsi"/>
                <w:color w:val="333333"/>
                <w:sz w:val="20"/>
                <w:szCs w:val="20"/>
              </w:rPr>
              <w:t>]</w:t>
            </w:r>
            <w:r w:rsidRPr="00C369E5">
              <w:rPr>
                <w:rFonts w:asciiTheme="majorHAnsi" w:eastAsia="Times New Roman" w:hAnsiTheme="majorHAnsi" w:cstheme="majorHAnsi"/>
                <w:color w:val="333333"/>
                <w:sz w:val="20"/>
                <w:szCs w:val="20"/>
              </w:rPr>
              <w:t>.</w:t>
            </w:r>
          </w:p>
        </w:tc>
        <w:tc>
          <w:tcPr>
            <w:tcW w:w="0" w:type="auto"/>
            <w:hideMark/>
          </w:tcPr>
          <w:p w:rsidR="0090787A" w:rsidRPr="00C369E5" w:rsidRDefault="0090787A" w:rsidP="00D84AFA">
            <w:pPr>
              <w:jc w:val="right"/>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8,610</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Multistage random sampling</w:t>
            </w:r>
          </w:p>
        </w:tc>
      </w:tr>
      <w:tr w:rsidR="0090787A" w:rsidRPr="00C369E5" w:rsidTr="0090787A">
        <w:trPr>
          <w:divId w:val="249125579"/>
        </w:trPr>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Hospital questionnaire study (HOSP)</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February 2019–October 2019</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 xml:space="preserve">Outpatient and day </w:t>
            </w:r>
            <w:proofErr w:type="spellStart"/>
            <w:r w:rsidRPr="00C369E5">
              <w:rPr>
                <w:rFonts w:asciiTheme="majorHAnsi" w:eastAsia="Times New Roman" w:hAnsiTheme="majorHAnsi" w:cstheme="majorHAnsi"/>
                <w:color w:val="333333"/>
                <w:sz w:val="20"/>
                <w:szCs w:val="20"/>
              </w:rPr>
              <w:t>case</w:t>
            </w:r>
            <w:proofErr w:type="spellEnd"/>
            <w:r w:rsidRPr="00C369E5">
              <w:rPr>
                <w:rFonts w:asciiTheme="majorHAnsi" w:eastAsia="Times New Roman" w:hAnsiTheme="majorHAnsi" w:cstheme="majorHAnsi"/>
                <w:color w:val="333333"/>
                <w:sz w:val="20"/>
                <w:szCs w:val="20"/>
              </w:rPr>
              <w:t xml:space="preserve"> hospital patients aged 18 years and over</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Interviewer/self-administered Extended AUDIT-C and interviewer-led TLFB</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 xml:space="preserve">TLFB records fewer drinking days and thus lower consumption than a prospective diary </w:t>
            </w:r>
            <w:r w:rsidRPr="00C369E5">
              <w:rPr>
                <w:rStyle w:val="citation"/>
                <w:rFonts w:asciiTheme="majorHAnsi" w:eastAsia="Times New Roman" w:hAnsiTheme="majorHAnsi" w:cstheme="majorHAnsi"/>
                <w:color w:val="333333"/>
                <w:sz w:val="20"/>
                <w:szCs w:val="20"/>
              </w:rPr>
              <w:t>[</w:t>
            </w:r>
            <w:hyperlink w:anchor="ref-Grant1995" w:history="1">
              <w:r w:rsidRPr="00C369E5">
                <w:rPr>
                  <w:rStyle w:val="Hyperlink"/>
                  <w:rFonts w:asciiTheme="majorHAnsi" w:eastAsia="Times New Roman" w:hAnsiTheme="majorHAnsi" w:cstheme="majorHAnsi"/>
                  <w:sz w:val="20"/>
                  <w:szCs w:val="20"/>
                </w:rPr>
                <w:t>26</w:t>
              </w:r>
            </w:hyperlink>
            <w:r w:rsidRPr="00C369E5">
              <w:rPr>
                <w:rStyle w:val="citation"/>
                <w:rFonts w:asciiTheme="majorHAnsi" w:eastAsia="Times New Roman" w:hAnsiTheme="majorHAnsi" w:cstheme="majorHAnsi"/>
                <w:color w:val="333333"/>
                <w:sz w:val="20"/>
                <w:szCs w:val="20"/>
              </w:rPr>
              <w:t>]</w:t>
            </w:r>
            <w:r w:rsidRPr="00C369E5">
              <w:rPr>
                <w:rFonts w:asciiTheme="majorHAnsi" w:eastAsia="Times New Roman" w:hAnsiTheme="majorHAnsi" w:cstheme="majorHAnsi"/>
                <w:color w:val="333333"/>
                <w:sz w:val="20"/>
                <w:szCs w:val="20"/>
              </w:rPr>
              <w:t xml:space="preserve">. This recall bias increases with the number of days elapsed </w:t>
            </w:r>
            <w:r w:rsidRPr="00C369E5">
              <w:rPr>
                <w:rStyle w:val="citation"/>
                <w:rFonts w:asciiTheme="majorHAnsi" w:eastAsia="Times New Roman" w:hAnsiTheme="majorHAnsi" w:cstheme="majorHAnsi"/>
                <w:color w:val="333333"/>
                <w:sz w:val="20"/>
                <w:szCs w:val="20"/>
              </w:rPr>
              <w:t>[</w:t>
            </w:r>
            <w:hyperlink w:anchor="ref-Hoeppner2010" w:history="1">
              <w:r w:rsidRPr="00C369E5">
                <w:rPr>
                  <w:rStyle w:val="Hyperlink"/>
                  <w:rFonts w:asciiTheme="majorHAnsi" w:eastAsia="Times New Roman" w:hAnsiTheme="majorHAnsi" w:cstheme="majorHAnsi"/>
                  <w:sz w:val="20"/>
                  <w:szCs w:val="20"/>
                </w:rPr>
                <w:t>27</w:t>
              </w:r>
            </w:hyperlink>
            <w:r w:rsidRPr="00C369E5">
              <w:rPr>
                <w:rStyle w:val="citation"/>
                <w:rFonts w:asciiTheme="majorHAnsi" w:eastAsia="Times New Roman" w:hAnsiTheme="majorHAnsi" w:cstheme="majorHAnsi"/>
                <w:color w:val="333333"/>
                <w:sz w:val="20"/>
                <w:szCs w:val="20"/>
              </w:rPr>
              <w:t>,</w:t>
            </w:r>
            <w:hyperlink w:anchor="ref-Vinson2003" w:history="1">
              <w:r w:rsidRPr="00C369E5">
                <w:rPr>
                  <w:rStyle w:val="Hyperlink"/>
                  <w:rFonts w:asciiTheme="majorHAnsi" w:eastAsia="Times New Roman" w:hAnsiTheme="majorHAnsi" w:cstheme="majorHAnsi"/>
                  <w:sz w:val="20"/>
                  <w:szCs w:val="20"/>
                </w:rPr>
                <w:t>28</w:t>
              </w:r>
            </w:hyperlink>
            <w:r w:rsidRPr="00C369E5">
              <w:rPr>
                <w:rStyle w:val="citation"/>
                <w:rFonts w:asciiTheme="majorHAnsi" w:eastAsia="Times New Roman" w:hAnsiTheme="majorHAnsi" w:cstheme="majorHAnsi"/>
                <w:color w:val="333333"/>
                <w:sz w:val="20"/>
                <w:szCs w:val="20"/>
              </w:rPr>
              <w:t>]</w:t>
            </w:r>
          </w:p>
        </w:tc>
        <w:tc>
          <w:tcPr>
            <w:tcW w:w="0" w:type="auto"/>
            <w:hideMark/>
          </w:tcPr>
          <w:p w:rsidR="0090787A" w:rsidRPr="00C369E5" w:rsidRDefault="0090787A" w:rsidP="00D84AFA">
            <w:pPr>
              <w:jc w:val="right"/>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130</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Cross-sectional recruitment with block randomisation to (a) self-administered AUDIT-C or (b) researcher-administered AUDIT-C.</w:t>
            </w:r>
          </w:p>
        </w:tc>
      </w:tr>
      <w:tr w:rsidR="0090787A" w:rsidRPr="00C369E5" w:rsidTr="0090787A">
        <w:trPr>
          <w:divId w:val="249125579"/>
        </w:trPr>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 xml:space="preserve">Alcohol retail sales </w:t>
            </w:r>
            <w:r w:rsidRPr="00C369E5">
              <w:rPr>
                <w:rStyle w:val="citation"/>
                <w:rFonts w:asciiTheme="majorHAnsi" w:eastAsia="Times New Roman" w:hAnsiTheme="majorHAnsi" w:cstheme="majorHAnsi"/>
                <w:color w:val="333333"/>
                <w:sz w:val="20"/>
                <w:szCs w:val="20"/>
              </w:rPr>
              <w:t>[</w:t>
            </w:r>
            <w:hyperlink w:anchor="ref-PHE2017" w:history="1">
              <w:r w:rsidRPr="00C369E5">
                <w:rPr>
                  <w:rStyle w:val="Hyperlink"/>
                  <w:rFonts w:asciiTheme="majorHAnsi" w:eastAsia="Times New Roman" w:hAnsiTheme="majorHAnsi" w:cstheme="majorHAnsi"/>
                  <w:sz w:val="20"/>
                  <w:szCs w:val="20"/>
                </w:rPr>
                <w:t>29</w:t>
              </w:r>
            </w:hyperlink>
            <w:r w:rsidRPr="00C369E5">
              <w:rPr>
                <w:rStyle w:val="citation"/>
                <w:rFonts w:asciiTheme="majorHAnsi" w:eastAsia="Times New Roman" w:hAnsiTheme="majorHAnsi" w:cstheme="majorHAnsi"/>
                <w:color w:val="333333"/>
                <w:sz w:val="20"/>
                <w:szCs w:val="20"/>
              </w:rPr>
              <w:t>]</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2014</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English population aged 18 years and over</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Style w:val="citation"/>
                <w:rFonts w:asciiTheme="majorHAnsi" w:eastAsia="Times New Roman" w:hAnsiTheme="majorHAnsi" w:cstheme="majorHAnsi"/>
                <w:color w:val="333333"/>
                <w:sz w:val="20"/>
                <w:szCs w:val="20"/>
              </w:rPr>
              <w:t>[</w:t>
            </w:r>
            <w:hyperlink w:anchor="ref-PHE2017" w:history="1">
              <w:r w:rsidRPr="00C369E5">
                <w:rPr>
                  <w:rStyle w:val="Hyperlink"/>
                  <w:rFonts w:asciiTheme="majorHAnsi" w:eastAsia="Times New Roman" w:hAnsiTheme="majorHAnsi" w:cstheme="majorHAnsi"/>
                  <w:sz w:val="20"/>
                  <w:szCs w:val="20"/>
                </w:rPr>
                <w:t>29</w:t>
              </w:r>
            </w:hyperlink>
            <w:r w:rsidRPr="00C369E5">
              <w:rPr>
                <w:rStyle w:val="citation"/>
                <w:rFonts w:asciiTheme="majorHAnsi" w:eastAsia="Times New Roman" w:hAnsiTheme="majorHAnsi" w:cstheme="majorHAnsi"/>
                <w:color w:val="333333"/>
                <w:sz w:val="20"/>
                <w:szCs w:val="20"/>
              </w:rPr>
              <w:t>]</w:t>
            </w:r>
          </w:p>
        </w:tc>
        <w:tc>
          <w:tcPr>
            <w:tcW w:w="0" w:type="auto"/>
            <w:hideMark/>
          </w:tcPr>
          <w:p w:rsidR="0090787A" w:rsidRPr="00C369E5" w:rsidRDefault="0090787A" w:rsidP="00D84AFA">
            <w:pPr>
              <w:jc w:val="right"/>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w:t>
            </w:r>
          </w:p>
        </w:tc>
        <w:tc>
          <w:tcPr>
            <w:tcW w:w="0" w:type="auto"/>
            <w:hideMark/>
          </w:tcPr>
          <w:p w:rsidR="0090787A" w:rsidRPr="00C369E5" w:rsidRDefault="0090787A" w:rsidP="00D84AFA">
            <w:pPr>
              <w:rPr>
                <w:rFonts w:asciiTheme="majorHAnsi" w:eastAsia="Times New Roman" w:hAnsiTheme="majorHAnsi" w:cstheme="majorHAnsi"/>
                <w:color w:val="333333"/>
                <w:sz w:val="20"/>
                <w:szCs w:val="20"/>
              </w:rPr>
            </w:pPr>
            <w:r w:rsidRPr="00C369E5">
              <w:rPr>
                <w:rFonts w:asciiTheme="majorHAnsi" w:eastAsia="Times New Roman" w:hAnsiTheme="majorHAnsi" w:cstheme="majorHAnsi"/>
                <w:color w:val="333333"/>
                <w:sz w:val="20"/>
                <w:szCs w:val="20"/>
              </w:rPr>
              <w:t>Ratio of all alcohol produced or processed in the UK, as well as alcohol imported into the UK for sale and consumption, over the mid-year population estimate</w:t>
            </w:r>
          </w:p>
        </w:tc>
      </w:tr>
    </w:tbl>
    <w:p w:rsidR="0090787A" w:rsidRDefault="0090787A" w:rsidP="0090787A">
      <w:pPr>
        <w:divId w:val="249125579"/>
        <w:rPr>
          <w:rStyle w:val="header-section-number"/>
        </w:rPr>
        <w:sectPr w:rsidR="0090787A" w:rsidSect="0090787A">
          <w:pgSz w:w="16838" w:h="11906" w:orient="landscape"/>
          <w:pgMar w:top="1440" w:right="1440" w:bottom="1440" w:left="1440" w:header="708" w:footer="708" w:gutter="0"/>
          <w:cols w:space="708"/>
          <w:docGrid w:linePitch="360"/>
        </w:sectPr>
      </w:pPr>
    </w:p>
    <w:p w:rsidR="00B51215" w:rsidRPr="00E41B66" w:rsidRDefault="00177774" w:rsidP="00E41B66">
      <w:pPr>
        <w:pStyle w:val="Heading2"/>
        <w:divId w:val="249125579"/>
        <w:rPr>
          <w:sz w:val="45"/>
        </w:rPr>
      </w:pPr>
      <w:r w:rsidRPr="00E41B66">
        <w:rPr>
          <w:rStyle w:val="header-section-number"/>
        </w:rPr>
        <w:lastRenderedPageBreak/>
        <w:t>2.3</w:t>
      </w:r>
      <w:r w:rsidRPr="00E41B66">
        <w:t xml:space="preserve"> Study 1: EWAC estimation and concurrent validity</w:t>
      </w:r>
    </w:p>
    <w:p w:rsidR="00B51215" w:rsidRPr="00E41B66" w:rsidRDefault="00177774">
      <w:pPr>
        <w:pStyle w:val="NormalWeb"/>
        <w:divId w:val="249125579"/>
        <w:rPr>
          <w:rFonts w:asciiTheme="majorHAnsi" w:hAnsiTheme="majorHAnsi" w:cstheme="majorHAnsi"/>
          <w:color w:val="333333"/>
          <w:sz w:val="21"/>
          <w:szCs w:val="21"/>
        </w:rPr>
      </w:pPr>
      <w:r w:rsidRPr="00E41B66">
        <w:rPr>
          <w:rFonts w:asciiTheme="majorHAnsi" w:hAnsiTheme="majorHAnsi" w:cstheme="majorHAnsi"/>
          <w:color w:val="333333"/>
          <w:sz w:val="21"/>
          <w:szCs w:val="21"/>
        </w:rPr>
        <w:t>Study 1 evaluates the accuracy of the EWAC derived from a researcher-administered Extended AUDIT-C in general household population. The gold standard is the GF schedule from the ATS data source. We compare two sets of coefficients: AUDIT response item interval midpoint; and coefficients estimated using a statistical model (detail reported in supplementary material).</w:t>
      </w:r>
    </w:p>
    <w:p w:rsidR="00B51215" w:rsidRPr="00E41B66" w:rsidRDefault="00177774">
      <w:pPr>
        <w:pStyle w:val="NormalWeb"/>
        <w:divId w:val="249125579"/>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First, the discrepancy between the EWAC and the GF schedule is quantified, by treating GF as a gold standard. It enables the examination of two types of deviations across every participant </w:t>
      </w:r>
      <w:proofErr w:type="gramStart"/>
      <w:r w:rsidRPr="00E41B66">
        <w:rPr>
          <w:rStyle w:val="math"/>
          <w:rFonts w:asciiTheme="majorHAnsi" w:hAnsiTheme="majorHAnsi" w:cstheme="majorHAnsi"/>
          <w:color w:val="333333"/>
          <w:sz w:val="21"/>
          <w:szCs w:val="21"/>
        </w:rPr>
        <w:t>\(</w:t>
      </w:r>
      <w:proofErr w:type="spellStart"/>
      <w:proofErr w:type="gramEnd"/>
      <w:r w:rsidRPr="00E41B66">
        <w:rPr>
          <w:rStyle w:val="math"/>
          <w:rFonts w:asciiTheme="majorHAnsi" w:hAnsiTheme="majorHAnsi" w:cstheme="majorHAnsi"/>
          <w:color w:val="333333"/>
          <w:sz w:val="21"/>
          <w:szCs w:val="21"/>
        </w:rPr>
        <w:t>i</w:t>
      </w:r>
      <w:proofErr w:type="spellEnd"/>
      <w:r w:rsidRPr="00E41B66">
        <w:rPr>
          <w:rStyle w:val="math"/>
          <w:rFonts w:asciiTheme="majorHAnsi" w:hAnsiTheme="majorHAnsi" w:cstheme="majorHAnsi"/>
          <w:color w:val="333333"/>
          <w:sz w:val="21"/>
          <w:szCs w:val="21"/>
        </w:rPr>
        <w:t>\)</w:t>
      </w:r>
      <w:r w:rsidRPr="00E41B66">
        <w:rPr>
          <w:rFonts w:asciiTheme="majorHAnsi" w:hAnsiTheme="majorHAnsi" w:cstheme="majorHAnsi"/>
          <w:color w:val="333333"/>
          <w:sz w:val="21"/>
          <w:szCs w:val="21"/>
        </w:rPr>
        <w:t xml:space="preserve"> in the ATS sample:</w:t>
      </w:r>
    </w:p>
    <w:p w:rsidR="00B51215" w:rsidRPr="00E41B66" w:rsidRDefault="00177774">
      <w:pPr>
        <w:numPr>
          <w:ilvl w:val="0"/>
          <w:numId w:val="3"/>
        </w:numPr>
        <w:spacing w:before="100" w:beforeAutospacing="1" w:after="100" w:afterAutospacing="1"/>
        <w:divId w:val="249125579"/>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the mean deviation </w:t>
      </w:r>
      <w:r w:rsidRPr="00E41B66">
        <w:rPr>
          <w:rStyle w:val="math"/>
          <w:rFonts w:asciiTheme="majorHAnsi" w:eastAsia="Times New Roman" w:hAnsiTheme="majorHAnsi" w:cstheme="majorHAnsi"/>
          <w:color w:val="333333"/>
          <w:sz w:val="21"/>
          <w:szCs w:val="21"/>
        </w:rPr>
        <w:t>\(\text{MD} = n^{-1} \sum_{</w:t>
      </w:r>
      <w:proofErr w:type="spellStart"/>
      <w:r w:rsidRPr="00E41B66">
        <w:rPr>
          <w:rStyle w:val="math"/>
          <w:rFonts w:asciiTheme="majorHAnsi" w:eastAsia="Times New Roman" w:hAnsiTheme="majorHAnsi" w:cstheme="majorHAnsi"/>
          <w:color w:val="333333"/>
          <w:sz w:val="21"/>
          <w:szCs w:val="21"/>
        </w:rPr>
        <w:t>i</w:t>
      </w:r>
      <w:proofErr w:type="spellEnd"/>
      <w:r w:rsidRPr="00E41B66">
        <w:rPr>
          <w:rStyle w:val="math"/>
          <w:rFonts w:asciiTheme="majorHAnsi" w:eastAsia="Times New Roman" w:hAnsiTheme="majorHAnsi" w:cstheme="majorHAnsi"/>
          <w:color w:val="333333"/>
          <w:sz w:val="21"/>
          <w:szCs w:val="21"/>
        </w:rPr>
        <w:t>=1}^{n}{(\</w:t>
      </w:r>
      <w:proofErr w:type="spellStart"/>
      <w:r w:rsidRPr="00E41B66">
        <w:rPr>
          <w:rStyle w:val="math"/>
          <w:rFonts w:asciiTheme="majorHAnsi" w:eastAsia="Times New Roman" w:hAnsiTheme="majorHAnsi" w:cstheme="majorHAnsi"/>
          <w:color w:val="333333"/>
          <w:sz w:val="21"/>
          <w:szCs w:val="21"/>
        </w:rPr>
        <w:t>rm</w:t>
      </w:r>
      <w:proofErr w:type="spellEnd"/>
      <w:r w:rsidRPr="00E41B66">
        <w:rPr>
          <w:rStyle w:val="math"/>
          <w:rFonts w:asciiTheme="majorHAnsi" w:eastAsia="Times New Roman" w:hAnsiTheme="majorHAnsi" w:cstheme="majorHAnsi"/>
          <w:color w:val="333333"/>
          <w:sz w:val="21"/>
          <w:szCs w:val="21"/>
        </w:rPr>
        <w:t>{EWAC}_</w:t>
      </w:r>
      <w:proofErr w:type="spellStart"/>
      <w:r w:rsidRPr="00E41B66">
        <w:rPr>
          <w:rStyle w:val="math"/>
          <w:rFonts w:asciiTheme="majorHAnsi" w:eastAsia="Times New Roman" w:hAnsiTheme="majorHAnsi" w:cstheme="majorHAnsi"/>
          <w:color w:val="333333"/>
          <w:sz w:val="21"/>
          <w:szCs w:val="21"/>
        </w:rPr>
        <w:t>i</w:t>
      </w:r>
      <w:proofErr w:type="spellEnd"/>
      <w:r w:rsidRPr="00E41B66">
        <w:rPr>
          <w:rStyle w:val="math"/>
          <w:rFonts w:asciiTheme="majorHAnsi" w:eastAsia="Times New Roman" w:hAnsiTheme="majorHAnsi" w:cstheme="majorHAnsi"/>
          <w:color w:val="333333"/>
          <w:sz w:val="21"/>
          <w:szCs w:val="21"/>
        </w:rPr>
        <w:t xml:space="preserve"> - \</w:t>
      </w:r>
      <w:proofErr w:type="spellStart"/>
      <w:r w:rsidRPr="00E41B66">
        <w:rPr>
          <w:rStyle w:val="math"/>
          <w:rFonts w:asciiTheme="majorHAnsi" w:eastAsia="Times New Roman" w:hAnsiTheme="majorHAnsi" w:cstheme="majorHAnsi"/>
          <w:color w:val="333333"/>
          <w:sz w:val="21"/>
          <w:szCs w:val="21"/>
        </w:rPr>
        <w:t>rm</w:t>
      </w:r>
      <w:proofErr w:type="spellEnd"/>
      <w:r w:rsidRPr="00E41B66">
        <w:rPr>
          <w:rStyle w:val="math"/>
          <w:rFonts w:asciiTheme="majorHAnsi" w:eastAsia="Times New Roman" w:hAnsiTheme="majorHAnsi" w:cstheme="majorHAnsi"/>
          <w:color w:val="333333"/>
          <w:sz w:val="21"/>
          <w:szCs w:val="21"/>
        </w:rPr>
        <w:t>{GF}_</w:t>
      </w:r>
      <w:proofErr w:type="spellStart"/>
      <w:r w:rsidRPr="00E41B66">
        <w:rPr>
          <w:rStyle w:val="math"/>
          <w:rFonts w:asciiTheme="majorHAnsi" w:eastAsia="Times New Roman" w:hAnsiTheme="majorHAnsi" w:cstheme="majorHAnsi"/>
          <w:color w:val="333333"/>
          <w:sz w:val="21"/>
          <w:szCs w:val="21"/>
        </w:rPr>
        <w:t>i</w:t>
      </w:r>
      <w:proofErr w:type="spellEnd"/>
      <w:r w:rsidRPr="00E41B66">
        <w:rPr>
          <w:rStyle w:val="math"/>
          <w:rFonts w:asciiTheme="majorHAnsi" w:eastAsia="Times New Roman" w:hAnsiTheme="majorHAnsi" w:cstheme="majorHAnsi"/>
          <w:color w:val="333333"/>
          <w:sz w:val="21"/>
          <w:szCs w:val="21"/>
        </w:rPr>
        <w:t xml:space="preserve"> )}\)</w:t>
      </w:r>
      <w:r w:rsidRPr="00E41B66">
        <w:rPr>
          <w:rFonts w:asciiTheme="majorHAnsi" w:eastAsia="Times New Roman" w:hAnsiTheme="majorHAnsi" w:cstheme="majorHAnsi"/>
          <w:color w:val="333333"/>
          <w:sz w:val="21"/>
          <w:szCs w:val="21"/>
        </w:rPr>
        <w:t xml:space="preserve"> can be assimilated to a measure of bias under the assumption that GF is a gold standard. In this study, we test whether the MD is greater than 1 UK unit using a two-sided </w:t>
      </w:r>
      <w:proofErr w:type="gramStart"/>
      <w:r w:rsidRPr="00E41B66">
        <w:rPr>
          <w:rStyle w:val="math"/>
          <w:rFonts w:asciiTheme="majorHAnsi" w:eastAsia="Times New Roman" w:hAnsiTheme="majorHAnsi" w:cstheme="majorHAnsi"/>
          <w:color w:val="333333"/>
          <w:sz w:val="21"/>
          <w:szCs w:val="21"/>
        </w:rPr>
        <w:t>\(</w:t>
      </w:r>
      <w:proofErr w:type="gramEnd"/>
      <w:r w:rsidRPr="00E41B66">
        <w:rPr>
          <w:rStyle w:val="math"/>
          <w:rFonts w:asciiTheme="majorHAnsi" w:eastAsia="Times New Roman" w:hAnsiTheme="majorHAnsi" w:cstheme="majorHAnsi"/>
          <w:color w:val="333333"/>
          <w:sz w:val="21"/>
          <w:szCs w:val="21"/>
        </w:rPr>
        <w:t>t\)</w:t>
      </w:r>
      <w:r w:rsidRPr="00E41B66">
        <w:rPr>
          <w:rFonts w:asciiTheme="majorHAnsi" w:eastAsia="Times New Roman" w:hAnsiTheme="majorHAnsi" w:cstheme="majorHAnsi"/>
          <w:color w:val="333333"/>
          <w:sz w:val="21"/>
          <w:szCs w:val="21"/>
        </w:rPr>
        <w:t>-test.</w:t>
      </w:r>
    </w:p>
    <w:p w:rsidR="00B51215" w:rsidRPr="00E41B66" w:rsidRDefault="00177774">
      <w:pPr>
        <w:numPr>
          <w:ilvl w:val="0"/>
          <w:numId w:val="3"/>
        </w:numPr>
        <w:spacing w:before="100" w:beforeAutospacing="1" w:after="100" w:afterAutospacing="1"/>
        <w:divId w:val="249125579"/>
        <w:rPr>
          <w:rFonts w:asciiTheme="majorHAnsi" w:eastAsia="Times New Roman" w:hAnsiTheme="majorHAnsi" w:cstheme="majorHAnsi"/>
          <w:color w:val="333333"/>
          <w:sz w:val="21"/>
          <w:szCs w:val="21"/>
        </w:rPr>
      </w:pPr>
      <w:proofErr w:type="gramStart"/>
      <w:r w:rsidRPr="00E41B66">
        <w:rPr>
          <w:rFonts w:asciiTheme="majorHAnsi" w:eastAsia="Times New Roman" w:hAnsiTheme="majorHAnsi" w:cstheme="majorHAnsi"/>
          <w:color w:val="333333"/>
          <w:sz w:val="21"/>
          <w:szCs w:val="21"/>
        </w:rPr>
        <w:t>the</w:t>
      </w:r>
      <w:proofErr w:type="gramEnd"/>
      <w:r w:rsidRPr="00E41B66">
        <w:rPr>
          <w:rFonts w:asciiTheme="majorHAnsi" w:eastAsia="Times New Roman" w:hAnsiTheme="majorHAnsi" w:cstheme="majorHAnsi"/>
          <w:color w:val="333333"/>
          <w:sz w:val="21"/>
          <w:szCs w:val="21"/>
        </w:rPr>
        <w:t xml:space="preserve"> root mean squared deviation </w:t>
      </w:r>
      <w:r w:rsidRPr="00E41B66">
        <w:rPr>
          <w:rStyle w:val="math"/>
          <w:rFonts w:asciiTheme="majorHAnsi" w:eastAsia="Times New Roman" w:hAnsiTheme="majorHAnsi" w:cstheme="majorHAnsi"/>
          <w:color w:val="333333"/>
          <w:sz w:val="21"/>
          <w:szCs w:val="21"/>
        </w:rPr>
        <w:t>\(\text{RMSD} = \</w:t>
      </w:r>
      <w:proofErr w:type="spellStart"/>
      <w:r w:rsidRPr="00E41B66">
        <w:rPr>
          <w:rStyle w:val="math"/>
          <w:rFonts w:asciiTheme="majorHAnsi" w:eastAsia="Times New Roman" w:hAnsiTheme="majorHAnsi" w:cstheme="majorHAnsi"/>
          <w:color w:val="333333"/>
          <w:sz w:val="21"/>
          <w:szCs w:val="21"/>
        </w:rPr>
        <w:t>sqrt</w:t>
      </w:r>
      <w:proofErr w:type="spellEnd"/>
      <w:r w:rsidRPr="00E41B66">
        <w:rPr>
          <w:rStyle w:val="math"/>
          <w:rFonts w:asciiTheme="majorHAnsi" w:eastAsia="Times New Roman" w:hAnsiTheme="majorHAnsi" w:cstheme="majorHAnsi"/>
          <w:color w:val="333333"/>
          <w:sz w:val="21"/>
          <w:szCs w:val="21"/>
        </w:rPr>
        <w:t>{n^{-1} \sum_{</w:t>
      </w:r>
      <w:proofErr w:type="spellStart"/>
      <w:r w:rsidRPr="00E41B66">
        <w:rPr>
          <w:rStyle w:val="math"/>
          <w:rFonts w:asciiTheme="majorHAnsi" w:eastAsia="Times New Roman" w:hAnsiTheme="majorHAnsi" w:cstheme="majorHAnsi"/>
          <w:color w:val="333333"/>
          <w:sz w:val="21"/>
          <w:szCs w:val="21"/>
        </w:rPr>
        <w:t>i</w:t>
      </w:r>
      <w:proofErr w:type="spellEnd"/>
      <w:r w:rsidRPr="00E41B66">
        <w:rPr>
          <w:rStyle w:val="math"/>
          <w:rFonts w:asciiTheme="majorHAnsi" w:eastAsia="Times New Roman" w:hAnsiTheme="majorHAnsi" w:cstheme="majorHAnsi"/>
          <w:color w:val="333333"/>
          <w:sz w:val="21"/>
          <w:szCs w:val="21"/>
        </w:rPr>
        <w:t>=1}^{n}{( \</w:t>
      </w:r>
      <w:proofErr w:type="spellStart"/>
      <w:r w:rsidRPr="00E41B66">
        <w:rPr>
          <w:rStyle w:val="math"/>
          <w:rFonts w:asciiTheme="majorHAnsi" w:eastAsia="Times New Roman" w:hAnsiTheme="majorHAnsi" w:cstheme="majorHAnsi"/>
          <w:color w:val="333333"/>
          <w:sz w:val="21"/>
          <w:szCs w:val="21"/>
        </w:rPr>
        <w:t>rm</w:t>
      </w:r>
      <w:proofErr w:type="spellEnd"/>
      <w:r w:rsidRPr="00E41B66">
        <w:rPr>
          <w:rStyle w:val="math"/>
          <w:rFonts w:asciiTheme="majorHAnsi" w:eastAsia="Times New Roman" w:hAnsiTheme="majorHAnsi" w:cstheme="majorHAnsi"/>
          <w:color w:val="333333"/>
          <w:sz w:val="21"/>
          <w:szCs w:val="21"/>
        </w:rPr>
        <w:t>{EWAC}_</w:t>
      </w:r>
      <w:proofErr w:type="spellStart"/>
      <w:r w:rsidRPr="00E41B66">
        <w:rPr>
          <w:rStyle w:val="math"/>
          <w:rFonts w:asciiTheme="majorHAnsi" w:eastAsia="Times New Roman" w:hAnsiTheme="majorHAnsi" w:cstheme="majorHAnsi"/>
          <w:color w:val="333333"/>
          <w:sz w:val="21"/>
          <w:szCs w:val="21"/>
        </w:rPr>
        <w:t>i</w:t>
      </w:r>
      <w:proofErr w:type="spellEnd"/>
      <w:r w:rsidRPr="00E41B66">
        <w:rPr>
          <w:rStyle w:val="math"/>
          <w:rFonts w:asciiTheme="majorHAnsi" w:eastAsia="Times New Roman" w:hAnsiTheme="majorHAnsi" w:cstheme="majorHAnsi"/>
          <w:color w:val="333333"/>
          <w:sz w:val="21"/>
          <w:szCs w:val="21"/>
        </w:rPr>
        <w:t xml:space="preserve"> - \</w:t>
      </w:r>
      <w:proofErr w:type="spellStart"/>
      <w:r w:rsidRPr="00E41B66">
        <w:rPr>
          <w:rStyle w:val="math"/>
          <w:rFonts w:asciiTheme="majorHAnsi" w:eastAsia="Times New Roman" w:hAnsiTheme="majorHAnsi" w:cstheme="majorHAnsi"/>
          <w:color w:val="333333"/>
          <w:sz w:val="21"/>
          <w:szCs w:val="21"/>
        </w:rPr>
        <w:t>rm</w:t>
      </w:r>
      <w:proofErr w:type="spellEnd"/>
      <w:r w:rsidRPr="00E41B66">
        <w:rPr>
          <w:rStyle w:val="math"/>
          <w:rFonts w:asciiTheme="majorHAnsi" w:eastAsia="Times New Roman" w:hAnsiTheme="majorHAnsi" w:cstheme="majorHAnsi"/>
          <w:color w:val="333333"/>
          <w:sz w:val="21"/>
          <w:szCs w:val="21"/>
        </w:rPr>
        <w:t>{GF}_</w:t>
      </w:r>
      <w:proofErr w:type="spellStart"/>
      <w:r w:rsidRPr="00E41B66">
        <w:rPr>
          <w:rStyle w:val="math"/>
          <w:rFonts w:asciiTheme="majorHAnsi" w:eastAsia="Times New Roman" w:hAnsiTheme="majorHAnsi" w:cstheme="majorHAnsi"/>
          <w:color w:val="333333"/>
          <w:sz w:val="21"/>
          <w:szCs w:val="21"/>
        </w:rPr>
        <w:t>i</w:t>
      </w:r>
      <w:proofErr w:type="spellEnd"/>
      <w:r w:rsidRPr="00E41B66">
        <w:rPr>
          <w:rStyle w:val="math"/>
          <w:rFonts w:asciiTheme="majorHAnsi" w:eastAsia="Times New Roman" w:hAnsiTheme="majorHAnsi" w:cstheme="majorHAnsi"/>
          <w:color w:val="333333"/>
          <w:sz w:val="21"/>
          <w:szCs w:val="21"/>
        </w:rPr>
        <w:t xml:space="preserve"> )^2}}\)</w:t>
      </w:r>
      <w:r w:rsidRPr="00E41B66">
        <w:rPr>
          <w:rFonts w:asciiTheme="majorHAnsi" w:eastAsia="Times New Roman" w:hAnsiTheme="majorHAnsi" w:cstheme="majorHAnsi"/>
          <w:color w:val="333333"/>
          <w:sz w:val="21"/>
          <w:szCs w:val="21"/>
        </w:rPr>
        <w:t xml:space="preserve"> can be assimilated to a measure of accuracy or total error: it capture both bias and random deviation from the assumed gold standard. For example, an RMSD of 2 signifies that the EWAC is on average with +/-2 UK units of the gold standard. In this study, we test the hypothesis that the RMSD is greater than 2 UK units using a one-sided </w:t>
      </w:r>
      <w:proofErr w:type="gramStart"/>
      <w:r w:rsidRPr="00E41B66">
        <w:rPr>
          <w:rStyle w:val="math"/>
          <w:rFonts w:asciiTheme="majorHAnsi" w:eastAsia="Times New Roman" w:hAnsiTheme="majorHAnsi" w:cstheme="majorHAnsi"/>
          <w:color w:val="333333"/>
          <w:sz w:val="21"/>
          <w:szCs w:val="21"/>
        </w:rPr>
        <w:t>\(</w:t>
      </w:r>
      <w:proofErr w:type="gramEnd"/>
      <w:r w:rsidRPr="00E41B66">
        <w:rPr>
          <w:rStyle w:val="math"/>
          <w:rFonts w:asciiTheme="majorHAnsi" w:eastAsia="Times New Roman" w:hAnsiTheme="majorHAnsi" w:cstheme="majorHAnsi"/>
          <w:color w:val="333333"/>
          <w:sz w:val="21"/>
          <w:szCs w:val="21"/>
        </w:rPr>
        <w:t>\chi^2\)</w:t>
      </w:r>
      <w:r w:rsidRPr="00E41B66">
        <w:rPr>
          <w:rFonts w:asciiTheme="majorHAnsi" w:eastAsia="Times New Roman" w:hAnsiTheme="majorHAnsi" w:cstheme="majorHAnsi"/>
          <w:color w:val="333333"/>
          <w:sz w:val="21"/>
          <w:szCs w:val="21"/>
        </w:rPr>
        <w:t xml:space="preserve"> homogeneity test.</w:t>
      </w:r>
    </w:p>
    <w:p w:rsidR="00B51215" w:rsidRPr="00E41B66" w:rsidRDefault="00177774">
      <w:pPr>
        <w:pStyle w:val="NormalWeb"/>
        <w:divId w:val="249125579"/>
        <w:rPr>
          <w:rFonts w:asciiTheme="majorHAnsi" w:hAnsiTheme="majorHAnsi" w:cstheme="majorHAnsi"/>
          <w:color w:val="333333"/>
          <w:sz w:val="21"/>
          <w:szCs w:val="21"/>
        </w:rPr>
      </w:pPr>
      <w:r w:rsidRPr="00E41B66">
        <w:rPr>
          <w:rFonts w:asciiTheme="majorHAnsi" w:hAnsiTheme="majorHAnsi" w:cstheme="majorHAnsi"/>
          <w:color w:val="333333"/>
          <w:sz w:val="21"/>
          <w:szCs w:val="21"/>
        </w:rPr>
        <w:t>Second, we examine whether the EWAC’s validity varies across population subgroups.</w:t>
      </w:r>
    </w:p>
    <w:p w:rsidR="00B51215" w:rsidRPr="00E41B66" w:rsidRDefault="00177774">
      <w:pPr>
        <w:numPr>
          <w:ilvl w:val="0"/>
          <w:numId w:val="4"/>
        </w:numPr>
        <w:spacing w:before="100" w:beforeAutospacing="1" w:after="100" w:afterAutospacing="1"/>
        <w:divId w:val="249125579"/>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the simple deviation </w:t>
      </w:r>
      <w:r w:rsidRPr="00E41B66">
        <w:rPr>
          <w:rStyle w:val="math"/>
          <w:rFonts w:asciiTheme="majorHAnsi" w:eastAsia="Times New Roman" w:hAnsiTheme="majorHAnsi" w:cstheme="majorHAnsi"/>
          <w:color w:val="333333"/>
          <w:sz w:val="21"/>
          <w:szCs w:val="21"/>
        </w:rPr>
        <w:t>\((\text{EWAC}-\text{GF})\)</w:t>
      </w:r>
      <w:r w:rsidRPr="00E41B66">
        <w:rPr>
          <w:rFonts w:asciiTheme="majorHAnsi" w:eastAsia="Times New Roman" w:hAnsiTheme="majorHAnsi" w:cstheme="majorHAnsi"/>
          <w:color w:val="333333"/>
          <w:sz w:val="21"/>
          <w:szCs w:val="21"/>
        </w:rPr>
        <w:t xml:space="preserve"> is regressed in a linear model to test for subgroup differences in MD</w:t>
      </w:r>
    </w:p>
    <w:p w:rsidR="00B51215" w:rsidRPr="00E41B66" w:rsidRDefault="00177774">
      <w:pPr>
        <w:numPr>
          <w:ilvl w:val="0"/>
          <w:numId w:val="4"/>
        </w:numPr>
        <w:spacing w:before="100" w:beforeAutospacing="1" w:after="100" w:afterAutospacing="1"/>
        <w:divId w:val="249125579"/>
        <w:rPr>
          <w:rFonts w:asciiTheme="majorHAnsi" w:eastAsia="Times New Roman" w:hAnsiTheme="majorHAnsi" w:cstheme="majorHAnsi"/>
          <w:color w:val="333333"/>
          <w:sz w:val="21"/>
          <w:szCs w:val="21"/>
        </w:rPr>
      </w:pPr>
      <w:proofErr w:type="gramStart"/>
      <w:r w:rsidRPr="00E41B66">
        <w:rPr>
          <w:rFonts w:asciiTheme="majorHAnsi" w:eastAsia="Times New Roman" w:hAnsiTheme="majorHAnsi" w:cstheme="majorHAnsi"/>
          <w:color w:val="333333"/>
          <w:sz w:val="21"/>
          <w:szCs w:val="21"/>
        </w:rPr>
        <w:t>the</w:t>
      </w:r>
      <w:proofErr w:type="gramEnd"/>
      <w:r w:rsidRPr="00E41B66">
        <w:rPr>
          <w:rFonts w:asciiTheme="majorHAnsi" w:eastAsia="Times New Roman" w:hAnsiTheme="majorHAnsi" w:cstheme="majorHAnsi"/>
          <w:color w:val="333333"/>
          <w:sz w:val="21"/>
          <w:szCs w:val="21"/>
        </w:rPr>
        <w:t xml:space="preserve"> squared deviation </w:t>
      </w:r>
      <w:r w:rsidRPr="00E41B66">
        <w:rPr>
          <w:rStyle w:val="math"/>
          <w:rFonts w:asciiTheme="majorHAnsi" w:eastAsia="Times New Roman" w:hAnsiTheme="majorHAnsi" w:cstheme="majorHAnsi"/>
          <w:color w:val="333333"/>
          <w:sz w:val="21"/>
          <w:szCs w:val="21"/>
        </w:rPr>
        <w:t>\((\</w:t>
      </w:r>
      <w:proofErr w:type="spellStart"/>
      <w:r w:rsidRPr="00E41B66">
        <w:rPr>
          <w:rStyle w:val="math"/>
          <w:rFonts w:asciiTheme="majorHAnsi" w:eastAsia="Times New Roman" w:hAnsiTheme="majorHAnsi" w:cstheme="majorHAnsi"/>
          <w:color w:val="333333"/>
          <w:sz w:val="21"/>
          <w:szCs w:val="21"/>
        </w:rPr>
        <w:t>rm</w:t>
      </w:r>
      <w:proofErr w:type="spellEnd"/>
      <w:r w:rsidRPr="00E41B66">
        <w:rPr>
          <w:rStyle w:val="math"/>
          <w:rFonts w:asciiTheme="majorHAnsi" w:eastAsia="Times New Roman" w:hAnsiTheme="majorHAnsi" w:cstheme="majorHAnsi"/>
          <w:color w:val="333333"/>
          <w:sz w:val="21"/>
          <w:szCs w:val="21"/>
        </w:rPr>
        <w:t>{EWAC}-\</w:t>
      </w:r>
      <w:proofErr w:type="spellStart"/>
      <w:r w:rsidRPr="00E41B66">
        <w:rPr>
          <w:rStyle w:val="math"/>
          <w:rFonts w:asciiTheme="majorHAnsi" w:eastAsia="Times New Roman" w:hAnsiTheme="majorHAnsi" w:cstheme="majorHAnsi"/>
          <w:color w:val="333333"/>
          <w:sz w:val="21"/>
          <w:szCs w:val="21"/>
        </w:rPr>
        <w:t>rm</w:t>
      </w:r>
      <w:proofErr w:type="spellEnd"/>
      <w:r w:rsidRPr="00E41B66">
        <w:rPr>
          <w:rStyle w:val="math"/>
          <w:rFonts w:asciiTheme="majorHAnsi" w:eastAsia="Times New Roman" w:hAnsiTheme="majorHAnsi" w:cstheme="majorHAnsi"/>
          <w:color w:val="333333"/>
          <w:sz w:val="21"/>
          <w:szCs w:val="21"/>
        </w:rPr>
        <w:t>{GF})^2\)</w:t>
      </w:r>
      <w:r w:rsidRPr="00E41B66">
        <w:rPr>
          <w:rFonts w:asciiTheme="majorHAnsi" w:eastAsia="Times New Roman" w:hAnsiTheme="majorHAnsi" w:cstheme="majorHAnsi"/>
          <w:color w:val="333333"/>
          <w:sz w:val="21"/>
          <w:szCs w:val="21"/>
        </w:rPr>
        <w:t xml:space="preserve"> is regressed in a log-transformed linear model to test subgroup differences in MSD. Model coefficients are transformed (exponential then square root transformations) in order to obtain the relative RMSD, that is, the ratio of RMSDs of the subgroup to the reference category. Both models include the following predictors: sex by age group; ethnic group; highest educational qualification; religion; smoking status. Additional models are estimated for respondents with an AUDIT-C score of 5 or more or an AUDIT score of 8 or more (under the ICD terminology, hazardous and harmful alcohol use), who provided additional information during the interview: favourite drink (beer; wine; spirits alone; mixed spirits; cider; other); and whether the respondent attempt to restrict alcohol intake in the last 12 months (</w:t>
      </w:r>
      <w:proofErr w:type="spellStart"/>
      <w:r w:rsidRPr="00E41B66">
        <w:rPr>
          <w:rFonts w:asciiTheme="majorHAnsi" w:eastAsia="Times New Roman" w:hAnsiTheme="majorHAnsi" w:cstheme="majorHAnsi"/>
          <w:color w:val="333333"/>
          <w:sz w:val="21"/>
          <w:szCs w:val="21"/>
        </w:rPr>
        <w:t>eg</w:t>
      </w:r>
      <w:proofErr w:type="spellEnd"/>
      <w:r w:rsidRPr="00E41B66">
        <w:rPr>
          <w:rFonts w:asciiTheme="majorHAnsi" w:eastAsia="Times New Roman" w:hAnsiTheme="majorHAnsi" w:cstheme="majorHAnsi"/>
          <w:color w:val="333333"/>
          <w:sz w:val="21"/>
          <w:szCs w:val="21"/>
        </w:rPr>
        <w:t xml:space="preserve"> by drinking less, choosing lower strength alcohol or using smaller glasses).</w:t>
      </w:r>
    </w:p>
    <w:p w:rsidR="00B51215" w:rsidRPr="00E41B66" w:rsidRDefault="00177774">
      <w:pPr>
        <w:pStyle w:val="NormalWeb"/>
        <w:divId w:val="249125579"/>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Third, we test whether the EWAC has equivalent or better predictive value in predicting drinking in excess of 14 UK units per week compared to the traditional AUDIT-C score. In the UK, a score of 5 or more is categorised as ‘increasing risk’ or ‘higher risk’, and regarded as indicating consumption in excess of 14 units per week. The study tests the hypothesis that the EWAC’s receiver operating characteristics’ area under the curve (AUC) is greater that the AUDIT-C score using a nonparametric paired AUC test </w:t>
      </w:r>
      <w:r w:rsidRPr="00E41B66">
        <w:rPr>
          <w:rStyle w:val="citation"/>
          <w:rFonts w:asciiTheme="majorHAnsi" w:hAnsiTheme="majorHAnsi" w:cstheme="majorHAnsi"/>
          <w:color w:val="333333"/>
          <w:sz w:val="21"/>
          <w:szCs w:val="21"/>
        </w:rPr>
        <w:t>[</w:t>
      </w:r>
      <w:hyperlink w:anchor="ref-Delong1988" w:history="1">
        <w:r w:rsidRPr="00E41B66">
          <w:rPr>
            <w:rStyle w:val="Hyperlink"/>
            <w:rFonts w:asciiTheme="majorHAnsi" w:hAnsiTheme="majorHAnsi" w:cstheme="majorHAnsi"/>
            <w:sz w:val="21"/>
            <w:szCs w:val="21"/>
          </w:rPr>
          <w:t>30</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w:t>
      </w:r>
    </w:p>
    <w:p w:rsidR="00B51215" w:rsidRPr="00E41B66" w:rsidRDefault="00177774">
      <w:pPr>
        <w:pStyle w:val="NormalWeb"/>
        <w:divId w:val="249125579"/>
        <w:rPr>
          <w:rFonts w:asciiTheme="majorHAnsi" w:hAnsiTheme="majorHAnsi" w:cstheme="majorHAnsi"/>
          <w:color w:val="333333"/>
          <w:sz w:val="21"/>
          <w:szCs w:val="21"/>
        </w:rPr>
      </w:pPr>
      <w:r w:rsidRPr="00E41B66">
        <w:rPr>
          <w:rFonts w:asciiTheme="majorHAnsi" w:hAnsiTheme="majorHAnsi" w:cstheme="majorHAnsi"/>
          <w:color w:val="333333"/>
          <w:sz w:val="21"/>
          <w:szCs w:val="21"/>
        </w:rPr>
        <w:t>The ATS data (</w:t>
      </w:r>
      <w:proofErr w:type="gramStart"/>
      <w:r w:rsidRPr="00E41B66">
        <w:rPr>
          <w:rStyle w:val="math"/>
          <w:rFonts w:asciiTheme="majorHAnsi" w:hAnsiTheme="majorHAnsi" w:cstheme="majorHAnsi"/>
          <w:color w:val="333333"/>
          <w:sz w:val="21"/>
          <w:szCs w:val="21"/>
        </w:rPr>
        <w:t>\(</w:t>
      </w:r>
      <w:proofErr w:type="gramEnd"/>
      <w:r w:rsidRPr="00E41B66">
        <w:rPr>
          <w:rStyle w:val="math"/>
          <w:rFonts w:asciiTheme="majorHAnsi" w:hAnsiTheme="majorHAnsi" w:cstheme="majorHAnsi"/>
          <w:color w:val="333333"/>
          <w:sz w:val="21"/>
          <w:szCs w:val="21"/>
        </w:rPr>
        <w:t>n=\)</w:t>
      </w:r>
      <w:r w:rsidRPr="00E41B66">
        <w:rPr>
          <w:rFonts w:asciiTheme="majorHAnsi" w:hAnsiTheme="majorHAnsi" w:cstheme="majorHAnsi"/>
          <w:color w:val="333333"/>
          <w:sz w:val="21"/>
          <w:szCs w:val="21"/>
        </w:rPr>
        <w:t xml:space="preserve"> 40,832) is affected by missing data: 35% of respondents (</w:t>
      </w:r>
      <w:r w:rsidRPr="00E41B66">
        <w:rPr>
          <w:rStyle w:val="math"/>
          <w:rFonts w:asciiTheme="majorHAnsi" w:hAnsiTheme="majorHAnsi" w:cstheme="majorHAnsi"/>
          <w:color w:val="333333"/>
          <w:sz w:val="21"/>
          <w:szCs w:val="21"/>
        </w:rPr>
        <w:t>\(n=\)</w:t>
      </w:r>
      <w:r w:rsidRPr="00E41B66">
        <w:rPr>
          <w:rFonts w:asciiTheme="majorHAnsi" w:hAnsiTheme="majorHAnsi" w:cstheme="majorHAnsi"/>
          <w:color w:val="333333"/>
          <w:sz w:val="21"/>
          <w:szCs w:val="21"/>
        </w:rPr>
        <w:t xml:space="preserve"> 14,408) reported never drinking alcohol in AUDIT item 1 and were not asked any further AUDIT or GF questions. These participants are excluded from the analysis. A further 4,020 respondents (0.2% of those reporting drinking in AUDIT item 1) did not have a valid GF alcohol consumption record and were also excluded. In total, 22,404 valid observations remain for the diagnostic analysis, in which missing GF data is assumed to be missing at random conditionally on the Extended AUDIT-C responses. In the subgroup analysis, a further 0.5% (530) </w:t>
      </w:r>
      <w:proofErr w:type="spellStart"/>
      <w:r w:rsidRPr="00E41B66">
        <w:rPr>
          <w:rFonts w:asciiTheme="majorHAnsi" w:hAnsiTheme="majorHAnsi" w:cstheme="majorHAnsi"/>
          <w:color w:val="333333"/>
          <w:sz w:val="21"/>
          <w:szCs w:val="21"/>
        </w:rPr>
        <w:t>repondents</w:t>
      </w:r>
      <w:proofErr w:type="spellEnd"/>
      <w:r w:rsidRPr="00E41B66">
        <w:rPr>
          <w:rFonts w:asciiTheme="majorHAnsi" w:hAnsiTheme="majorHAnsi" w:cstheme="majorHAnsi"/>
          <w:color w:val="333333"/>
          <w:sz w:val="21"/>
          <w:szCs w:val="21"/>
        </w:rPr>
        <w:t xml:space="preserve"> were assumed to have data missing at random and were excluded.</w:t>
      </w:r>
    </w:p>
    <w:p w:rsidR="00B51215" w:rsidRPr="00E41B66" w:rsidRDefault="00177774">
      <w:pPr>
        <w:pStyle w:val="NormalWeb"/>
        <w:divId w:val="249125579"/>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A pre-registered protocol for this study can be found in </w:t>
      </w:r>
      <w:r w:rsidRPr="00E41B66">
        <w:rPr>
          <w:rStyle w:val="citation"/>
          <w:rFonts w:asciiTheme="majorHAnsi" w:hAnsiTheme="majorHAnsi" w:cstheme="majorHAnsi"/>
          <w:color w:val="333333"/>
          <w:sz w:val="21"/>
          <w:szCs w:val="21"/>
        </w:rPr>
        <w:t>[</w:t>
      </w:r>
      <w:hyperlink w:anchor="ref-Dutey2018" w:history="1">
        <w:r w:rsidRPr="00E41B66">
          <w:rPr>
            <w:rStyle w:val="Hyperlink"/>
            <w:rFonts w:asciiTheme="majorHAnsi" w:hAnsiTheme="majorHAnsi" w:cstheme="majorHAnsi"/>
            <w:sz w:val="21"/>
            <w:szCs w:val="21"/>
          </w:rPr>
          <w:t>31</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w:t>
      </w:r>
    </w:p>
    <w:p w:rsidR="00B51215" w:rsidRPr="00E41B66" w:rsidRDefault="00177774" w:rsidP="00E41B66">
      <w:pPr>
        <w:pStyle w:val="Heading2"/>
        <w:divId w:val="976642291"/>
        <w:rPr>
          <w:sz w:val="45"/>
        </w:rPr>
      </w:pPr>
      <w:r w:rsidRPr="00E41B66">
        <w:rPr>
          <w:rStyle w:val="header-section-number"/>
        </w:rPr>
        <w:t>2.4</w:t>
      </w:r>
      <w:r w:rsidRPr="00E41B66">
        <w:t xml:space="preserve"> Study 2: Concurrent validity in hospital outpatients</w:t>
      </w:r>
    </w:p>
    <w:p w:rsidR="00B51215" w:rsidRPr="00E41B66" w:rsidRDefault="00177774">
      <w:pPr>
        <w:pStyle w:val="NormalWeb"/>
        <w:divId w:val="976642291"/>
        <w:rPr>
          <w:rFonts w:asciiTheme="majorHAnsi" w:hAnsiTheme="majorHAnsi" w:cstheme="majorHAnsi"/>
          <w:color w:val="333333"/>
          <w:sz w:val="21"/>
          <w:szCs w:val="21"/>
        </w:rPr>
      </w:pPr>
      <w:r w:rsidRPr="00E41B66">
        <w:rPr>
          <w:rFonts w:asciiTheme="majorHAnsi" w:hAnsiTheme="majorHAnsi" w:cstheme="majorHAnsi"/>
          <w:color w:val="333333"/>
          <w:sz w:val="21"/>
          <w:szCs w:val="21"/>
        </w:rPr>
        <w:lastRenderedPageBreak/>
        <w:t>A second study aims to confirm the robustness of findings in (a) a patient population; (b) when the Extended AUDIT-C is self-administered; (c) using a different gold standard: the 28-day TLFB.</w:t>
      </w:r>
    </w:p>
    <w:p w:rsidR="00B51215" w:rsidRPr="00E41B66" w:rsidRDefault="00177774">
      <w:pPr>
        <w:pStyle w:val="NormalWeb"/>
        <w:divId w:val="976642291"/>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Participants were recruited from a range of clinics at a large acute hospital in Southampton, UK: orthopaedics outpatient, endoscopy day cases, young adult outpatient, </w:t>
      </w:r>
      <w:proofErr w:type="gramStart"/>
      <w:r w:rsidRPr="00E41B66">
        <w:rPr>
          <w:rFonts w:asciiTheme="majorHAnsi" w:hAnsiTheme="majorHAnsi" w:cstheme="majorHAnsi"/>
          <w:color w:val="333333"/>
          <w:sz w:val="21"/>
          <w:szCs w:val="21"/>
        </w:rPr>
        <w:t>infusion ???.</w:t>
      </w:r>
      <w:proofErr w:type="gramEnd"/>
      <w:r w:rsidRPr="00E41B66">
        <w:rPr>
          <w:rFonts w:asciiTheme="majorHAnsi" w:hAnsiTheme="majorHAnsi" w:cstheme="majorHAnsi"/>
          <w:color w:val="333333"/>
          <w:sz w:val="21"/>
          <w:szCs w:val="21"/>
        </w:rPr>
        <w:t xml:space="preserve"> Participants were randomised to one of two groups:</w:t>
      </w:r>
    </w:p>
    <w:p w:rsidR="00B51215" w:rsidRPr="00E41B66" w:rsidRDefault="00177774">
      <w:pPr>
        <w:numPr>
          <w:ilvl w:val="0"/>
          <w:numId w:val="5"/>
        </w:numPr>
        <w:spacing w:before="100" w:beforeAutospacing="1" w:after="100" w:afterAutospacing="1"/>
        <w:divId w:val="976642291"/>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self-administered Extended AUDIT-C</w:t>
      </w:r>
    </w:p>
    <w:p w:rsidR="00B51215" w:rsidRPr="00E41B66" w:rsidRDefault="00177774">
      <w:pPr>
        <w:numPr>
          <w:ilvl w:val="0"/>
          <w:numId w:val="5"/>
        </w:numPr>
        <w:spacing w:before="100" w:beforeAutospacing="1" w:after="100" w:afterAutospacing="1"/>
        <w:divId w:val="976642291"/>
        <w:rPr>
          <w:rFonts w:asciiTheme="majorHAnsi" w:eastAsia="Times New Roman" w:hAnsiTheme="majorHAnsi" w:cstheme="majorHAnsi"/>
          <w:color w:val="333333"/>
          <w:sz w:val="21"/>
          <w:szCs w:val="21"/>
        </w:rPr>
      </w:pPr>
      <w:proofErr w:type="gramStart"/>
      <w:r w:rsidRPr="00E41B66">
        <w:rPr>
          <w:rFonts w:asciiTheme="majorHAnsi" w:eastAsia="Times New Roman" w:hAnsiTheme="majorHAnsi" w:cstheme="majorHAnsi"/>
          <w:color w:val="333333"/>
          <w:sz w:val="21"/>
          <w:szCs w:val="21"/>
        </w:rPr>
        <w:t>researcher-administered</w:t>
      </w:r>
      <w:proofErr w:type="gramEnd"/>
      <w:r w:rsidRPr="00E41B66">
        <w:rPr>
          <w:rFonts w:asciiTheme="majorHAnsi" w:eastAsia="Times New Roman" w:hAnsiTheme="majorHAnsi" w:cstheme="majorHAnsi"/>
          <w:color w:val="333333"/>
          <w:sz w:val="21"/>
          <w:szCs w:val="21"/>
        </w:rPr>
        <w:t xml:space="preserve"> Extended AUDIT-C using block randomisation.</w:t>
      </w:r>
    </w:p>
    <w:p w:rsidR="00B51215" w:rsidRPr="00E41B66" w:rsidRDefault="00177774">
      <w:pPr>
        <w:pStyle w:val="NormalWeb"/>
        <w:divId w:val="976642291"/>
        <w:rPr>
          <w:rFonts w:asciiTheme="majorHAnsi" w:hAnsiTheme="majorHAnsi" w:cstheme="majorHAnsi"/>
          <w:color w:val="333333"/>
          <w:sz w:val="21"/>
          <w:szCs w:val="21"/>
        </w:rPr>
      </w:pPr>
      <w:r w:rsidRPr="00E41B66">
        <w:rPr>
          <w:rFonts w:asciiTheme="majorHAnsi" w:hAnsiTheme="majorHAnsi" w:cstheme="majorHAnsi"/>
          <w:color w:val="333333"/>
          <w:sz w:val="21"/>
          <w:szCs w:val="21"/>
        </w:rPr>
        <w:t>A total of 130 participants were recruited in hospital clinics, with data successfully collected on the Extended AUDIT-C for 81% of participants (</w:t>
      </w:r>
      <w:r w:rsidRPr="00E41B66">
        <w:rPr>
          <w:rStyle w:val="math"/>
          <w:rFonts w:asciiTheme="majorHAnsi" w:hAnsiTheme="majorHAnsi" w:cstheme="majorHAnsi"/>
          <w:color w:val="333333"/>
          <w:sz w:val="21"/>
          <w:szCs w:val="21"/>
        </w:rPr>
        <w:t>\(n\)</w:t>
      </w:r>
      <w:r w:rsidRPr="00E41B66">
        <w:rPr>
          <w:rFonts w:asciiTheme="majorHAnsi" w:hAnsiTheme="majorHAnsi" w:cstheme="majorHAnsi"/>
          <w:color w:val="333333"/>
          <w:sz w:val="21"/>
          <w:szCs w:val="21"/>
        </w:rPr>
        <w:t xml:space="preserve"> = 105). The Extended AUDIT-C was administered first, with 44 participants randomised to self-administration using a pen and paper form, while the remaining 61 were administered by a researcher.</w:t>
      </w:r>
    </w:p>
    <w:p w:rsidR="00B51215" w:rsidRPr="00E41B66" w:rsidRDefault="00177774">
      <w:pPr>
        <w:pStyle w:val="NormalWeb"/>
        <w:divId w:val="976642291"/>
        <w:rPr>
          <w:rFonts w:asciiTheme="majorHAnsi" w:hAnsiTheme="majorHAnsi" w:cstheme="majorHAnsi"/>
          <w:color w:val="333333"/>
          <w:sz w:val="21"/>
          <w:szCs w:val="21"/>
        </w:rPr>
      </w:pPr>
      <w:r w:rsidRPr="00E41B66">
        <w:rPr>
          <w:rFonts w:asciiTheme="majorHAnsi" w:hAnsiTheme="majorHAnsi" w:cstheme="majorHAnsi"/>
          <w:color w:val="333333"/>
          <w:sz w:val="21"/>
          <w:szCs w:val="21"/>
        </w:rPr>
        <w:t>Once this first questionnaire completed, both groups were asked to complete a 28-day alcohol TFLB questionnaire administered by the researcher.</w:t>
      </w:r>
    </w:p>
    <w:p w:rsidR="00B51215" w:rsidRPr="00E41B66" w:rsidRDefault="00177774">
      <w:pPr>
        <w:pStyle w:val="NormalWeb"/>
        <w:divId w:val="976642291"/>
        <w:rPr>
          <w:rFonts w:asciiTheme="majorHAnsi" w:hAnsiTheme="majorHAnsi" w:cstheme="majorHAnsi"/>
          <w:color w:val="333333"/>
          <w:sz w:val="21"/>
          <w:szCs w:val="21"/>
        </w:rPr>
      </w:pPr>
      <w:r w:rsidRPr="00E41B66">
        <w:rPr>
          <w:rFonts w:asciiTheme="majorHAnsi" w:hAnsiTheme="majorHAnsi" w:cstheme="majorHAnsi"/>
          <w:color w:val="333333"/>
          <w:sz w:val="21"/>
          <w:szCs w:val="21"/>
        </w:rPr>
        <w:t>To model the relationship between the EWAC and the TLFB, the number of units consumed on any day was assumed to follow a negative binomial distribution, the rate of which is determined by the latent usual alcohol consumption as well as the following variables: AUDIT mode of administration (self-administered; researcher-administered), week day, number of days elapsed since (1-7; 8-14; 15-21; 22-28). TLFB daily number of units consumed were rounded to the nearest integer and regressed in a negative binomial regression model against the aforementioned predictor, as well as the EWAC divided by 7 to obtain its daily equivalent. The corresponding regression coefficient measures the ratio of TLFB to EWAC.</w:t>
      </w:r>
    </w:p>
    <w:p w:rsidR="00B51215" w:rsidRPr="00E41B66" w:rsidRDefault="00177774" w:rsidP="00E41B66">
      <w:pPr>
        <w:pStyle w:val="Heading2"/>
        <w:divId w:val="1866865118"/>
        <w:rPr>
          <w:sz w:val="45"/>
        </w:rPr>
      </w:pPr>
      <w:r w:rsidRPr="00E41B66">
        <w:rPr>
          <w:rStyle w:val="header-section-number"/>
        </w:rPr>
        <w:t>2.5</w:t>
      </w:r>
      <w:r w:rsidRPr="00E41B66">
        <w:t xml:space="preserve"> Study 3: Aggregate concurrent validity</w:t>
      </w:r>
    </w:p>
    <w:p w:rsidR="00B51215" w:rsidRPr="00E41B66" w:rsidRDefault="00177774">
      <w:pPr>
        <w:pStyle w:val="NormalWeb"/>
        <w:divId w:val="1866865118"/>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We examine the aggregate consistency in alcohol consumption estimates across all residents of England aged 18 years and over by plotting the empirical cumulative distribution of alcohol consumption given by (1) the EWAC estimated from the ATS; (2) the quantity-frequency estimated in the ATS; (3) the beverage-specific estimators in HSE in 2011; (4) the prospective diary estimator in HSE 2011. In this analysis, survey weights are used: in (1-3), </w:t>
      </w:r>
      <w:proofErr w:type="spellStart"/>
      <w:r w:rsidRPr="00E41B66">
        <w:rPr>
          <w:rFonts w:asciiTheme="majorHAnsi" w:hAnsiTheme="majorHAnsi" w:cstheme="majorHAnsi"/>
          <w:color w:val="333333"/>
          <w:sz w:val="21"/>
          <w:szCs w:val="21"/>
        </w:rPr>
        <w:t>poststratification</w:t>
      </w:r>
      <w:proofErr w:type="spellEnd"/>
      <w:r w:rsidRPr="00E41B66">
        <w:rPr>
          <w:rFonts w:asciiTheme="majorHAnsi" w:hAnsiTheme="majorHAnsi" w:cstheme="majorHAnsi"/>
          <w:color w:val="333333"/>
          <w:sz w:val="21"/>
          <w:szCs w:val="21"/>
        </w:rPr>
        <w:t xml:space="preserve"> weights estimated using calibration and age-sex MYPES; in (4), similar </w:t>
      </w:r>
      <w:proofErr w:type="spellStart"/>
      <w:r w:rsidRPr="00E41B66">
        <w:rPr>
          <w:rFonts w:asciiTheme="majorHAnsi" w:hAnsiTheme="majorHAnsi" w:cstheme="majorHAnsi"/>
          <w:color w:val="333333"/>
          <w:sz w:val="21"/>
          <w:szCs w:val="21"/>
        </w:rPr>
        <w:t>postratification</w:t>
      </w:r>
      <w:proofErr w:type="spellEnd"/>
      <w:r w:rsidRPr="00E41B66">
        <w:rPr>
          <w:rFonts w:asciiTheme="majorHAnsi" w:hAnsiTheme="majorHAnsi" w:cstheme="majorHAnsi"/>
          <w:color w:val="333333"/>
          <w:sz w:val="21"/>
          <w:szCs w:val="21"/>
        </w:rPr>
        <w:t xml:space="preserve"> weights adjusted for self-selection into participation to the prospective diary data collection. Finally, we examine the percentage of total alcohol sales for England accounted for by each method. Alcohol sales (both on-trade and off-trade) estimates for England (population aged 18 years and over) in 2014 were obtained from Public Health England </w:t>
      </w:r>
      <w:r w:rsidRPr="00E41B66">
        <w:rPr>
          <w:rStyle w:val="citation"/>
          <w:rFonts w:asciiTheme="majorHAnsi" w:hAnsiTheme="majorHAnsi" w:cstheme="majorHAnsi"/>
          <w:color w:val="333333"/>
          <w:sz w:val="21"/>
          <w:szCs w:val="21"/>
        </w:rPr>
        <w:t>[</w:t>
      </w:r>
      <w:hyperlink w:anchor="ref-PHE2017" w:history="1">
        <w:r w:rsidRPr="00E41B66">
          <w:rPr>
            <w:rStyle w:val="Hyperlink"/>
            <w:rFonts w:asciiTheme="majorHAnsi" w:hAnsiTheme="majorHAnsi" w:cstheme="majorHAnsi"/>
            <w:sz w:val="21"/>
            <w:szCs w:val="21"/>
          </w:rPr>
          <w:t>29</w:t>
        </w:r>
      </w:hyperlink>
      <w:r w:rsidRPr="00E41B66">
        <w:rPr>
          <w:rStyle w:val="citation"/>
          <w:rFonts w:asciiTheme="majorHAnsi" w:hAnsiTheme="majorHAnsi" w:cstheme="majorHAnsi"/>
          <w:color w:val="333333"/>
          <w:sz w:val="21"/>
          <w:szCs w:val="21"/>
        </w:rPr>
        <w:t>]</w:t>
      </w:r>
      <w:r w:rsidRPr="00E41B66">
        <w:rPr>
          <w:rFonts w:asciiTheme="majorHAnsi" w:hAnsiTheme="majorHAnsi" w:cstheme="majorHAnsi"/>
          <w:color w:val="333333"/>
          <w:sz w:val="21"/>
          <w:szCs w:val="21"/>
        </w:rPr>
        <w:t>.</w:t>
      </w:r>
    </w:p>
    <w:p w:rsidR="00B51215" w:rsidRPr="00E41B66" w:rsidRDefault="00177774" w:rsidP="00E41B66">
      <w:pPr>
        <w:pStyle w:val="Heading1"/>
        <w:divId w:val="1245066997"/>
        <w:rPr>
          <w:sz w:val="51"/>
        </w:rPr>
      </w:pPr>
      <w:r w:rsidRPr="00E41B66">
        <w:rPr>
          <w:rStyle w:val="header-section-number"/>
        </w:rPr>
        <w:t>3</w:t>
      </w:r>
      <w:r w:rsidRPr="00E41B66">
        <w:t xml:space="preserve"> Results</w:t>
      </w:r>
    </w:p>
    <w:p w:rsidR="00B51215" w:rsidRPr="00E41B66" w:rsidRDefault="00177774" w:rsidP="00E41B66">
      <w:pPr>
        <w:pStyle w:val="Heading2"/>
        <w:divId w:val="1245066997"/>
      </w:pPr>
      <w:r w:rsidRPr="00E41B66">
        <w:rPr>
          <w:rStyle w:val="header-section-number"/>
        </w:rPr>
        <w:t>3.1</w:t>
      </w:r>
      <w:r w:rsidRPr="00E41B66">
        <w:t xml:space="preserve"> Study 1: EWAC estimation and validation</w:t>
      </w:r>
    </w:p>
    <w:p w:rsidR="00B51215" w:rsidRPr="00E41B66" w:rsidRDefault="00177774">
      <w:pPr>
        <w:pStyle w:val="Heading3"/>
        <w:divId w:val="1628394068"/>
        <w:rPr>
          <w:rFonts w:asciiTheme="majorHAnsi" w:eastAsia="Times New Roman" w:hAnsiTheme="majorHAnsi" w:cstheme="majorHAnsi"/>
          <w:color w:val="333333"/>
        </w:rPr>
      </w:pPr>
      <w:r w:rsidRPr="00E41B66">
        <w:rPr>
          <w:rStyle w:val="header-section-number"/>
          <w:rFonts w:asciiTheme="majorHAnsi" w:eastAsia="Times New Roman" w:hAnsiTheme="majorHAnsi" w:cstheme="majorHAnsi"/>
          <w:color w:val="333333"/>
        </w:rPr>
        <w:t>3.1.1</w:t>
      </w:r>
      <w:r w:rsidRPr="00E41B66">
        <w:rPr>
          <w:rFonts w:asciiTheme="majorHAnsi" w:eastAsia="Times New Roman" w:hAnsiTheme="majorHAnsi" w:cstheme="majorHAnsi"/>
          <w:color w:val="333333"/>
        </w:rPr>
        <w:t xml:space="preserve"> Overall bias and accuracy</w:t>
      </w:r>
    </w:p>
    <w:p w:rsidR="00B51215" w:rsidRPr="00E41B66" w:rsidRDefault="00177774">
      <w:pPr>
        <w:pStyle w:val="NormalWeb"/>
        <w:divId w:val="1628394068"/>
        <w:rPr>
          <w:rFonts w:asciiTheme="majorHAnsi" w:hAnsiTheme="majorHAnsi" w:cstheme="majorHAnsi"/>
          <w:color w:val="333333"/>
          <w:sz w:val="21"/>
          <w:szCs w:val="21"/>
        </w:rPr>
      </w:pPr>
      <w:r w:rsidRPr="00E41B66">
        <w:rPr>
          <w:rFonts w:asciiTheme="majorHAnsi" w:hAnsiTheme="majorHAnsi" w:cstheme="majorHAnsi"/>
          <w:color w:val="333333"/>
          <w:sz w:val="21"/>
          <w:szCs w:val="21"/>
        </w:rPr>
        <w:t>The first step involved choosing a set of coefficients to compute the EWAC (see supplementary materials 1).</w:t>
      </w:r>
    </w:p>
    <w:p w:rsidR="00B51215" w:rsidRPr="00E41B66" w:rsidRDefault="00177774">
      <w:pPr>
        <w:pStyle w:val="NormalWeb"/>
        <w:divId w:val="1628394068"/>
        <w:rPr>
          <w:rFonts w:asciiTheme="majorHAnsi" w:hAnsiTheme="majorHAnsi" w:cstheme="majorHAnsi"/>
          <w:color w:val="333333"/>
          <w:sz w:val="21"/>
          <w:szCs w:val="21"/>
        </w:rPr>
      </w:pPr>
      <w:r w:rsidRPr="00E41B66">
        <w:rPr>
          <w:rFonts w:asciiTheme="majorHAnsi" w:hAnsiTheme="majorHAnsi" w:cstheme="majorHAnsi"/>
          <w:color w:val="333333"/>
          <w:sz w:val="21"/>
          <w:szCs w:val="21"/>
        </w:rPr>
        <w:t>The EWAC computed with the midpoint of the AUDIT item intervals produces a mean deviation (MD) of 0.71 UK alcohol units/week, indicating a bias inferior to the preregistered +/- 1-unit bias allowance (</w:t>
      </w:r>
      <w:r w:rsidRPr="00E41B66">
        <w:rPr>
          <w:rStyle w:val="math"/>
          <w:rFonts w:asciiTheme="majorHAnsi" w:hAnsiTheme="majorHAnsi" w:cstheme="majorHAnsi"/>
          <w:color w:val="333333"/>
          <w:sz w:val="21"/>
          <w:szCs w:val="21"/>
        </w:rPr>
        <w:t>\(p\)</w:t>
      </w:r>
      <w:r w:rsidRPr="00E41B66">
        <w:rPr>
          <w:rFonts w:asciiTheme="majorHAnsi" w:hAnsiTheme="majorHAnsi" w:cstheme="majorHAnsi"/>
          <w:color w:val="333333"/>
          <w:sz w:val="21"/>
          <w:szCs w:val="21"/>
        </w:rPr>
        <w:t xml:space="preserve"> = 1.000). The root mean squared deviation (RMSD) estimate of 12.3 units [95% CI: 11.2;13.2] is significantly greater than the pre-registered 2-unit total error allowance (</w:t>
      </w:r>
      <w:r w:rsidRPr="00E41B66">
        <w:rPr>
          <w:rStyle w:val="math"/>
          <w:rFonts w:asciiTheme="majorHAnsi" w:hAnsiTheme="majorHAnsi" w:cstheme="majorHAnsi"/>
          <w:color w:val="333333"/>
          <w:sz w:val="21"/>
          <w:szCs w:val="21"/>
        </w:rPr>
        <w:t>\(p\)</w:t>
      </w:r>
      <w:r w:rsidRPr="00E41B66">
        <w:rPr>
          <w:rFonts w:asciiTheme="majorHAnsi" w:hAnsiTheme="majorHAnsi" w:cstheme="majorHAnsi"/>
          <w:color w:val="333333"/>
          <w:sz w:val="21"/>
          <w:szCs w:val="21"/>
        </w:rPr>
        <w:t xml:space="preserve"> &lt; 0.001), suggesting that the EWAC falls on average 12 units away from the GF gold standard.</w:t>
      </w:r>
    </w:p>
    <w:p w:rsidR="00B51215" w:rsidRPr="00E41B66" w:rsidRDefault="00177774">
      <w:pPr>
        <w:pStyle w:val="NormalWeb"/>
        <w:divId w:val="1628394068"/>
        <w:rPr>
          <w:rFonts w:asciiTheme="majorHAnsi" w:hAnsiTheme="majorHAnsi" w:cstheme="majorHAnsi"/>
          <w:color w:val="333333"/>
          <w:sz w:val="21"/>
          <w:szCs w:val="21"/>
        </w:rPr>
      </w:pPr>
      <w:r w:rsidRPr="00E41B66">
        <w:rPr>
          <w:rFonts w:asciiTheme="majorHAnsi" w:hAnsiTheme="majorHAnsi" w:cstheme="majorHAnsi"/>
          <w:color w:val="333333"/>
          <w:sz w:val="21"/>
          <w:szCs w:val="21"/>
        </w:rPr>
        <w:t>Coefficients estimated empirically (statistical model reported in supplementary materials 2) provide a small improvement: MD = 0.18 (</w:t>
      </w:r>
      <w:proofErr w:type="gramStart"/>
      <w:r w:rsidRPr="00E41B66">
        <w:rPr>
          <w:rStyle w:val="math"/>
          <w:rFonts w:asciiTheme="majorHAnsi" w:hAnsiTheme="majorHAnsi" w:cstheme="majorHAnsi"/>
          <w:color w:val="333333"/>
          <w:sz w:val="21"/>
          <w:szCs w:val="21"/>
        </w:rPr>
        <w:t>\(</w:t>
      </w:r>
      <w:proofErr w:type="gramEnd"/>
      <w:r w:rsidRPr="00E41B66">
        <w:rPr>
          <w:rStyle w:val="math"/>
          <w:rFonts w:asciiTheme="majorHAnsi" w:hAnsiTheme="majorHAnsi" w:cstheme="majorHAnsi"/>
          <w:color w:val="333333"/>
          <w:sz w:val="21"/>
          <w:szCs w:val="21"/>
        </w:rPr>
        <w:t>p\)</w:t>
      </w:r>
      <w:r w:rsidRPr="00E41B66">
        <w:rPr>
          <w:rFonts w:asciiTheme="majorHAnsi" w:hAnsiTheme="majorHAnsi" w:cstheme="majorHAnsi"/>
          <w:color w:val="333333"/>
          <w:sz w:val="21"/>
          <w:szCs w:val="21"/>
        </w:rPr>
        <w:t xml:space="preserve"> = 1.000). Error remains statistically significantly greater than 2 (</w:t>
      </w:r>
      <w:proofErr w:type="gramStart"/>
      <w:r w:rsidRPr="00E41B66">
        <w:rPr>
          <w:rStyle w:val="math"/>
          <w:rFonts w:asciiTheme="majorHAnsi" w:hAnsiTheme="majorHAnsi" w:cstheme="majorHAnsi"/>
          <w:color w:val="333333"/>
          <w:sz w:val="21"/>
          <w:szCs w:val="21"/>
        </w:rPr>
        <w:t>\(</w:t>
      </w:r>
      <w:proofErr w:type="gramEnd"/>
      <w:r w:rsidRPr="00E41B66">
        <w:rPr>
          <w:rStyle w:val="math"/>
          <w:rFonts w:asciiTheme="majorHAnsi" w:hAnsiTheme="majorHAnsi" w:cstheme="majorHAnsi"/>
          <w:color w:val="333333"/>
          <w:sz w:val="21"/>
          <w:szCs w:val="21"/>
        </w:rPr>
        <w:t>p\)</w:t>
      </w:r>
      <w:r w:rsidRPr="00E41B66">
        <w:rPr>
          <w:rFonts w:asciiTheme="majorHAnsi" w:hAnsiTheme="majorHAnsi" w:cstheme="majorHAnsi"/>
          <w:color w:val="333333"/>
          <w:sz w:val="21"/>
          <w:szCs w:val="21"/>
        </w:rPr>
        <w:t xml:space="preserve"> &lt; 0.001) with RMSD = 10.9 [95% CI: 9.8;12].</w:t>
      </w:r>
    </w:p>
    <w:p w:rsidR="00B51215" w:rsidRPr="00E41B66" w:rsidRDefault="00177774">
      <w:pPr>
        <w:pStyle w:val="NormalWeb"/>
        <w:divId w:val="1628394068"/>
        <w:rPr>
          <w:rFonts w:asciiTheme="majorHAnsi" w:hAnsiTheme="majorHAnsi" w:cstheme="majorHAnsi"/>
          <w:color w:val="333333"/>
          <w:sz w:val="21"/>
          <w:szCs w:val="21"/>
        </w:rPr>
      </w:pPr>
      <w:r w:rsidRPr="00E41B66">
        <w:rPr>
          <w:rFonts w:asciiTheme="majorHAnsi" w:hAnsiTheme="majorHAnsi" w:cstheme="majorHAnsi"/>
          <w:color w:val="333333"/>
          <w:sz w:val="21"/>
          <w:szCs w:val="21"/>
        </w:rPr>
        <w:lastRenderedPageBreak/>
        <w:t>The RMSD masks a dispersed and skewed error pattern. Table 3 shows that, for 50% of participants, the EWAC falls within +/- 2 UK units of the GF weekly consumption estimate. In other terms, an interval estimate defined as the EWAC +/- 2 units (</w:t>
      </w:r>
      <w:proofErr w:type="spellStart"/>
      <w:r w:rsidRPr="00E41B66">
        <w:rPr>
          <w:rFonts w:asciiTheme="majorHAnsi" w:hAnsiTheme="majorHAnsi" w:cstheme="majorHAnsi"/>
          <w:color w:val="333333"/>
          <w:sz w:val="21"/>
          <w:szCs w:val="21"/>
        </w:rPr>
        <w:t>eg</w:t>
      </w:r>
      <w:proofErr w:type="spellEnd"/>
      <w:r w:rsidRPr="00E41B66">
        <w:rPr>
          <w:rFonts w:asciiTheme="majorHAnsi" w:hAnsiTheme="majorHAnsi" w:cstheme="majorHAnsi"/>
          <w:color w:val="333333"/>
          <w:sz w:val="21"/>
          <w:szCs w:val="21"/>
        </w:rPr>
        <w:t xml:space="preserve"> ‘10 to 14 units’) would be accurate for half of individuals, while an interval estimate defined as the EWAC +/- 3 units (</w:t>
      </w:r>
      <w:proofErr w:type="spellStart"/>
      <w:r w:rsidRPr="00E41B66">
        <w:rPr>
          <w:rFonts w:asciiTheme="majorHAnsi" w:hAnsiTheme="majorHAnsi" w:cstheme="majorHAnsi"/>
          <w:color w:val="333333"/>
          <w:sz w:val="21"/>
          <w:szCs w:val="21"/>
        </w:rPr>
        <w:t>eg</w:t>
      </w:r>
      <w:proofErr w:type="spellEnd"/>
      <w:r w:rsidRPr="00E41B66">
        <w:rPr>
          <w:rFonts w:asciiTheme="majorHAnsi" w:hAnsiTheme="majorHAnsi" w:cstheme="majorHAnsi"/>
          <w:color w:val="333333"/>
          <w:sz w:val="21"/>
          <w:szCs w:val="21"/>
        </w:rPr>
        <w:t xml:space="preserve"> ‘9 to 15 units’) would be accurate for 60% of individuals.</w:t>
      </w:r>
    </w:p>
    <w:p w:rsidR="00B51215" w:rsidRDefault="00177774">
      <w:pPr>
        <w:pStyle w:val="NormalWeb"/>
        <w:divId w:val="1628394068"/>
        <w:rPr>
          <w:rFonts w:asciiTheme="majorHAnsi" w:hAnsiTheme="majorHAnsi" w:cstheme="majorHAnsi"/>
          <w:color w:val="333333"/>
          <w:sz w:val="21"/>
          <w:szCs w:val="21"/>
        </w:rPr>
      </w:pPr>
      <w:r w:rsidRPr="00E41B66">
        <w:rPr>
          <w:rFonts w:asciiTheme="majorHAnsi" w:hAnsiTheme="majorHAnsi" w:cstheme="majorHAnsi"/>
          <w:color w:val="333333"/>
          <w:sz w:val="21"/>
          <w:szCs w:val="21"/>
        </w:rPr>
        <w:t>Table 3: Percentiles of the absolute deviation between EWAC and GF schedule (n = 22404)</w:t>
      </w:r>
    </w:p>
    <w:p w:rsidR="0040238B" w:rsidRPr="0040238B" w:rsidRDefault="0040238B" w:rsidP="0040238B">
      <w:pPr>
        <w:pStyle w:val="SourceCode"/>
        <w:divId w:val="1628394068"/>
        <w:rPr>
          <w:rFonts w:ascii="Consolas" w:hAnsi="Consolas"/>
        </w:rPr>
      </w:pPr>
      <w:r w:rsidRPr="0040238B">
        <w:rPr>
          <w:rFonts w:ascii="Consolas" w:hAnsi="Consolas"/>
        </w:rPr>
        <w:t xml:space="preserve">  `10%` `20%` `30%` `40%` `50%` `60%` `70%` `80%` `90%` `95%` `99%`</w:t>
      </w:r>
      <w:r w:rsidRPr="0040238B">
        <w:rPr>
          <w:rFonts w:ascii="Consolas" w:hAnsi="Consolas"/>
        </w:rPr>
        <w:br/>
        <w:t xml:space="preserve">   0.4   0.7     1   1.5   2.1     3   4.2   6.2  10.6    17  38.7</w:t>
      </w:r>
    </w:p>
    <w:p w:rsidR="009951AC" w:rsidRPr="00E41B66" w:rsidRDefault="009951AC">
      <w:pPr>
        <w:pStyle w:val="NormalWeb"/>
        <w:divId w:val="1628394068"/>
        <w:rPr>
          <w:rFonts w:asciiTheme="majorHAnsi" w:hAnsiTheme="majorHAnsi" w:cstheme="majorHAnsi"/>
          <w:color w:val="333333"/>
          <w:sz w:val="21"/>
          <w:szCs w:val="21"/>
        </w:rPr>
      </w:pPr>
    </w:p>
    <w:p w:rsidR="00B51215" w:rsidRPr="00E41B66" w:rsidRDefault="00177774">
      <w:pPr>
        <w:pStyle w:val="NormalWeb"/>
        <w:divId w:val="1628394068"/>
        <w:rPr>
          <w:rFonts w:asciiTheme="majorHAnsi" w:hAnsiTheme="majorHAnsi" w:cstheme="majorHAnsi"/>
          <w:color w:val="333333"/>
          <w:sz w:val="21"/>
          <w:szCs w:val="21"/>
        </w:rPr>
      </w:pPr>
      <w:r w:rsidRPr="00E41B66">
        <w:rPr>
          <w:rFonts w:asciiTheme="majorHAnsi" w:hAnsiTheme="majorHAnsi" w:cstheme="majorHAnsi"/>
          <w:color w:val="333333"/>
          <w:sz w:val="21"/>
          <w:szCs w:val="21"/>
        </w:rPr>
        <w:t>Figure 1 compares individual EWAC and GF values. We note the departure of lines of best fit from the diagonal, demonstrating the EWAC’s small but consistent positive bias (MD &gt; 0). This discrepancy is more severe beyond 25 units per week.</w:t>
      </w:r>
    </w:p>
    <w:p w:rsidR="00B51215" w:rsidRPr="00E41B66" w:rsidRDefault="00177774">
      <w:pPr>
        <w:pStyle w:val="NormalWeb"/>
        <w:divId w:val="1628394068"/>
        <w:rPr>
          <w:rFonts w:asciiTheme="majorHAnsi" w:hAnsiTheme="majorHAnsi" w:cstheme="majorHAnsi"/>
          <w:color w:val="333333"/>
          <w:sz w:val="21"/>
          <w:szCs w:val="21"/>
        </w:rPr>
      </w:pPr>
      <w:r w:rsidRPr="00E41B66">
        <w:rPr>
          <w:rFonts w:asciiTheme="majorHAnsi" w:eastAsiaTheme="minorHAnsi" w:hAnsiTheme="majorHAnsi" w:cstheme="majorHAnsi"/>
          <w:noProof/>
        </w:rPr>
        <w:drawing>
          <wp:inline distT="0" distB="0" distL="0" distR="0">
            <wp:extent cx="6153150" cy="2962275"/>
            <wp:effectExtent l="0" t="0" r="0" b="9525"/>
            <wp:docPr id="2" name="Picture 2" descr="C:\Users\sejjpfd\AppData\Local\Microsoft\Windows\INetCache\Content.MSO\2B1D91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jjpfd\AppData\Local\Microsoft\Windows\INetCache\Content.MSO\2B1D9170.tmp"/>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618" r="9269" b="7022"/>
                    <a:stretch/>
                  </pic:blipFill>
                  <pic:spPr bwMode="auto">
                    <a:xfrm>
                      <a:off x="0" y="0"/>
                      <a:ext cx="6154300" cy="2962829"/>
                    </a:xfrm>
                    <a:prstGeom prst="rect">
                      <a:avLst/>
                    </a:prstGeom>
                    <a:noFill/>
                    <a:ln>
                      <a:noFill/>
                    </a:ln>
                    <a:extLst>
                      <a:ext uri="{53640926-AAD7-44D8-BBD7-CCE9431645EC}">
                        <a14:shadowObscured xmlns:a14="http://schemas.microsoft.com/office/drawing/2010/main"/>
                      </a:ext>
                    </a:extLst>
                  </pic:spPr>
                </pic:pic>
              </a:graphicData>
            </a:graphic>
          </wp:inline>
        </w:drawing>
      </w:r>
    </w:p>
    <w:p w:rsidR="00B51215" w:rsidRPr="00E41B66" w:rsidRDefault="00177774">
      <w:pPr>
        <w:pStyle w:val="NormalWeb"/>
        <w:divId w:val="1628394068"/>
        <w:rPr>
          <w:rFonts w:asciiTheme="majorHAnsi" w:hAnsiTheme="majorHAnsi" w:cstheme="majorHAnsi"/>
          <w:color w:val="333333"/>
          <w:sz w:val="21"/>
          <w:szCs w:val="21"/>
        </w:rPr>
      </w:pPr>
      <w:r w:rsidRPr="00E41B66">
        <w:rPr>
          <w:rFonts w:asciiTheme="majorHAnsi" w:hAnsiTheme="majorHAnsi" w:cstheme="majorHAnsi"/>
          <w:color w:val="333333"/>
          <w:sz w:val="21"/>
          <w:szCs w:val="21"/>
        </w:rPr>
        <w:t>Figure 1: Plots of EWAC against GF in (a) low/increasing risk ATS respondents (n=21,338) and (b) all ATS respondents (n=22,373)</w:t>
      </w:r>
    </w:p>
    <w:p w:rsidR="00B51215" w:rsidRPr="00E41B66" w:rsidRDefault="00177774">
      <w:pPr>
        <w:pStyle w:val="Heading3"/>
        <w:divId w:val="142476083"/>
        <w:rPr>
          <w:rFonts w:asciiTheme="majorHAnsi" w:eastAsia="Times New Roman" w:hAnsiTheme="majorHAnsi" w:cstheme="majorHAnsi"/>
          <w:color w:val="333333"/>
          <w:sz w:val="36"/>
        </w:rPr>
      </w:pPr>
      <w:r w:rsidRPr="00E41B66">
        <w:rPr>
          <w:rStyle w:val="header-section-number"/>
          <w:rFonts w:asciiTheme="majorHAnsi" w:eastAsia="Times New Roman" w:hAnsiTheme="majorHAnsi" w:cstheme="majorHAnsi"/>
          <w:color w:val="333333"/>
        </w:rPr>
        <w:t>3.1.2</w:t>
      </w:r>
      <w:r w:rsidRPr="00E41B66">
        <w:rPr>
          <w:rFonts w:asciiTheme="majorHAnsi" w:eastAsia="Times New Roman" w:hAnsiTheme="majorHAnsi" w:cstheme="majorHAnsi"/>
          <w:color w:val="333333"/>
        </w:rPr>
        <w:t xml:space="preserve"> Subgroup accuracy</w:t>
      </w:r>
    </w:p>
    <w:p w:rsidR="00B51215" w:rsidRPr="00E41B66" w:rsidRDefault="00177774">
      <w:pPr>
        <w:pStyle w:val="NormalWeb"/>
        <w:divId w:val="142476083"/>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Next, the MD and RMSD are regressed against </w:t>
      </w:r>
      <w:proofErr w:type="gramStart"/>
      <w:r w:rsidRPr="00E41B66">
        <w:rPr>
          <w:rFonts w:asciiTheme="majorHAnsi" w:hAnsiTheme="majorHAnsi" w:cstheme="majorHAnsi"/>
          <w:color w:val="333333"/>
          <w:sz w:val="21"/>
          <w:szCs w:val="21"/>
        </w:rPr>
        <w:t>respondents</w:t>
      </w:r>
      <w:proofErr w:type="gramEnd"/>
      <w:r w:rsidRPr="00E41B66">
        <w:rPr>
          <w:rFonts w:asciiTheme="majorHAnsi" w:hAnsiTheme="majorHAnsi" w:cstheme="majorHAnsi"/>
          <w:color w:val="333333"/>
          <w:sz w:val="21"/>
          <w:szCs w:val="21"/>
        </w:rPr>
        <w:t xml:space="preserve"> characteristics in order to identify subgroups with pronounced bias or total error (see supplementary materials 3, Table 7). The model predictors explain a very modest proportion of both MD and RMSD (</w:t>
      </w:r>
      <w:r w:rsidRPr="00E41B66">
        <w:rPr>
          <w:rStyle w:val="math"/>
          <w:rFonts w:asciiTheme="majorHAnsi" w:hAnsiTheme="majorHAnsi" w:cstheme="majorHAnsi"/>
          <w:color w:val="333333"/>
          <w:sz w:val="21"/>
          <w:szCs w:val="21"/>
        </w:rPr>
        <w:t>\(R^2\)</w:t>
      </w:r>
      <w:r w:rsidRPr="00E41B66">
        <w:rPr>
          <w:rFonts w:asciiTheme="majorHAnsi" w:hAnsiTheme="majorHAnsi" w:cstheme="majorHAnsi"/>
          <w:color w:val="333333"/>
          <w:sz w:val="21"/>
          <w:szCs w:val="21"/>
        </w:rPr>
        <w:t xml:space="preserve"> statistics &lt; 2%). Nevertheless, specific subgroups do exhibit very different MD and RMSD.</w:t>
      </w:r>
    </w:p>
    <w:p w:rsidR="00B51215" w:rsidRPr="00E41B66" w:rsidRDefault="00177774">
      <w:pPr>
        <w:pStyle w:val="NormalWeb"/>
        <w:divId w:val="142476083"/>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Figure 6 summarises the MD for a selection of subgroups whose predicted MD was either over 1 or under -1; and whose coefficients had a </w:t>
      </w:r>
      <w:r w:rsidRPr="00E41B66">
        <w:rPr>
          <w:rStyle w:val="math"/>
          <w:rFonts w:asciiTheme="majorHAnsi" w:hAnsiTheme="majorHAnsi" w:cstheme="majorHAnsi"/>
          <w:color w:val="333333"/>
          <w:sz w:val="21"/>
          <w:szCs w:val="21"/>
        </w:rPr>
        <w:t>\(p\)</w:t>
      </w:r>
      <w:r w:rsidRPr="00E41B66">
        <w:rPr>
          <w:rFonts w:asciiTheme="majorHAnsi" w:hAnsiTheme="majorHAnsi" w:cstheme="majorHAnsi"/>
          <w:color w:val="333333"/>
          <w:sz w:val="21"/>
          <w:szCs w:val="21"/>
        </w:rPr>
        <w:t xml:space="preserve">-value under 0.05. The reference category’s key characteristics are: females aged between 25 and 34 years of White ethnicity without educational qualifications, whose reported favourite drink was beer. Respondents of Black; </w:t>
      </w:r>
      <w:proofErr w:type="gramStart"/>
      <w:r w:rsidRPr="00E41B66">
        <w:rPr>
          <w:rFonts w:asciiTheme="majorHAnsi" w:hAnsiTheme="majorHAnsi" w:cstheme="majorHAnsi"/>
          <w:color w:val="333333"/>
          <w:sz w:val="21"/>
          <w:szCs w:val="21"/>
        </w:rPr>
        <w:t>Other</w:t>
      </w:r>
      <w:proofErr w:type="gramEnd"/>
      <w:r w:rsidRPr="00E41B66">
        <w:rPr>
          <w:rFonts w:asciiTheme="majorHAnsi" w:hAnsiTheme="majorHAnsi" w:cstheme="majorHAnsi"/>
          <w:color w:val="333333"/>
          <w:sz w:val="21"/>
          <w:szCs w:val="21"/>
        </w:rPr>
        <w:t>; and White Other ethnic groups had significantly overestimated EWACs: their MDs were respectively 4.8 units [95% CI: 2.1, 7.5]; 5.9 units [1.6, 10.1] and 1.6 [0.2, 3.0] in excess of the reference MD. Respondents aged between 55 and 64 years or 75 years or more respectively had MDs 2.2 units [0.5; 3.9] and 4.2 units [0.9; 7.6] in excess of the reference MD. Evidence of milder–this time negative–bias was also found in respondents reporting any religion other than a Christian or Muslim faith.</w:t>
      </w:r>
    </w:p>
    <w:p w:rsidR="00B51215" w:rsidRPr="00E41B66" w:rsidRDefault="00177774">
      <w:pPr>
        <w:pStyle w:val="NormalWeb"/>
        <w:divId w:val="142476083"/>
        <w:rPr>
          <w:rFonts w:asciiTheme="majorHAnsi" w:hAnsiTheme="majorHAnsi" w:cstheme="majorHAnsi"/>
          <w:color w:val="333333"/>
          <w:sz w:val="21"/>
          <w:szCs w:val="21"/>
        </w:rPr>
      </w:pPr>
      <w:r w:rsidRPr="00E41B66">
        <w:rPr>
          <w:rFonts w:asciiTheme="majorHAnsi" w:eastAsiaTheme="minorHAnsi" w:hAnsiTheme="majorHAnsi" w:cstheme="majorHAnsi"/>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305425" cy="2273754"/>
            <wp:effectExtent l="0" t="0" r="0" b="0"/>
            <wp:wrapTopAndBottom/>
            <wp:docPr id="3" name="Picture 3" descr="C:\Users\sejjpfd\AppData\Local\Microsoft\Windows\INetCache\Content.MSO\2C6302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jjpfd\AppData\Local\Microsoft\Windows\INetCache\Content.MSO\2C6302B1.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5425" cy="22737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215" w:rsidRPr="00E41B66" w:rsidRDefault="00177774">
      <w:pPr>
        <w:pStyle w:val="NormalWeb"/>
        <w:divId w:val="142476083"/>
        <w:rPr>
          <w:rFonts w:asciiTheme="majorHAnsi" w:hAnsiTheme="majorHAnsi" w:cstheme="majorHAnsi"/>
          <w:color w:val="333333"/>
          <w:sz w:val="21"/>
          <w:szCs w:val="21"/>
        </w:rPr>
      </w:pPr>
      <w:r w:rsidRPr="00E41B66">
        <w:rPr>
          <w:rFonts w:asciiTheme="majorHAnsi" w:hAnsiTheme="majorHAnsi" w:cstheme="majorHAnsi"/>
          <w:color w:val="333333"/>
          <w:sz w:val="21"/>
          <w:szCs w:val="21"/>
        </w:rPr>
        <w:t>Figure 2: Forest plot of modelled MD for selected subgroups</w:t>
      </w:r>
    </w:p>
    <w:p w:rsidR="00017E26" w:rsidRDefault="00017E26">
      <w:pPr>
        <w:pStyle w:val="NormalWeb"/>
        <w:divId w:val="142476083"/>
        <w:rPr>
          <w:rFonts w:asciiTheme="majorHAnsi" w:hAnsiTheme="majorHAnsi" w:cstheme="majorHAnsi"/>
          <w:color w:val="333333"/>
          <w:sz w:val="21"/>
          <w:szCs w:val="21"/>
        </w:rPr>
      </w:pPr>
    </w:p>
    <w:p w:rsidR="00B51215" w:rsidRPr="00E41B66" w:rsidRDefault="00177774">
      <w:pPr>
        <w:pStyle w:val="NormalWeb"/>
        <w:divId w:val="142476083"/>
        <w:rPr>
          <w:rFonts w:asciiTheme="majorHAnsi" w:hAnsiTheme="majorHAnsi" w:cstheme="majorHAnsi"/>
          <w:color w:val="333333"/>
          <w:sz w:val="21"/>
          <w:szCs w:val="21"/>
        </w:rPr>
      </w:pPr>
      <w:r w:rsidRPr="00E41B66">
        <w:rPr>
          <w:rFonts w:asciiTheme="majorHAnsi" w:hAnsiTheme="majorHAnsi" w:cstheme="majorHAnsi"/>
          <w:color w:val="333333"/>
          <w:sz w:val="21"/>
          <w:szCs w:val="21"/>
        </w:rPr>
        <w:t>Similarly, we sought to identify subgroups in which agreement between the EWAC and the GF gold standard was substantially different. Figure 3 shows those subgroups with an RMSD found to be significantly different from the rest of the population (</w:t>
      </w:r>
      <w:proofErr w:type="gramStart"/>
      <w:r w:rsidRPr="00E41B66">
        <w:rPr>
          <w:rStyle w:val="math"/>
          <w:rFonts w:asciiTheme="majorHAnsi" w:hAnsiTheme="majorHAnsi" w:cstheme="majorHAnsi"/>
          <w:color w:val="333333"/>
          <w:sz w:val="21"/>
          <w:szCs w:val="21"/>
        </w:rPr>
        <w:t>\(</w:t>
      </w:r>
      <w:proofErr w:type="gramEnd"/>
      <w:r w:rsidRPr="00E41B66">
        <w:rPr>
          <w:rStyle w:val="math"/>
          <w:rFonts w:asciiTheme="majorHAnsi" w:hAnsiTheme="majorHAnsi" w:cstheme="majorHAnsi"/>
          <w:color w:val="333333"/>
          <w:sz w:val="21"/>
          <w:szCs w:val="21"/>
        </w:rPr>
        <w:t>p &lt; 0.05\)</w:t>
      </w:r>
      <w:r w:rsidRPr="00E41B66">
        <w:rPr>
          <w:rFonts w:asciiTheme="majorHAnsi" w:hAnsiTheme="majorHAnsi" w:cstheme="majorHAnsi"/>
          <w:color w:val="333333"/>
          <w:sz w:val="21"/>
          <w:szCs w:val="21"/>
        </w:rPr>
        <w:t>); and estimated to be 20% greater or smaller than the RMSD of the reference category.</w:t>
      </w:r>
    </w:p>
    <w:p w:rsidR="00B51215" w:rsidRPr="00E41B66" w:rsidRDefault="00017E26">
      <w:pPr>
        <w:pStyle w:val="NormalWeb"/>
        <w:divId w:val="142476083"/>
        <w:rPr>
          <w:rFonts w:asciiTheme="majorHAnsi" w:hAnsiTheme="majorHAnsi" w:cstheme="majorHAnsi"/>
          <w:color w:val="333333"/>
          <w:sz w:val="21"/>
          <w:szCs w:val="21"/>
        </w:rPr>
      </w:pPr>
      <w:r w:rsidRPr="00E41B66">
        <w:rPr>
          <w:rFonts w:asciiTheme="majorHAnsi" w:eastAsiaTheme="minorHAnsi" w:hAnsiTheme="majorHAnsi" w:cstheme="majorHAnsi"/>
          <w:noProof/>
        </w:rPr>
        <w:drawing>
          <wp:anchor distT="0" distB="0" distL="114300" distR="114300" simplePos="0" relativeHeight="251658240" behindDoc="0" locked="0" layoutInCell="1" allowOverlap="1">
            <wp:simplePos x="0" y="0"/>
            <wp:positionH relativeFrom="column">
              <wp:posOffset>-469265</wp:posOffset>
            </wp:positionH>
            <wp:positionV relativeFrom="paragraph">
              <wp:posOffset>398780</wp:posOffset>
            </wp:positionV>
            <wp:extent cx="6715125" cy="2238375"/>
            <wp:effectExtent l="0" t="0" r="9525" b="9525"/>
            <wp:wrapTopAndBottom/>
            <wp:docPr id="4" name="Picture 4" descr="C:\Users\sejjpfd\AppData\Local\Microsoft\Windows\INetCache\Content.MSO\F762A8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jjpfd\AppData\Local\Microsoft\Windows\INetCache\Content.MSO\F762A8FE.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1512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7774" w:rsidRPr="00E41B66">
        <w:rPr>
          <w:rFonts w:asciiTheme="majorHAnsi" w:hAnsiTheme="majorHAnsi" w:cstheme="majorHAnsi"/>
          <w:color w:val="333333"/>
          <w:sz w:val="21"/>
          <w:szCs w:val="21"/>
        </w:rPr>
        <w:t>Error is significantly greater in mean (those reporting any religion other than Christian or Muslim; and in current smoker compared to never-smokers.</w:t>
      </w:r>
    </w:p>
    <w:p w:rsidR="00B51215" w:rsidRPr="00E41B66" w:rsidRDefault="00B51215">
      <w:pPr>
        <w:pStyle w:val="NormalWeb"/>
        <w:divId w:val="142476083"/>
        <w:rPr>
          <w:rFonts w:asciiTheme="majorHAnsi" w:hAnsiTheme="majorHAnsi" w:cstheme="majorHAnsi"/>
          <w:color w:val="333333"/>
          <w:sz w:val="21"/>
          <w:szCs w:val="21"/>
        </w:rPr>
      </w:pPr>
    </w:p>
    <w:p w:rsidR="00B51215" w:rsidRPr="00E41B66" w:rsidRDefault="00177774">
      <w:pPr>
        <w:pStyle w:val="NormalWeb"/>
        <w:divId w:val="142476083"/>
        <w:rPr>
          <w:rFonts w:asciiTheme="majorHAnsi" w:hAnsiTheme="majorHAnsi" w:cstheme="majorHAnsi"/>
          <w:color w:val="333333"/>
          <w:sz w:val="21"/>
          <w:szCs w:val="21"/>
        </w:rPr>
      </w:pPr>
      <w:r w:rsidRPr="00E41B66">
        <w:rPr>
          <w:rFonts w:asciiTheme="majorHAnsi" w:hAnsiTheme="majorHAnsi" w:cstheme="majorHAnsi"/>
          <w:color w:val="333333"/>
          <w:sz w:val="21"/>
          <w:szCs w:val="21"/>
        </w:rPr>
        <w:t>Figure 3: Forest plot of RMSD ratio (selected subgroups to reference category)</w:t>
      </w:r>
    </w:p>
    <w:p w:rsidR="00017E26" w:rsidRDefault="00017E26">
      <w:pPr>
        <w:pStyle w:val="NormalWeb"/>
        <w:divId w:val="142476083"/>
        <w:rPr>
          <w:rFonts w:asciiTheme="majorHAnsi" w:hAnsiTheme="majorHAnsi" w:cstheme="majorHAnsi"/>
          <w:color w:val="333333"/>
          <w:sz w:val="21"/>
          <w:szCs w:val="21"/>
        </w:rPr>
      </w:pPr>
    </w:p>
    <w:p w:rsidR="00B51215" w:rsidRPr="00E41B66" w:rsidRDefault="00177774">
      <w:pPr>
        <w:pStyle w:val="NormalWeb"/>
        <w:divId w:val="142476083"/>
        <w:rPr>
          <w:rFonts w:asciiTheme="majorHAnsi" w:hAnsiTheme="majorHAnsi" w:cstheme="majorHAnsi"/>
          <w:color w:val="333333"/>
          <w:sz w:val="21"/>
          <w:szCs w:val="21"/>
        </w:rPr>
      </w:pPr>
      <w:r w:rsidRPr="00E41B66">
        <w:rPr>
          <w:rFonts w:asciiTheme="majorHAnsi" w:hAnsiTheme="majorHAnsi" w:cstheme="majorHAnsi"/>
          <w:color w:val="333333"/>
          <w:sz w:val="21"/>
          <w:szCs w:val="21"/>
        </w:rPr>
        <w:t>In addition, respondents who attempted to reduce their alcohol consumption in the last year also had a higher RMSD. On the contrary, educational qualifications seem to significantly improve the agreement between EWAC and the gold standard. The RMSD is reduced by an average 2 units with an educational qualification compared to no qualifications (and without effect on MD), suggesting that respondents may have better recall and clarity over alcohol beverage content.</w:t>
      </w:r>
    </w:p>
    <w:p w:rsidR="00B51215" w:rsidRPr="00E41B66" w:rsidRDefault="00177774">
      <w:pPr>
        <w:pStyle w:val="Heading3"/>
        <w:divId w:val="1245066997"/>
        <w:rPr>
          <w:rFonts w:asciiTheme="majorHAnsi" w:eastAsia="Times New Roman" w:hAnsiTheme="majorHAnsi" w:cstheme="majorHAnsi"/>
          <w:color w:val="333333"/>
          <w:sz w:val="36"/>
        </w:rPr>
      </w:pPr>
      <w:r w:rsidRPr="00E41B66">
        <w:rPr>
          <w:rStyle w:val="header-section-number"/>
          <w:rFonts w:asciiTheme="majorHAnsi" w:eastAsia="Times New Roman" w:hAnsiTheme="majorHAnsi" w:cstheme="majorHAnsi"/>
          <w:color w:val="333333"/>
        </w:rPr>
        <w:t>3.1.3</w:t>
      </w:r>
      <w:r w:rsidRPr="00E41B66">
        <w:rPr>
          <w:rFonts w:asciiTheme="majorHAnsi" w:eastAsia="Times New Roman" w:hAnsiTheme="majorHAnsi" w:cstheme="majorHAnsi"/>
          <w:color w:val="333333"/>
        </w:rPr>
        <w:t xml:space="preserve"> Receiver Operating Characteristics</w:t>
      </w:r>
    </w:p>
    <w:p w:rsidR="00B51215" w:rsidRPr="00E41B66" w:rsidRDefault="00177774">
      <w:pPr>
        <w:pStyle w:val="NormalWeb"/>
        <w:divId w:val="1245066997"/>
        <w:rPr>
          <w:rFonts w:asciiTheme="majorHAnsi" w:hAnsiTheme="majorHAnsi" w:cstheme="majorHAnsi"/>
          <w:color w:val="333333"/>
          <w:sz w:val="21"/>
          <w:szCs w:val="21"/>
        </w:rPr>
      </w:pPr>
      <w:r w:rsidRPr="00E41B66">
        <w:rPr>
          <w:rStyle w:val="Emphasis"/>
          <w:rFonts w:asciiTheme="majorHAnsi" w:hAnsiTheme="majorHAnsi" w:cstheme="majorHAnsi"/>
          <w:color w:val="333333"/>
          <w:sz w:val="21"/>
          <w:szCs w:val="21"/>
        </w:rPr>
        <w:t>Note</w:t>
      </w:r>
      <w:r w:rsidRPr="00E41B66">
        <w:rPr>
          <w:rFonts w:asciiTheme="majorHAnsi" w:hAnsiTheme="majorHAnsi" w:cstheme="majorHAnsi"/>
          <w:color w:val="333333"/>
          <w:sz w:val="21"/>
          <w:szCs w:val="21"/>
        </w:rPr>
        <w:t>: The best threshold refers the cut-off value that maximises the sum of sensitivity and specificity.</w:t>
      </w:r>
    </w:p>
    <w:p w:rsidR="00B51215" w:rsidRPr="00E41B66" w:rsidRDefault="00177774">
      <w:pPr>
        <w:pStyle w:val="NormalWeb"/>
        <w:divId w:val="1245066997"/>
        <w:rPr>
          <w:rFonts w:asciiTheme="majorHAnsi" w:hAnsiTheme="majorHAnsi" w:cstheme="majorHAnsi"/>
          <w:color w:val="333333"/>
          <w:sz w:val="21"/>
          <w:szCs w:val="21"/>
        </w:rPr>
      </w:pPr>
      <w:r w:rsidRPr="00E41B66">
        <w:rPr>
          <w:rFonts w:asciiTheme="majorHAnsi" w:hAnsiTheme="majorHAnsi" w:cstheme="majorHAnsi"/>
          <w:color w:val="333333"/>
          <w:sz w:val="21"/>
          <w:szCs w:val="21"/>
        </w:rPr>
        <w:lastRenderedPageBreak/>
        <w:t>The last step of this analysis was to examine the EWAC’s ability to classify participants’ consumption as being equal or in excess of 14 UK units/week. In comparison with the AUDIT-C score, EWAC increases the area under the curve by 5 percentage points (Table 4), a statistically significant improvement (</w:t>
      </w:r>
      <w:proofErr w:type="gramStart"/>
      <w:r w:rsidRPr="00E41B66">
        <w:rPr>
          <w:rStyle w:val="math"/>
          <w:rFonts w:asciiTheme="majorHAnsi" w:hAnsiTheme="majorHAnsi" w:cstheme="majorHAnsi"/>
          <w:color w:val="333333"/>
          <w:sz w:val="21"/>
          <w:szCs w:val="21"/>
        </w:rPr>
        <w:t>\(</w:t>
      </w:r>
      <w:proofErr w:type="gramEnd"/>
      <w:r w:rsidRPr="00E41B66">
        <w:rPr>
          <w:rStyle w:val="math"/>
          <w:rFonts w:asciiTheme="majorHAnsi" w:hAnsiTheme="majorHAnsi" w:cstheme="majorHAnsi"/>
          <w:color w:val="333333"/>
          <w:sz w:val="21"/>
          <w:szCs w:val="21"/>
        </w:rPr>
        <w:t>p\)</w:t>
      </w:r>
      <w:r w:rsidRPr="00E41B66">
        <w:rPr>
          <w:rFonts w:asciiTheme="majorHAnsi" w:hAnsiTheme="majorHAnsi" w:cstheme="majorHAnsi"/>
          <w:color w:val="333333"/>
          <w:sz w:val="21"/>
          <w:szCs w:val="21"/>
        </w:rPr>
        <w:t xml:space="preserve"> &lt; 0.001). ROC curve are available from Supplementary Material 3. The cut-off that maximises the sum of specificity and sensitivity is 9.95 units/week. In </w:t>
      </w:r>
      <w:proofErr w:type="spellStart"/>
      <w:r w:rsidRPr="00E41B66">
        <w:rPr>
          <w:rFonts w:asciiTheme="majorHAnsi" w:hAnsiTheme="majorHAnsi" w:cstheme="majorHAnsi"/>
          <w:color w:val="333333"/>
          <w:sz w:val="21"/>
          <w:szCs w:val="21"/>
        </w:rPr>
        <w:t>constrast</w:t>
      </w:r>
      <w:proofErr w:type="spellEnd"/>
      <w:r w:rsidRPr="00E41B66">
        <w:rPr>
          <w:rFonts w:asciiTheme="majorHAnsi" w:hAnsiTheme="majorHAnsi" w:cstheme="majorHAnsi"/>
          <w:color w:val="333333"/>
          <w:sz w:val="21"/>
          <w:szCs w:val="21"/>
        </w:rPr>
        <w:t>, using the nominal cut-off of 14 units/week yields a sensitivity of 0.705 and a specificity of 0.922.</w:t>
      </w:r>
    </w:p>
    <w:p w:rsidR="00B51215" w:rsidRDefault="00177774">
      <w:pPr>
        <w:pStyle w:val="NormalWeb"/>
        <w:divId w:val="1245066997"/>
        <w:rPr>
          <w:rFonts w:asciiTheme="majorHAnsi" w:hAnsiTheme="majorHAnsi" w:cstheme="majorHAnsi"/>
          <w:color w:val="333333"/>
          <w:sz w:val="21"/>
          <w:szCs w:val="21"/>
        </w:rPr>
      </w:pPr>
      <w:r w:rsidRPr="00E41B66">
        <w:rPr>
          <w:rFonts w:asciiTheme="majorHAnsi" w:hAnsiTheme="majorHAnsi" w:cstheme="majorHAnsi"/>
          <w:color w:val="333333"/>
          <w:sz w:val="21"/>
          <w:szCs w:val="21"/>
        </w:rPr>
        <w:t>In summary, using an EWAC threshold of 10 units or more over an AUDIT-C score of 5 or more provides equivalent sensitivity, but with an a steep gain in specificity of 13 percentage points.</w:t>
      </w:r>
    </w:p>
    <w:p w:rsidR="009951AC" w:rsidRPr="00E41B66" w:rsidRDefault="009951AC">
      <w:pPr>
        <w:pStyle w:val="NormalWeb"/>
        <w:divId w:val="1245066997"/>
        <w:rPr>
          <w:rFonts w:asciiTheme="majorHAnsi" w:hAnsiTheme="majorHAnsi" w:cstheme="majorHAnsi"/>
          <w:color w:val="333333"/>
          <w:sz w:val="21"/>
          <w:szCs w:val="21"/>
        </w:rPr>
      </w:pPr>
    </w:p>
    <w:p w:rsidR="00B51215" w:rsidRDefault="00177774">
      <w:pPr>
        <w:pStyle w:val="NormalWeb"/>
        <w:divId w:val="1245066997"/>
        <w:rPr>
          <w:rFonts w:asciiTheme="majorHAnsi" w:hAnsiTheme="majorHAnsi" w:cstheme="majorHAnsi"/>
          <w:color w:val="333333"/>
          <w:sz w:val="21"/>
          <w:szCs w:val="21"/>
        </w:rPr>
      </w:pPr>
      <w:r w:rsidRPr="00E41B66">
        <w:rPr>
          <w:rFonts w:asciiTheme="majorHAnsi" w:hAnsiTheme="majorHAnsi" w:cstheme="majorHAnsi"/>
          <w:color w:val="333333"/>
          <w:sz w:val="21"/>
          <w:szCs w:val="21"/>
        </w:rPr>
        <w:t>Table 4: Receiver operating characteristics of AUDIT-C score and EWAC for consumption &gt;= 14 UK units/week (n = 22,404)</w:t>
      </w:r>
    </w:p>
    <w:tbl>
      <w:tblPr>
        <w:tblStyle w:val="Style1"/>
        <w:tblW w:w="8870" w:type="dxa"/>
        <w:tblLook w:val="04A0" w:firstRow="1" w:lastRow="0" w:firstColumn="1" w:lastColumn="0" w:noHBand="0" w:noVBand="1"/>
      </w:tblPr>
      <w:tblGrid>
        <w:gridCol w:w="1791"/>
        <w:gridCol w:w="817"/>
        <w:gridCol w:w="1642"/>
        <w:gridCol w:w="1844"/>
        <w:gridCol w:w="1388"/>
        <w:gridCol w:w="1388"/>
      </w:tblGrid>
      <w:tr w:rsidR="009951AC" w:rsidRPr="009951AC" w:rsidTr="009951AC">
        <w:trPr>
          <w:cnfStyle w:val="100000000000" w:firstRow="1" w:lastRow="0" w:firstColumn="0" w:lastColumn="0" w:oddVBand="0" w:evenVBand="0" w:oddHBand="0" w:evenHBand="0" w:firstRowFirstColumn="0" w:firstRowLastColumn="0" w:lastRowFirstColumn="0" w:lastRowLastColumn="0"/>
          <w:divId w:val="1245066997"/>
          <w:trHeight w:val="252"/>
        </w:trPr>
        <w:tc>
          <w:tcPr>
            <w:cnfStyle w:val="001000000000" w:firstRow="0" w:lastRow="0" w:firstColumn="1" w:lastColumn="0" w:oddVBand="0" w:evenVBand="0" w:oddHBand="0" w:evenHBand="0" w:firstRowFirstColumn="0" w:firstRowLastColumn="0" w:lastRowFirstColumn="0" w:lastRowLastColumn="0"/>
            <w:tcW w:w="0" w:type="auto"/>
            <w:noWrap/>
            <w:hideMark/>
          </w:tcPr>
          <w:p w:rsidR="009951AC" w:rsidRPr="009951AC" w:rsidRDefault="009951AC" w:rsidP="009951AC">
            <w:pPr>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Metric</w:t>
            </w:r>
          </w:p>
        </w:tc>
        <w:tc>
          <w:tcPr>
            <w:tcW w:w="0" w:type="auto"/>
            <w:noWrap/>
            <w:hideMark/>
          </w:tcPr>
          <w:p w:rsidR="009951AC" w:rsidRPr="009951AC" w:rsidRDefault="009951AC" w:rsidP="009951AC">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AUC</w:t>
            </w:r>
          </w:p>
        </w:tc>
        <w:tc>
          <w:tcPr>
            <w:tcW w:w="0" w:type="auto"/>
            <w:noWrap/>
            <w:hideMark/>
          </w:tcPr>
          <w:p w:rsidR="009951AC" w:rsidRPr="009951AC" w:rsidRDefault="009951AC" w:rsidP="009951AC">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95% CI</w:t>
            </w:r>
          </w:p>
        </w:tc>
        <w:tc>
          <w:tcPr>
            <w:tcW w:w="0" w:type="auto"/>
            <w:noWrap/>
            <w:hideMark/>
          </w:tcPr>
          <w:p w:rsidR="009951AC" w:rsidRPr="009951AC" w:rsidRDefault="009951AC" w:rsidP="009951AC">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Best threshold</w:t>
            </w:r>
          </w:p>
        </w:tc>
        <w:tc>
          <w:tcPr>
            <w:tcW w:w="0" w:type="auto"/>
            <w:noWrap/>
            <w:hideMark/>
          </w:tcPr>
          <w:p w:rsidR="009951AC" w:rsidRPr="009951AC" w:rsidRDefault="009951AC" w:rsidP="009951AC">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Sensitivity</w:t>
            </w:r>
          </w:p>
        </w:tc>
        <w:tc>
          <w:tcPr>
            <w:tcW w:w="0" w:type="auto"/>
            <w:noWrap/>
            <w:hideMark/>
          </w:tcPr>
          <w:p w:rsidR="009951AC" w:rsidRPr="009951AC" w:rsidRDefault="009951AC" w:rsidP="009951AC">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Specificity</w:t>
            </w:r>
          </w:p>
        </w:tc>
      </w:tr>
      <w:tr w:rsidR="009951AC" w:rsidRPr="009951AC" w:rsidTr="009951AC">
        <w:trPr>
          <w:divId w:val="1245066997"/>
          <w:trHeight w:val="252"/>
        </w:trPr>
        <w:tc>
          <w:tcPr>
            <w:cnfStyle w:val="001000000000" w:firstRow="0" w:lastRow="0" w:firstColumn="1" w:lastColumn="0" w:oddVBand="0" w:evenVBand="0" w:oddHBand="0" w:evenHBand="0" w:firstRowFirstColumn="0" w:firstRowLastColumn="0" w:lastRowFirstColumn="0" w:lastRowLastColumn="0"/>
            <w:tcW w:w="0" w:type="auto"/>
            <w:noWrap/>
            <w:hideMark/>
          </w:tcPr>
          <w:p w:rsidR="009951AC" w:rsidRPr="009951AC" w:rsidRDefault="009951AC" w:rsidP="009951AC">
            <w:pPr>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AUDIT-C score</w:t>
            </w:r>
          </w:p>
        </w:tc>
        <w:tc>
          <w:tcPr>
            <w:tcW w:w="0" w:type="auto"/>
            <w:noWrap/>
            <w:hideMark/>
          </w:tcPr>
          <w:p w:rsidR="009951AC" w:rsidRPr="009951AC" w:rsidRDefault="009951AC" w:rsidP="009951A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0.871</w:t>
            </w:r>
          </w:p>
        </w:tc>
        <w:tc>
          <w:tcPr>
            <w:tcW w:w="0" w:type="auto"/>
            <w:noWrap/>
            <w:hideMark/>
          </w:tcPr>
          <w:p w:rsidR="009951AC" w:rsidRPr="009951AC" w:rsidRDefault="009951AC" w:rsidP="009951A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[0.866; 0.87</w:t>
            </w:r>
            <w:r>
              <w:rPr>
                <w:rFonts w:asciiTheme="majorHAnsi" w:eastAsia="Times New Roman" w:hAnsiTheme="majorHAnsi" w:cstheme="majorHAnsi"/>
                <w:color w:val="000000"/>
                <w:sz w:val="20"/>
                <w:szCs w:val="20"/>
              </w:rPr>
              <w:t>6]</w:t>
            </w:r>
          </w:p>
        </w:tc>
        <w:tc>
          <w:tcPr>
            <w:tcW w:w="0" w:type="auto"/>
            <w:noWrap/>
            <w:hideMark/>
          </w:tcPr>
          <w:p w:rsidR="009951AC" w:rsidRPr="009951AC" w:rsidRDefault="009951AC" w:rsidP="009951A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4.5</w:t>
            </w:r>
          </w:p>
        </w:tc>
        <w:tc>
          <w:tcPr>
            <w:tcW w:w="0" w:type="auto"/>
            <w:noWrap/>
            <w:hideMark/>
          </w:tcPr>
          <w:p w:rsidR="009951AC" w:rsidRPr="009951AC" w:rsidRDefault="009951AC" w:rsidP="009951A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0.882</w:t>
            </w:r>
          </w:p>
        </w:tc>
        <w:tc>
          <w:tcPr>
            <w:tcW w:w="0" w:type="auto"/>
            <w:noWrap/>
            <w:hideMark/>
          </w:tcPr>
          <w:p w:rsidR="009951AC" w:rsidRPr="009951AC" w:rsidRDefault="009951AC" w:rsidP="009951A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0.684</w:t>
            </w:r>
          </w:p>
        </w:tc>
      </w:tr>
      <w:tr w:rsidR="009951AC" w:rsidRPr="009951AC" w:rsidTr="009951AC">
        <w:trPr>
          <w:divId w:val="1245066997"/>
          <w:trHeight w:val="252"/>
        </w:trPr>
        <w:tc>
          <w:tcPr>
            <w:cnfStyle w:val="001000000000" w:firstRow="0" w:lastRow="0" w:firstColumn="1" w:lastColumn="0" w:oddVBand="0" w:evenVBand="0" w:oddHBand="0" w:evenHBand="0" w:firstRowFirstColumn="0" w:firstRowLastColumn="0" w:lastRowFirstColumn="0" w:lastRowLastColumn="0"/>
            <w:tcW w:w="0" w:type="auto"/>
            <w:noWrap/>
            <w:hideMark/>
          </w:tcPr>
          <w:p w:rsidR="009951AC" w:rsidRPr="009951AC" w:rsidRDefault="009951AC" w:rsidP="009951AC">
            <w:pPr>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EWAC</w:t>
            </w:r>
          </w:p>
        </w:tc>
        <w:tc>
          <w:tcPr>
            <w:tcW w:w="0" w:type="auto"/>
            <w:noWrap/>
            <w:hideMark/>
          </w:tcPr>
          <w:p w:rsidR="009951AC" w:rsidRPr="009951AC" w:rsidRDefault="009951AC" w:rsidP="009951A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0.921</w:t>
            </w:r>
          </w:p>
        </w:tc>
        <w:tc>
          <w:tcPr>
            <w:tcW w:w="0" w:type="auto"/>
            <w:noWrap/>
            <w:hideMark/>
          </w:tcPr>
          <w:p w:rsidR="009951AC" w:rsidRPr="009951AC" w:rsidRDefault="009951AC" w:rsidP="009951A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[0.917; 0.925]</w:t>
            </w:r>
          </w:p>
        </w:tc>
        <w:tc>
          <w:tcPr>
            <w:tcW w:w="0" w:type="auto"/>
            <w:noWrap/>
            <w:hideMark/>
          </w:tcPr>
          <w:p w:rsidR="009951AC" w:rsidRPr="009951AC" w:rsidRDefault="009951AC" w:rsidP="009951A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9.95</w:t>
            </w:r>
          </w:p>
        </w:tc>
        <w:tc>
          <w:tcPr>
            <w:tcW w:w="0" w:type="auto"/>
            <w:noWrap/>
            <w:hideMark/>
          </w:tcPr>
          <w:p w:rsidR="009951AC" w:rsidRPr="009951AC" w:rsidRDefault="009951AC" w:rsidP="009951A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0.876</w:t>
            </w:r>
          </w:p>
        </w:tc>
        <w:tc>
          <w:tcPr>
            <w:tcW w:w="0" w:type="auto"/>
            <w:noWrap/>
            <w:hideMark/>
          </w:tcPr>
          <w:p w:rsidR="009951AC" w:rsidRPr="009951AC" w:rsidRDefault="009951AC" w:rsidP="009951A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9951AC">
              <w:rPr>
                <w:rFonts w:asciiTheme="majorHAnsi" w:eastAsia="Times New Roman" w:hAnsiTheme="majorHAnsi" w:cstheme="majorHAnsi"/>
                <w:color w:val="000000"/>
                <w:sz w:val="20"/>
                <w:szCs w:val="20"/>
              </w:rPr>
              <w:t>0.816</w:t>
            </w:r>
          </w:p>
        </w:tc>
      </w:tr>
    </w:tbl>
    <w:p w:rsidR="009951AC" w:rsidRDefault="009951AC">
      <w:pPr>
        <w:pStyle w:val="NormalWeb"/>
        <w:divId w:val="1245066997"/>
        <w:rPr>
          <w:rFonts w:asciiTheme="majorHAnsi" w:hAnsiTheme="majorHAnsi" w:cstheme="majorHAnsi"/>
          <w:color w:val="333333"/>
          <w:sz w:val="21"/>
          <w:szCs w:val="21"/>
        </w:rPr>
      </w:pPr>
    </w:p>
    <w:p w:rsidR="00B51215" w:rsidRPr="00E41B66" w:rsidRDefault="00177774" w:rsidP="00E41B66">
      <w:pPr>
        <w:pStyle w:val="Heading2"/>
        <w:divId w:val="557017364"/>
        <w:rPr>
          <w:sz w:val="45"/>
        </w:rPr>
      </w:pPr>
      <w:r w:rsidRPr="00E41B66">
        <w:rPr>
          <w:rStyle w:val="header-section-number"/>
        </w:rPr>
        <w:t>3.2</w:t>
      </w:r>
      <w:r w:rsidRPr="00E41B66">
        <w:t xml:space="preserve"> Study 2: Concurrent validity in hospital patients</w:t>
      </w:r>
    </w:p>
    <w:p w:rsidR="00B51215" w:rsidRPr="00E41B66" w:rsidRDefault="00177774">
      <w:pPr>
        <w:pStyle w:val="NormalWeb"/>
        <w:divId w:val="557017364"/>
        <w:rPr>
          <w:rFonts w:asciiTheme="majorHAnsi" w:hAnsiTheme="majorHAnsi" w:cstheme="majorHAnsi"/>
          <w:color w:val="333333"/>
          <w:sz w:val="21"/>
          <w:szCs w:val="21"/>
        </w:rPr>
      </w:pPr>
      <w:r w:rsidRPr="00E41B66">
        <w:rPr>
          <w:rFonts w:asciiTheme="majorHAnsi" w:hAnsiTheme="majorHAnsi" w:cstheme="majorHAnsi"/>
          <w:color w:val="333333"/>
          <w:sz w:val="21"/>
          <w:szCs w:val="21"/>
        </w:rPr>
        <w:t>This study collected TLFB daily alcohol consumption from a total of 105 participants, of whom 63 were classified as low-risk drinkers, 25 as increasing-risk alcohol users (AUDIT-C score of 5 to 7), and 17 as high-risk alcohol users (AUDIT-C score of 8 or more). A total of 13 participants did not provide TLFB information for at least one day missing out of 28, resulting in 5% (137/2940) of TLFB days were missing.</w:t>
      </w:r>
    </w:p>
    <w:p w:rsidR="00B51215" w:rsidRPr="00E41B66" w:rsidRDefault="00177774">
      <w:pPr>
        <w:pStyle w:val="NormalWeb"/>
        <w:divId w:val="557017364"/>
        <w:rPr>
          <w:rFonts w:asciiTheme="majorHAnsi" w:hAnsiTheme="majorHAnsi" w:cstheme="majorHAnsi"/>
          <w:color w:val="333333"/>
          <w:sz w:val="21"/>
          <w:szCs w:val="21"/>
        </w:rPr>
      </w:pPr>
      <w:r w:rsidRPr="00E41B66">
        <w:rPr>
          <w:rFonts w:asciiTheme="majorHAnsi" w:hAnsiTheme="majorHAnsi" w:cstheme="majorHAnsi"/>
          <w:color w:val="333333"/>
          <w:sz w:val="21"/>
          <w:szCs w:val="21"/>
        </w:rPr>
        <w:t>Using only 103 participants with a minimum of 7 days recorded on the TLFB, MD is estimated at -0.5 unit/week, which does not provide any evidence of bias greater than 1 unit/week (</w:t>
      </w:r>
      <w:r w:rsidRPr="00E41B66">
        <w:rPr>
          <w:rStyle w:val="math"/>
          <w:rFonts w:asciiTheme="majorHAnsi" w:hAnsiTheme="majorHAnsi" w:cstheme="majorHAnsi"/>
          <w:color w:val="333333"/>
          <w:sz w:val="21"/>
          <w:szCs w:val="21"/>
        </w:rPr>
        <w:t>\(p\)</w:t>
      </w:r>
      <w:r w:rsidRPr="00E41B66">
        <w:rPr>
          <w:rFonts w:asciiTheme="majorHAnsi" w:hAnsiTheme="majorHAnsi" w:cstheme="majorHAnsi"/>
          <w:color w:val="333333"/>
          <w:sz w:val="21"/>
          <w:szCs w:val="21"/>
        </w:rPr>
        <w:t xml:space="preserve"> = 0.316). As for error, RMSD is estimated at 5.4 [95%CI: 3.5; 6.8] and is statistically significantly greater than 2 units (</w:t>
      </w:r>
      <w:proofErr w:type="gramStart"/>
      <w:r w:rsidRPr="00E41B66">
        <w:rPr>
          <w:rStyle w:val="math"/>
          <w:rFonts w:asciiTheme="majorHAnsi" w:hAnsiTheme="majorHAnsi" w:cstheme="majorHAnsi"/>
          <w:color w:val="333333"/>
          <w:sz w:val="21"/>
          <w:szCs w:val="21"/>
        </w:rPr>
        <w:t>\(</w:t>
      </w:r>
      <w:proofErr w:type="gramEnd"/>
      <w:r w:rsidRPr="00E41B66">
        <w:rPr>
          <w:rStyle w:val="math"/>
          <w:rFonts w:asciiTheme="majorHAnsi" w:hAnsiTheme="majorHAnsi" w:cstheme="majorHAnsi"/>
          <w:color w:val="333333"/>
          <w:sz w:val="21"/>
          <w:szCs w:val="21"/>
        </w:rPr>
        <w:t>p\)</w:t>
      </w:r>
      <w:r w:rsidRPr="00E41B66">
        <w:rPr>
          <w:rFonts w:asciiTheme="majorHAnsi" w:hAnsiTheme="majorHAnsi" w:cstheme="majorHAnsi"/>
          <w:color w:val="333333"/>
          <w:sz w:val="21"/>
          <w:szCs w:val="21"/>
        </w:rPr>
        <w:t xml:space="preserve"> &lt; 0.001). A potential reason for RMSD being considerably smaller than in Study 1 is the distribution of alcohol consumption of this small pilot dataset. Respondents’ alcohol intake as estimated by TLFB was low, with a mean of 7 units/week; a median of 2 units/week, and a 90th percentile of 23 units/week. Consequently, the probability of observing the strong deviations that can be observed in presence of high alcohol consumption data was low.</w:t>
      </w:r>
    </w:p>
    <w:p w:rsidR="00B51215" w:rsidRPr="00E41B66" w:rsidRDefault="00177774">
      <w:pPr>
        <w:pStyle w:val="NormalWeb"/>
        <w:divId w:val="557017364"/>
        <w:rPr>
          <w:rFonts w:asciiTheme="majorHAnsi" w:hAnsiTheme="majorHAnsi" w:cstheme="majorHAnsi"/>
          <w:color w:val="333333"/>
          <w:sz w:val="21"/>
          <w:szCs w:val="21"/>
        </w:rPr>
      </w:pPr>
      <w:r w:rsidRPr="00E41B66">
        <w:rPr>
          <w:rFonts w:asciiTheme="majorHAnsi" w:eastAsiaTheme="minorHAnsi" w:hAnsiTheme="majorHAnsi" w:cstheme="majorHAnsi"/>
          <w:noProof/>
        </w:rPr>
        <w:lastRenderedPageBreak/>
        <w:drawing>
          <wp:inline distT="0" distB="0" distL="0" distR="0">
            <wp:extent cx="4920615" cy="3514725"/>
            <wp:effectExtent l="0" t="0" r="0" b="9525"/>
            <wp:docPr id="6" name="Picture 6" descr="C:\Users\sejjpfd\AppData\Local\Microsoft\Windows\INetCache\Content.MSO\6025C8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jjpfd\AppData\Local\Microsoft\Windows\INetCache\Content.MSO\6025C8E7.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0724" cy="3514803"/>
                    </a:xfrm>
                    <a:prstGeom prst="rect">
                      <a:avLst/>
                    </a:prstGeom>
                    <a:noFill/>
                    <a:ln>
                      <a:noFill/>
                    </a:ln>
                  </pic:spPr>
                </pic:pic>
              </a:graphicData>
            </a:graphic>
          </wp:inline>
        </w:drawing>
      </w:r>
    </w:p>
    <w:p w:rsidR="00B51215" w:rsidRPr="00E41B66" w:rsidRDefault="00177774">
      <w:pPr>
        <w:pStyle w:val="NormalWeb"/>
        <w:divId w:val="557017364"/>
        <w:rPr>
          <w:rFonts w:asciiTheme="majorHAnsi" w:hAnsiTheme="majorHAnsi" w:cstheme="majorHAnsi"/>
          <w:color w:val="333333"/>
          <w:sz w:val="21"/>
          <w:szCs w:val="21"/>
        </w:rPr>
      </w:pPr>
      <w:r w:rsidRPr="00E41B66">
        <w:rPr>
          <w:rFonts w:asciiTheme="majorHAnsi" w:hAnsiTheme="majorHAnsi" w:cstheme="majorHAnsi"/>
          <w:color w:val="333333"/>
          <w:sz w:val="21"/>
          <w:szCs w:val="21"/>
        </w:rPr>
        <w:t>Figure 4: Plot of EWAC estimates against TLFB estimates in hospital participants with lines of fit</w:t>
      </w:r>
    </w:p>
    <w:p w:rsidR="00B51215" w:rsidRPr="00E41B66" w:rsidRDefault="00177774" w:rsidP="00E41B66">
      <w:pPr>
        <w:pStyle w:val="Heading2"/>
        <w:divId w:val="1199049687"/>
        <w:rPr>
          <w:sz w:val="45"/>
        </w:rPr>
      </w:pPr>
      <w:r w:rsidRPr="00E41B66">
        <w:rPr>
          <w:rStyle w:val="header-section-number"/>
        </w:rPr>
        <w:t>3.3</w:t>
      </w:r>
      <w:r w:rsidRPr="00E41B66">
        <w:t xml:space="preserve"> Study 3: Empirical distribution functions</w:t>
      </w:r>
    </w:p>
    <w:p w:rsidR="00B51215" w:rsidRPr="00E41B66" w:rsidRDefault="00177774">
      <w:pPr>
        <w:pStyle w:val="NormalWeb"/>
        <w:divId w:val="1199049687"/>
        <w:rPr>
          <w:rFonts w:asciiTheme="majorHAnsi" w:hAnsiTheme="majorHAnsi" w:cstheme="majorHAnsi"/>
          <w:color w:val="333333"/>
          <w:sz w:val="21"/>
          <w:szCs w:val="21"/>
        </w:rPr>
      </w:pPr>
      <w:r w:rsidRPr="00E41B66">
        <w:rPr>
          <w:rFonts w:asciiTheme="majorHAnsi" w:hAnsiTheme="majorHAnsi" w:cstheme="majorHAnsi"/>
          <w:color w:val="333333"/>
          <w:sz w:val="21"/>
          <w:szCs w:val="21"/>
        </w:rPr>
        <w:t>Table 6 provides estimates of total alcohol consumption in adult resident of private households in England using four different estimators, and compares them with alcohol retail sales. The HSE schedules provide the highest estimates of alcohol consumption and coverage of sale statistics. The proposed EWAC estimates of total consumption are just 77% of a very reliable estimate, the HSE prospective diary.</w:t>
      </w:r>
    </w:p>
    <w:p w:rsidR="00B51215" w:rsidRPr="00E41B66" w:rsidRDefault="00177774">
      <w:pPr>
        <w:pStyle w:val="NormalWeb"/>
        <w:divId w:val="1199049687"/>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Figure 5 suggests that the EWAC, like the ATS GF it was estimated against, estimates a higher prevalence of low risk consumption (&lt;= 14 units/week) and increased risk consumption than HSE. In </w:t>
      </w:r>
      <w:proofErr w:type="spellStart"/>
      <w:r w:rsidRPr="00E41B66">
        <w:rPr>
          <w:rFonts w:asciiTheme="majorHAnsi" w:hAnsiTheme="majorHAnsi" w:cstheme="majorHAnsi"/>
          <w:color w:val="333333"/>
          <w:sz w:val="21"/>
          <w:szCs w:val="21"/>
        </w:rPr>
        <w:t>constrast</w:t>
      </w:r>
      <w:proofErr w:type="spellEnd"/>
      <w:r w:rsidRPr="00E41B66">
        <w:rPr>
          <w:rFonts w:asciiTheme="majorHAnsi" w:hAnsiTheme="majorHAnsi" w:cstheme="majorHAnsi"/>
          <w:color w:val="333333"/>
          <w:sz w:val="21"/>
          <w:szCs w:val="21"/>
        </w:rPr>
        <w:t xml:space="preserve"> very high alcohol consumption (&gt;= 50 units/week) is higher in HSE. This may be due to a combination of difference in sampling coverage, nonresponse bias, or measurement error in the alcohol schedules.</w:t>
      </w:r>
      <w:bookmarkStart w:id="0" w:name="_GoBack"/>
      <w:bookmarkEnd w:id="0"/>
    </w:p>
    <w:p w:rsidR="00B51215" w:rsidRPr="00E41B66" w:rsidRDefault="00177774">
      <w:pPr>
        <w:pStyle w:val="NormalWeb"/>
        <w:divId w:val="1199049687"/>
        <w:rPr>
          <w:rFonts w:asciiTheme="majorHAnsi" w:hAnsiTheme="majorHAnsi" w:cstheme="majorHAnsi"/>
          <w:color w:val="333333"/>
          <w:sz w:val="21"/>
          <w:szCs w:val="21"/>
        </w:rPr>
      </w:pPr>
      <w:r w:rsidRPr="00E41B66">
        <w:rPr>
          <w:rFonts w:asciiTheme="majorHAnsi" w:hAnsiTheme="majorHAnsi" w:cstheme="majorHAnsi"/>
          <w:color w:val="333333"/>
          <w:sz w:val="21"/>
          <w:szCs w:val="21"/>
        </w:rPr>
        <w:t>Table 6: Summary statistics on alcohol consumption in England in residents aged 18 years and over (excluding abstainers)</w:t>
      </w:r>
    </w:p>
    <w:tbl>
      <w:tblPr>
        <w:tblStyle w:val="Style1"/>
        <w:tblW w:w="0" w:type="auto"/>
        <w:tblLook w:val="04A0" w:firstRow="1" w:lastRow="0" w:firstColumn="1" w:lastColumn="0" w:noHBand="0" w:noVBand="1"/>
      </w:tblPr>
      <w:tblGrid>
        <w:gridCol w:w="2835"/>
        <w:gridCol w:w="1534"/>
        <w:gridCol w:w="940"/>
        <w:gridCol w:w="1092"/>
        <w:gridCol w:w="859"/>
        <w:gridCol w:w="1766"/>
      </w:tblGrid>
      <w:tr w:rsidR="00B51215" w:rsidRPr="00E41B66" w:rsidTr="008816FC">
        <w:trPr>
          <w:cnfStyle w:val="100000000000" w:firstRow="1" w:lastRow="0" w:firstColumn="0" w:lastColumn="0" w:oddVBand="0" w:evenVBand="0" w:oddHBand="0" w:evenHBand="0" w:firstRowFirstColumn="0" w:firstRowLastColumn="0" w:lastRowFirstColumn="0" w:lastRowLastColumn="0"/>
          <w:divId w:val="1199049687"/>
        </w:trPr>
        <w:tc>
          <w:tcPr>
            <w:cnfStyle w:val="001000000000" w:firstRow="0" w:lastRow="0" w:firstColumn="1" w:lastColumn="0" w:oddVBand="0" w:evenVBand="0" w:oddHBand="0" w:evenHBand="0" w:firstRowFirstColumn="0" w:firstRowLastColumn="0" w:lastRowFirstColumn="0" w:lastRowLastColumn="0"/>
            <w:tcW w:w="2835" w:type="dxa"/>
            <w:hideMark/>
          </w:tcPr>
          <w:p w:rsidR="00B51215" w:rsidRPr="00E41B66" w:rsidRDefault="00177774">
            <w:pPr>
              <w:jc w:val="center"/>
              <w:rPr>
                <w:rFonts w:asciiTheme="majorHAnsi" w:eastAsia="Times New Roman" w:hAnsiTheme="majorHAnsi" w:cstheme="majorHAnsi"/>
                <w:b w:val="0"/>
                <w:bCs/>
                <w:color w:val="333333"/>
                <w:sz w:val="21"/>
                <w:szCs w:val="21"/>
              </w:rPr>
            </w:pPr>
            <w:r w:rsidRPr="00E41B66">
              <w:rPr>
                <w:rFonts w:asciiTheme="majorHAnsi" w:eastAsia="Times New Roman" w:hAnsiTheme="majorHAnsi" w:cstheme="majorHAnsi"/>
                <w:bCs/>
                <w:color w:val="333333"/>
                <w:sz w:val="21"/>
                <w:szCs w:val="21"/>
              </w:rPr>
              <w:t>Study</w:t>
            </w:r>
          </w:p>
        </w:tc>
        <w:tc>
          <w:tcPr>
            <w:tcW w:w="1534" w:type="dxa"/>
            <w:hideMark/>
          </w:tcPr>
          <w:p w:rsidR="00B51215" w:rsidRPr="00E41B66" w:rsidRDefault="00177774">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color w:val="333333"/>
                <w:sz w:val="21"/>
                <w:szCs w:val="21"/>
              </w:rPr>
            </w:pPr>
            <w:r w:rsidRPr="00E41B66">
              <w:rPr>
                <w:rFonts w:asciiTheme="majorHAnsi" w:eastAsia="Times New Roman" w:hAnsiTheme="majorHAnsi" w:cstheme="majorHAnsi"/>
                <w:bCs/>
                <w:color w:val="333333"/>
                <w:sz w:val="21"/>
                <w:szCs w:val="21"/>
              </w:rPr>
              <w:t>Mean (units/week)</w:t>
            </w:r>
          </w:p>
        </w:tc>
        <w:tc>
          <w:tcPr>
            <w:tcW w:w="0" w:type="auto"/>
            <w:hideMark/>
          </w:tcPr>
          <w:p w:rsidR="00B51215" w:rsidRPr="00E41B66" w:rsidRDefault="00177774">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color w:val="333333"/>
                <w:sz w:val="21"/>
                <w:szCs w:val="21"/>
              </w:rPr>
            </w:pPr>
            <w:r w:rsidRPr="00E41B66">
              <w:rPr>
                <w:rFonts w:asciiTheme="majorHAnsi" w:eastAsia="Times New Roman" w:hAnsiTheme="majorHAnsi" w:cstheme="majorHAnsi"/>
                <w:bCs/>
                <w:color w:val="333333"/>
                <w:sz w:val="21"/>
                <w:szCs w:val="21"/>
              </w:rPr>
              <w:t>Median</w:t>
            </w:r>
          </w:p>
        </w:tc>
        <w:tc>
          <w:tcPr>
            <w:tcW w:w="0" w:type="auto"/>
            <w:hideMark/>
          </w:tcPr>
          <w:p w:rsidR="00B51215" w:rsidRPr="00E41B66" w:rsidRDefault="00177774">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color w:val="333333"/>
                <w:sz w:val="21"/>
                <w:szCs w:val="21"/>
              </w:rPr>
            </w:pPr>
            <w:r w:rsidRPr="00E41B66">
              <w:rPr>
                <w:rFonts w:asciiTheme="majorHAnsi" w:eastAsia="Times New Roman" w:hAnsiTheme="majorHAnsi" w:cstheme="majorHAnsi"/>
                <w:bCs/>
                <w:color w:val="333333"/>
                <w:sz w:val="21"/>
                <w:szCs w:val="21"/>
              </w:rPr>
              <w:t>Variance</w:t>
            </w:r>
          </w:p>
        </w:tc>
        <w:tc>
          <w:tcPr>
            <w:tcW w:w="0" w:type="auto"/>
            <w:hideMark/>
          </w:tcPr>
          <w:p w:rsidR="00B51215" w:rsidRPr="00E41B66" w:rsidRDefault="00177774">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color w:val="333333"/>
                <w:sz w:val="21"/>
                <w:szCs w:val="21"/>
              </w:rPr>
            </w:pPr>
            <w:r w:rsidRPr="00E41B66">
              <w:rPr>
                <w:rFonts w:asciiTheme="majorHAnsi" w:eastAsia="Times New Roman" w:hAnsiTheme="majorHAnsi" w:cstheme="majorHAnsi"/>
                <w:bCs/>
                <w:color w:val="333333"/>
                <w:sz w:val="21"/>
                <w:szCs w:val="21"/>
              </w:rPr>
              <w:t>N</w:t>
            </w:r>
          </w:p>
        </w:tc>
        <w:tc>
          <w:tcPr>
            <w:tcW w:w="0" w:type="auto"/>
            <w:hideMark/>
          </w:tcPr>
          <w:p w:rsidR="00B51215" w:rsidRPr="00E41B66" w:rsidRDefault="00177774">
            <w:pPr>
              <w:jc w:val="righ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color w:val="333333"/>
                <w:sz w:val="21"/>
                <w:szCs w:val="21"/>
              </w:rPr>
            </w:pPr>
            <w:r w:rsidRPr="00E41B66">
              <w:rPr>
                <w:rFonts w:asciiTheme="majorHAnsi" w:eastAsia="Times New Roman" w:hAnsiTheme="majorHAnsi" w:cstheme="majorHAnsi"/>
                <w:bCs/>
                <w:color w:val="333333"/>
                <w:sz w:val="21"/>
                <w:szCs w:val="21"/>
              </w:rPr>
              <w:t>% of alcohol sold</w:t>
            </w:r>
          </w:p>
        </w:tc>
      </w:tr>
      <w:tr w:rsidR="00B51215" w:rsidRPr="00E41B66" w:rsidTr="008816FC">
        <w:trPr>
          <w:divId w:val="1199049687"/>
        </w:trPr>
        <w:tc>
          <w:tcPr>
            <w:cnfStyle w:val="001000000000" w:firstRow="0" w:lastRow="0" w:firstColumn="1" w:lastColumn="0" w:oddVBand="0" w:evenVBand="0" w:oddHBand="0" w:evenHBand="0" w:firstRowFirstColumn="0" w:firstRowLastColumn="0" w:lastRowFirstColumn="0" w:lastRowLastColumn="0"/>
            <w:tcW w:w="2835" w:type="dxa"/>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HSE beverage-specific QF</w:t>
            </w:r>
          </w:p>
        </w:tc>
        <w:tc>
          <w:tcPr>
            <w:tcW w:w="1534" w:type="dxa"/>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14.0</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7.3</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474.6</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6,545</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72.4</w:t>
            </w:r>
          </w:p>
        </w:tc>
      </w:tr>
      <w:tr w:rsidR="00B51215" w:rsidRPr="00E41B66" w:rsidTr="008816FC">
        <w:trPr>
          <w:divId w:val="1199049687"/>
        </w:trPr>
        <w:tc>
          <w:tcPr>
            <w:cnfStyle w:val="001000000000" w:firstRow="0" w:lastRow="0" w:firstColumn="1" w:lastColumn="0" w:oddVBand="0" w:evenVBand="0" w:oddHBand="0" w:evenHBand="0" w:firstRowFirstColumn="0" w:firstRowLastColumn="0" w:lastRowFirstColumn="0" w:lastRowLastColumn="0"/>
            <w:tcW w:w="2835" w:type="dxa"/>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HSE prospective diary</w:t>
            </w:r>
          </w:p>
        </w:tc>
        <w:tc>
          <w:tcPr>
            <w:tcW w:w="1534" w:type="dxa"/>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12.7</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8.0</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264.7</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4,640</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66.0</w:t>
            </w:r>
          </w:p>
        </w:tc>
      </w:tr>
      <w:tr w:rsidR="00B51215" w:rsidRPr="00E41B66" w:rsidTr="008816FC">
        <w:trPr>
          <w:divId w:val="1199049687"/>
        </w:trPr>
        <w:tc>
          <w:tcPr>
            <w:cnfStyle w:val="001000000000" w:firstRow="0" w:lastRow="0" w:firstColumn="1" w:lastColumn="0" w:oddVBand="0" w:evenVBand="0" w:oddHBand="0" w:evenHBand="0" w:firstRowFirstColumn="0" w:firstRowLastColumn="0" w:lastRowFirstColumn="0" w:lastRowLastColumn="0"/>
            <w:tcW w:w="2835" w:type="dxa"/>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ATS GF</w:t>
            </w:r>
          </w:p>
        </w:tc>
        <w:tc>
          <w:tcPr>
            <w:tcW w:w="1534" w:type="dxa"/>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10.0</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5.1</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242.0</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22,136</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51.9</w:t>
            </w:r>
          </w:p>
        </w:tc>
      </w:tr>
      <w:tr w:rsidR="00B51215" w:rsidRPr="00E41B66" w:rsidTr="008816FC">
        <w:trPr>
          <w:divId w:val="1199049687"/>
        </w:trPr>
        <w:tc>
          <w:tcPr>
            <w:cnfStyle w:val="001000000000" w:firstRow="0" w:lastRow="0" w:firstColumn="1" w:lastColumn="0" w:oddVBand="0" w:evenVBand="0" w:oddHBand="0" w:evenHBand="0" w:firstRowFirstColumn="0" w:firstRowLastColumn="0" w:lastRowFirstColumn="0" w:lastRowLastColumn="0"/>
            <w:tcW w:w="2835" w:type="dxa"/>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ATS EWAC</w:t>
            </w:r>
          </w:p>
        </w:tc>
        <w:tc>
          <w:tcPr>
            <w:tcW w:w="1534" w:type="dxa"/>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9.8</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4.4</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245.0</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25,882</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50.9</w:t>
            </w:r>
          </w:p>
        </w:tc>
      </w:tr>
      <w:tr w:rsidR="00B51215" w:rsidRPr="00E41B66" w:rsidTr="008816FC">
        <w:trPr>
          <w:divId w:val="1199049687"/>
        </w:trPr>
        <w:tc>
          <w:tcPr>
            <w:cnfStyle w:val="001000000000" w:firstRow="0" w:lastRow="0" w:firstColumn="1" w:lastColumn="0" w:oddVBand="0" w:evenVBand="0" w:oddHBand="0" w:evenHBand="0" w:firstRowFirstColumn="0" w:firstRowLastColumn="0" w:lastRowFirstColumn="0" w:lastRowLastColumn="0"/>
            <w:tcW w:w="2835" w:type="dxa"/>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Retail sales</w:t>
            </w:r>
          </w:p>
        </w:tc>
        <w:tc>
          <w:tcPr>
            <w:tcW w:w="1534" w:type="dxa"/>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19.3</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w:t>
            </w:r>
          </w:p>
        </w:tc>
        <w:tc>
          <w:tcPr>
            <w:tcW w:w="0" w:type="auto"/>
            <w:hideMark/>
          </w:tcPr>
          <w:p w:rsidR="00B51215" w:rsidRPr="00E41B66" w:rsidRDefault="00177774">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w:t>
            </w:r>
          </w:p>
        </w:tc>
      </w:tr>
    </w:tbl>
    <w:p w:rsidR="00B51215" w:rsidRPr="00E41B66" w:rsidRDefault="00177774">
      <w:pPr>
        <w:pStyle w:val="NormalWeb"/>
        <w:divId w:val="1199049687"/>
        <w:rPr>
          <w:rFonts w:asciiTheme="majorHAnsi" w:hAnsiTheme="majorHAnsi" w:cstheme="majorHAnsi"/>
          <w:color w:val="333333"/>
          <w:sz w:val="21"/>
          <w:szCs w:val="21"/>
        </w:rPr>
      </w:pPr>
      <w:r w:rsidRPr="00E41B66">
        <w:rPr>
          <w:rFonts w:asciiTheme="majorHAnsi" w:eastAsiaTheme="minorHAnsi" w:hAnsiTheme="majorHAnsi" w:cstheme="majorHAnsi"/>
          <w:noProof/>
        </w:rPr>
        <w:lastRenderedPageBreak/>
        <w:drawing>
          <wp:inline distT="0" distB="0" distL="0" distR="0">
            <wp:extent cx="4358640" cy="2724150"/>
            <wp:effectExtent l="0" t="0" r="3810" b="0"/>
            <wp:docPr id="7" name="Picture 7" descr="C:\Users\sejjpfd\AppData\Local\Microsoft\Windows\INetCache\Content.MSO\8E863D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jjpfd\AppData\Local\Microsoft\Windows\INetCache\Content.MSO\8E863DBC.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2214" cy="2726384"/>
                    </a:xfrm>
                    <a:prstGeom prst="rect">
                      <a:avLst/>
                    </a:prstGeom>
                    <a:noFill/>
                    <a:ln>
                      <a:noFill/>
                    </a:ln>
                  </pic:spPr>
                </pic:pic>
              </a:graphicData>
            </a:graphic>
          </wp:inline>
        </w:drawing>
      </w:r>
    </w:p>
    <w:p w:rsidR="00B51215" w:rsidRPr="00B37BD9" w:rsidRDefault="00177774" w:rsidP="00B37BD9">
      <w:pPr>
        <w:pStyle w:val="NormalWeb"/>
        <w:divId w:val="1199049687"/>
        <w:rPr>
          <w:rFonts w:asciiTheme="majorHAnsi" w:hAnsiTheme="majorHAnsi" w:cstheme="majorHAnsi"/>
          <w:color w:val="333333"/>
          <w:sz w:val="21"/>
          <w:szCs w:val="21"/>
        </w:rPr>
      </w:pPr>
      <w:r w:rsidRPr="00E41B66">
        <w:rPr>
          <w:rFonts w:asciiTheme="majorHAnsi" w:hAnsiTheme="majorHAnsi" w:cstheme="majorHAnsi"/>
          <w:color w:val="333333"/>
          <w:sz w:val="21"/>
          <w:szCs w:val="21"/>
        </w:rPr>
        <w:t>Figure 5: Empirical cumulative distribution function of weekly alcohol consumption in England according to four alcohol schedules in residents aged 18 years and over</w:t>
      </w:r>
    </w:p>
    <w:p w:rsidR="00B51215" w:rsidRPr="00E41B66" w:rsidRDefault="00177774" w:rsidP="00E41B66">
      <w:pPr>
        <w:pStyle w:val="Heading1"/>
        <w:divId w:val="458568736"/>
      </w:pPr>
      <w:r w:rsidRPr="00E41B66">
        <w:rPr>
          <w:rStyle w:val="header-section-number"/>
        </w:rPr>
        <w:t>6</w:t>
      </w:r>
      <w:r w:rsidRPr="00E41B66">
        <w:t xml:space="preserve"> Ethics</w:t>
      </w:r>
    </w:p>
    <w:p w:rsidR="00B51215" w:rsidRPr="00E41B66" w:rsidRDefault="00177774">
      <w:pPr>
        <w:pStyle w:val="NormalWeb"/>
        <w:divId w:val="458568736"/>
        <w:rPr>
          <w:rFonts w:asciiTheme="majorHAnsi" w:hAnsiTheme="majorHAnsi" w:cstheme="majorHAnsi"/>
          <w:color w:val="333333"/>
          <w:sz w:val="21"/>
          <w:szCs w:val="21"/>
        </w:rPr>
      </w:pPr>
      <w:r w:rsidRPr="00E41B66">
        <w:rPr>
          <w:rFonts w:asciiTheme="majorHAnsi" w:hAnsiTheme="majorHAnsi" w:cstheme="majorHAnsi"/>
          <w:color w:val="333333"/>
          <w:sz w:val="21"/>
          <w:szCs w:val="21"/>
        </w:rPr>
        <w:t>Analysis of HSE and ATS microdata was approved by the University of Southampton’s Faculty of Medicine Ethics Committee (ERGO 44682). The hospital questionnaire (Study 3) collection and analysis was approved by the Health Research Authority National Research Ethics Service (IRAS 247458; REC 18/SC/0564).</w:t>
      </w:r>
    </w:p>
    <w:p w:rsidR="00B51215" w:rsidRPr="00E41B66" w:rsidRDefault="00177774" w:rsidP="00E41B66">
      <w:pPr>
        <w:pStyle w:val="Heading1"/>
        <w:divId w:val="318509008"/>
        <w:rPr>
          <w:sz w:val="51"/>
        </w:rPr>
      </w:pPr>
      <w:r w:rsidRPr="00E41B66">
        <w:rPr>
          <w:rStyle w:val="header-section-number"/>
        </w:rPr>
        <w:t>7</w:t>
      </w:r>
      <w:r w:rsidRPr="00E41B66">
        <w:t xml:space="preserve"> Supplementary materials</w:t>
      </w:r>
    </w:p>
    <w:p w:rsidR="00B51215" w:rsidRPr="00E41B66" w:rsidRDefault="00177774" w:rsidP="00E41B66">
      <w:pPr>
        <w:pStyle w:val="Heading2"/>
        <w:divId w:val="1213157551"/>
      </w:pPr>
      <w:r w:rsidRPr="00E41B66">
        <w:rPr>
          <w:rStyle w:val="header-section-number"/>
        </w:rPr>
        <w:t>7.1</w:t>
      </w:r>
      <w:r w:rsidRPr="00E41B66">
        <w:t xml:space="preserve"> Supplementary materials 1: EWAC coefficients (CSV file)</w:t>
      </w:r>
    </w:p>
    <w:p w:rsidR="00B51215" w:rsidRPr="00E41B66" w:rsidRDefault="00177774" w:rsidP="00E41B66">
      <w:pPr>
        <w:pStyle w:val="Heading2"/>
        <w:divId w:val="1909876900"/>
      </w:pPr>
      <w:r w:rsidRPr="00E41B66">
        <w:rPr>
          <w:rStyle w:val="header-section-number"/>
        </w:rPr>
        <w:t>7.2</w:t>
      </w:r>
      <w:r w:rsidRPr="00E41B66">
        <w:t xml:space="preserve"> Supplementary materials 2: Bayesian model report (PDF file)</w:t>
      </w:r>
    </w:p>
    <w:p w:rsidR="00B51215" w:rsidRPr="00E41B66" w:rsidRDefault="00177774" w:rsidP="00E41B66">
      <w:pPr>
        <w:pStyle w:val="Heading2"/>
        <w:divId w:val="925040950"/>
      </w:pPr>
      <w:r w:rsidRPr="00E41B66">
        <w:rPr>
          <w:rStyle w:val="header-section-number"/>
        </w:rPr>
        <w:t>7.3</w:t>
      </w:r>
      <w:r w:rsidRPr="00E41B66">
        <w:t xml:space="preserve"> Supplementary materials 3: Subgroup analyses</w:t>
      </w:r>
    </w:p>
    <w:p w:rsidR="00B51215" w:rsidRPr="00E41B66" w:rsidRDefault="00177774">
      <w:pPr>
        <w:pStyle w:val="NormalWeb"/>
        <w:divId w:val="925040950"/>
        <w:rPr>
          <w:rFonts w:asciiTheme="majorHAnsi" w:hAnsiTheme="majorHAnsi" w:cstheme="majorHAnsi"/>
          <w:color w:val="333333"/>
          <w:sz w:val="21"/>
          <w:szCs w:val="21"/>
        </w:rPr>
      </w:pPr>
      <w:r w:rsidRPr="00E41B66">
        <w:rPr>
          <w:rFonts w:asciiTheme="majorHAnsi" w:hAnsiTheme="majorHAnsi" w:cstheme="majorHAnsi"/>
          <w:color w:val="333333"/>
          <w:sz w:val="21"/>
          <w:szCs w:val="21"/>
        </w:rPr>
        <w:t>Table 7: Coefficients of linear regression of the bias and error of EWAC compared with GF in all respondents (n = 21,874)</w:t>
      </w:r>
    </w:p>
    <w:tbl>
      <w:tblPr>
        <w:tblW w:w="0" w:type="auto"/>
        <w:tblCellMar>
          <w:top w:w="15" w:type="dxa"/>
          <w:left w:w="15" w:type="dxa"/>
          <w:bottom w:w="15" w:type="dxa"/>
          <w:right w:w="15" w:type="dxa"/>
        </w:tblCellMar>
        <w:tblLook w:val="04A0" w:firstRow="1" w:lastRow="0" w:firstColumn="1" w:lastColumn="0" w:noHBand="0" w:noVBand="1"/>
      </w:tblPr>
      <w:tblGrid>
        <w:gridCol w:w="2660"/>
        <w:gridCol w:w="2901"/>
        <w:gridCol w:w="3465"/>
      </w:tblGrid>
      <w:tr w:rsidR="00B51215" w:rsidRPr="00E41B66">
        <w:trPr>
          <w:divId w:val="925040950"/>
        </w:trPr>
        <w:tc>
          <w:tcPr>
            <w:tcW w:w="0" w:type="auto"/>
            <w:gridSpan w:val="3"/>
            <w:tcBorders>
              <w:bottom w:val="single" w:sz="6" w:space="0" w:color="000000"/>
            </w:tcBorders>
            <w:shd w:val="clear" w:color="auto" w:fill="auto"/>
            <w:tcMar>
              <w:top w:w="0" w:type="dxa"/>
              <w:left w:w="0" w:type="dxa"/>
              <w:bottom w:w="0" w:type="dxa"/>
              <w:right w:w="0" w:type="dxa"/>
            </w:tcMar>
            <w:vAlign w:val="center"/>
            <w:hideMark/>
          </w:tcPr>
          <w:p w:rsidR="00B51215" w:rsidRPr="00E41B66" w:rsidRDefault="00B51215">
            <w:pPr>
              <w:rPr>
                <w:rFonts w:asciiTheme="majorHAnsi" w:hAnsiTheme="majorHAnsi" w:cstheme="majorHAnsi"/>
                <w:color w:val="333333"/>
                <w:sz w:val="21"/>
                <w:szCs w:val="21"/>
              </w:rPr>
            </w:pP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B51215">
            <w:pPr>
              <w:jc w:val="center"/>
              <w:rPr>
                <w:rFonts w:asciiTheme="majorHAnsi" w:eastAsia="Times New Roman" w:hAnsiTheme="majorHAnsi" w:cstheme="majorHAnsi"/>
                <w:sz w:val="20"/>
                <w:szCs w:val="20"/>
              </w:rPr>
            </w:pP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(EWAC_QFV - GFMEANWEEKLY)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LOG((EWAC_QFV - GFMEANWEEKLY)2)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B51215">
            <w:pPr>
              <w:jc w:val="center"/>
              <w:rPr>
                <w:rFonts w:asciiTheme="majorHAnsi" w:eastAsia="Times New Roman" w:hAnsiTheme="majorHAnsi" w:cstheme="majorHAnsi"/>
                <w:color w:val="333333"/>
                <w:sz w:val="21"/>
                <w:szCs w:val="21"/>
              </w:rPr>
            </w:pP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2 </w:t>
            </w:r>
          </w:p>
        </w:tc>
      </w:tr>
      <w:tr w:rsidR="00B51215" w:rsidRPr="00E41B66">
        <w:trPr>
          <w:divId w:val="925040950"/>
        </w:trPr>
        <w:tc>
          <w:tcPr>
            <w:tcW w:w="0" w:type="auto"/>
            <w:gridSpan w:val="3"/>
            <w:tcBorders>
              <w:bottom w:val="single" w:sz="6" w:space="0" w:color="000000"/>
            </w:tcBorders>
            <w:shd w:val="clear" w:color="auto" w:fill="auto"/>
            <w:tcMar>
              <w:top w:w="0" w:type="dxa"/>
              <w:left w:w="0" w:type="dxa"/>
              <w:bottom w:w="0" w:type="dxa"/>
              <w:right w:w="0" w:type="dxa"/>
            </w:tcMar>
            <w:vAlign w:val="center"/>
            <w:hideMark/>
          </w:tcPr>
          <w:p w:rsidR="00B51215" w:rsidRPr="00E41B66" w:rsidRDefault="00B51215">
            <w:pPr>
              <w:jc w:val="center"/>
              <w:rPr>
                <w:rFonts w:asciiTheme="majorHAnsi" w:eastAsia="Times New Roman" w:hAnsiTheme="majorHAnsi" w:cstheme="majorHAnsi"/>
                <w:color w:val="333333"/>
                <w:sz w:val="21"/>
                <w:szCs w:val="21"/>
              </w:rPr>
            </w:pP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Constant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0.7 (-0.1, 1.5)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0.7 (0.5, 0.9)</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sexMen</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-1.2 (-2.0, -0.4)</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0.7 (0.5, 0.9)</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f_ageg16-24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0.7 (-0.1, 1.6)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0.6 (0.4, 0.8)</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f_ageg35-44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-0.6 (-1.4, 0.2)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0.03 (-0.2, 0.2)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f_ageg45-54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0.03 (-0.7, 0.8)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(-0.1, 0.3)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f_ageg55-64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0.5 (-0.3, 1.3)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(-0.1, 0.3)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f_ageg65-74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(-0.8, 0.9)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-0.2 (-0.4, 0.03)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f_ageg75+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-0.2 (-1.2, 0.8)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-0.3 (-0.5, -0.00)</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ethgrpWhite</w:t>
            </w:r>
            <w:proofErr w:type="spellEnd"/>
            <w:r w:rsidRPr="00E41B66">
              <w:rPr>
                <w:rFonts w:asciiTheme="majorHAnsi" w:eastAsia="Times New Roman" w:hAnsiTheme="majorHAnsi" w:cstheme="majorHAnsi"/>
                <w:color w:val="333333"/>
                <w:sz w:val="21"/>
                <w:szCs w:val="21"/>
              </w:rPr>
              <w:t xml:space="preserve"> Other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1.1 (0.5, 1.7)</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-0.6 (-0.8, -0.4)</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ethgrpMixed</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-0.5 (-1.8, 0.8)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-0.3 (-0.6, 0.1)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ethgrpAsian</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0.9 (-0.2, 2.1)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-0.8 (-1.1, -0.5)</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ethgrpBlack</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2.0 (0.9, 3.1)</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-0.7 (-1.0, -0.4)</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ethgrpOther</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2.7 (0.8, 4.5)</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-1.1 (-1.6, -0.6)</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religionChristian</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0.00 (-0.3, 0.3)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-0.2 (-0.3, -0.2)</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lastRenderedPageBreak/>
              <w:t>religionMuslim</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1.0 (-1.8, 3.7)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-0.5 (-1.2, 0.2)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religionAny</w:t>
            </w:r>
            <w:proofErr w:type="spellEnd"/>
            <w:r w:rsidRPr="00E41B66">
              <w:rPr>
                <w:rFonts w:asciiTheme="majorHAnsi" w:eastAsia="Times New Roman" w:hAnsiTheme="majorHAnsi" w:cstheme="majorHAnsi"/>
                <w:color w:val="333333"/>
                <w:sz w:val="21"/>
                <w:szCs w:val="21"/>
              </w:rPr>
              <w:t xml:space="preserve"> other religion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-0.5 (-1.3, 0.3)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-0.03 (-0.2, 0.2)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highqualNVQ</w:t>
            </w:r>
            <w:proofErr w:type="spellEnd"/>
            <w:r w:rsidRPr="00E41B66">
              <w:rPr>
                <w:rFonts w:asciiTheme="majorHAnsi" w:eastAsia="Times New Roman" w:hAnsiTheme="majorHAnsi" w:cstheme="majorHAnsi"/>
                <w:color w:val="333333"/>
                <w:sz w:val="21"/>
                <w:szCs w:val="21"/>
              </w:rPr>
              <w:t xml:space="preserve"> &lt; = 3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-0.01 (-0.6, 0.5)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0.01 (-0.1, 0.1)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highqualNVQ4+ (degree)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(-0.7, 0.4)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(-0.02, 0.3)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highqualOther</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-0.3 (-1.0, 0.4)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0.01 (-0.2, 0.2)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smokstatStopped</w:t>
            </w:r>
            <w:proofErr w:type="spellEnd"/>
            <w:r w:rsidRPr="00E41B66">
              <w:rPr>
                <w:rFonts w:asciiTheme="majorHAnsi" w:eastAsia="Times New Roman" w:hAnsiTheme="majorHAnsi" w:cstheme="majorHAnsi"/>
                <w:color w:val="333333"/>
                <w:sz w:val="21"/>
                <w:szCs w:val="21"/>
              </w:rPr>
              <w:t xml:space="preserve">&gt; 1y ago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(-0.4, 0.3)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0.4 (0.3, 0.5)</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smokstatStopped</w:t>
            </w:r>
            <w:proofErr w:type="spellEnd"/>
            <w:r w:rsidRPr="00E41B66">
              <w:rPr>
                <w:rFonts w:asciiTheme="majorHAnsi" w:eastAsia="Times New Roman" w:hAnsiTheme="majorHAnsi" w:cstheme="majorHAnsi"/>
                <w:color w:val="333333"/>
                <w:sz w:val="21"/>
                <w:szCs w:val="21"/>
              </w:rPr>
              <w:t xml:space="preserve"> in past year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-0.3 (-1.5, 0.9)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0.6 (0.3, 0.9)</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smokstatSmoker</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-0.7 (-1.1, -0.2)</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0.9 (0.8, 1.0)</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sexMen:f_ageg16-24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(-1.3, 1.0)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(-0.4, 0.2)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sexMen:f_ageg35-44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0.04 (-1.1, 1.2)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0.00 (-0.3, 0.3)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sexMen:f_ageg45-54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-0.5 (-1.5, 0.6)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0.04 (-0.2, 0.3)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sexMen:f_ageg55-64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(-1.2, 1.0)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0.2 (-0.1, 0.5)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sexMen:f_ageg65-74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1.3 (0.2, 2.4)</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0.3 (0.00, 0.6)</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sexMen:f_ageg75+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1.5 (0.3, 2.8)</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-0.2 (-0.5, 0.1)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Observations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21,874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21,874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R</w:t>
            </w:r>
            <w:r w:rsidRPr="00E41B66">
              <w:rPr>
                <w:rFonts w:asciiTheme="majorHAnsi" w:eastAsia="Times New Roman" w:hAnsiTheme="majorHAnsi" w:cstheme="majorHAnsi"/>
                <w:color w:val="333333"/>
                <w:sz w:val="16"/>
                <w:szCs w:val="16"/>
                <w:vertAlign w:val="superscript"/>
              </w:rPr>
              <w:t>2</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0.01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0.05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Adjusted R</w:t>
            </w:r>
            <w:r w:rsidRPr="00E41B66">
              <w:rPr>
                <w:rFonts w:asciiTheme="majorHAnsi" w:eastAsia="Times New Roman" w:hAnsiTheme="majorHAnsi" w:cstheme="majorHAnsi"/>
                <w:color w:val="333333"/>
                <w:sz w:val="16"/>
                <w:szCs w:val="16"/>
                <w:vertAlign w:val="superscript"/>
              </w:rPr>
              <w:t>2</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0.01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0.05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Residual Std. Error (</w:t>
            </w:r>
            <w:proofErr w:type="spellStart"/>
            <w:r w:rsidRPr="00E41B66">
              <w:rPr>
                <w:rFonts w:asciiTheme="majorHAnsi" w:eastAsia="Times New Roman" w:hAnsiTheme="majorHAnsi" w:cstheme="majorHAnsi"/>
                <w:color w:val="333333"/>
                <w:sz w:val="21"/>
                <w:szCs w:val="21"/>
              </w:rPr>
              <w:t>df</w:t>
            </w:r>
            <w:proofErr w:type="spellEnd"/>
            <w:r w:rsidRPr="00E41B66">
              <w:rPr>
                <w:rFonts w:asciiTheme="majorHAnsi" w:eastAsia="Times New Roman" w:hAnsiTheme="majorHAnsi" w:cstheme="majorHAnsi"/>
                <w:color w:val="333333"/>
                <w:sz w:val="21"/>
                <w:szCs w:val="21"/>
              </w:rPr>
              <w:t xml:space="preserve"> = 21846)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11.0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2.9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F Statistic (</w:t>
            </w:r>
            <w:proofErr w:type="spellStart"/>
            <w:r w:rsidRPr="00E41B66">
              <w:rPr>
                <w:rFonts w:asciiTheme="majorHAnsi" w:eastAsia="Times New Roman" w:hAnsiTheme="majorHAnsi" w:cstheme="majorHAnsi"/>
                <w:color w:val="333333"/>
                <w:sz w:val="21"/>
                <w:szCs w:val="21"/>
              </w:rPr>
              <w:t>df</w:t>
            </w:r>
            <w:proofErr w:type="spellEnd"/>
            <w:r w:rsidRPr="00E41B66">
              <w:rPr>
                <w:rFonts w:asciiTheme="majorHAnsi" w:eastAsia="Times New Roman" w:hAnsiTheme="majorHAnsi" w:cstheme="majorHAnsi"/>
                <w:color w:val="333333"/>
                <w:sz w:val="21"/>
                <w:szCs w:val="21"/>
              </w:rPr>
              <w:t xml:space="preserve"> = 27; 21846)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5.1</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40.0</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gridSpan w:val="3"/>
            <w:tcBorders>
              <w:bottom w:val="single" w:sz="6" w:space="0" w:color="000000"/>
            </w:tcBorders>
            <w:shd w:val="clear" w:color="auto" w:fill="auto"/>
            <w:tcMar>
              <w:top w:w="0" w:type="dxa"/>
              <w:left w:w="0" w:type="dxa"/>
              <w:bottom w:w="0" w:type="dxa"/>
              <w:right w:w="0" w:type="dxa"/>
            </w:tcMar>
            <w:vAlign w:val="center"/>
            <w:hideMark/>
          </w:tcPr>
          <w:p w:rsidR="00B51215" w:rsidRPr="00E41B66" w:rsidRDefault="00B51215">
            <w:pPr>
              <w:jc w:val="center"/>
              <w:rPr>
                <w:rFonts w:asciiTheme="majorHAnsi" w:eastAsia="Times New Roman" w:hAnsiTheme="majorHAnsi" w:cstheme="majorHAnsi"/>
                <w:color w:val="333333"/>
                <w:sz w:val="21"/>
                <w:szCs w:val="21"/>
              </w:rPr>
            </w:pP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Style w:val="Emphasis"/>
                <w:rFonts w:asciiTheme="majorHAnsi" w:eastAsia="Times New Roman" w:hAnsiTheme="majorHAnsi" w:cstheme="majorHAnsi"/>
                <w:color w:val="333333"/>
                <w:sz w:val="21"/>
                <w:szCs w:val="21"/>
              </w:rPr>
              <w:t>Notes:</w:t>
            </w:r>
            <w:r w:rsidRPr="00E41B66">
              <w:rPr>
                <w:rFonts w:asciiTheme="majorHAnsi" w:eastAsia="Times New Roman" w:hAnsiTheme="majorHAnsi" w:cstheme="majorHAnsi"/>
                <w:color w:val="333333"/>
                <w:sz w:val="21"/>
                <w:szCs w:val="21"/>
              </w:rPr>
              <w:t xml:space="preserve"> </w:t>
            </w:r>
          </w:p>
        </w:tc>
        <w:tc>
          <w:tcPr>
            <w:tcW w:w="0" w:type="auto"/>
            <w:gridSpan w:val="2"/>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P &lt; .05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B51215">
            <w:pPr>
              <w:rPr>
                <w:rFonts w:asciiTheme="majorHAnsi" w:eastAsia="Times New Roman" w:hAnsiTheme="majorHAnsi" w:cstheme="majorHAnsi"/>
                <w:color w:val="333333"/>
                <w:sz w:val="21"/>
                <w:szCs w:val="21"/>
              </w:rPr>
            </w:pPr>
          </w:p>
        </w:tc>
        <w:tc>
          <w:tcPr>
            <w:tcW w:w="0" w:type="auto"/>
            <w:gridSpan w:val="2"/>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P &lt; .01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B51215">
            <w:pPr>
              <w:rPr>
                <w:rFonts w:asciiTheme="majorHAnsi" w:eastAsia="Times New Roman" w:hAnsiTheme="majorHAnsi" w:cstheme="majorHAnsi"/>
                <w:color w:val="333333"/>
                <w:sz w:val="21"/>
                <w:szCs w:val="21"/>
              </w:rPr>
            </w:pPr>
          </w:p>
        </w:tc>
        <w:tc>
          <w:tcPr>
            <w:tcW w:w="0" w:type="auto"/>
            <w:gridSpan w:val="2"/>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P &lt; .001 </w:t>
            </w:r>
          </w:p>
        </w:tc>
      </w:tr>
    </w:tbl>
    <w:p w:rsidR="00B51215" w:rsidRPr="00E41B66" w:rsidRDefault="00177774">
      <w:pPr>
        <w:pStyle w:val="NormalWeb"/>
        <w:divId w:val="925040950"/>
        <w:rPr>
          <w:rFonts w:asciiTheme="majorHAnsi" w:hAnsiTheme="majorHAnsi" w:cstheme="majorHAnsi"/>
          <w:color w:val="333333"/>
          <w:sz w:val="21"/>
          <w:szCs w:val="21"/>
        </w:rPr>
      </w:pPr>
      <w:r w:rsidRPr="00E41B66">
        <w:rPr>
          <w:rFonts w:asciiTheme="majorHAnsi" w:hAnsiTheme="majorHAnsi" w:cstheme="majorHAnsi"/>
          <w:color w:val="333333"/>
          <w:sz w:val="21"/>
          <w:szCs w:val="21"/>
        </w:rPr>
        <w:t>Table 8: Coefficients of linear regression of the bias and error of EWAC compared with GF in respondents with a hazardous/harmful alcohol use (AUDIT-C&gt;=5 or AUDIT&gt;=8; (n = 9,850)</w:t>
      </w:r>
    </w:p>
    <w:tbl>
      <w:tblPr>
        <w:tblW w:w="0" w:type="auto"/>
        <w:tblCellMar>
          <w:top w:w="15" w:type="dxa"/>
          <w:left w:w="15" w:type="dxa"/>
          <w:bottom w:w="15" w:type="dxa"/>
          <w:right w:w="15" w:type="dxa"/>
        </w:tblCellMar>
        <w:tblLook w:val="04A0" w:firstRow="1" w:lastRow="0" w:firstColumn="1" w:lastColumn="0" w:noHBand="0" w:noVBand="1"/>
      </w:tblPr>
      <w:tblGrid>
        <w:gridCol w:w="4377"/>
        <w:gridCol w:w="1640"/>
        <w:gridCol w:w="1640"/>
      </w:tblGrid>
      <w:tr w:rsidR="00B51215" w:rsidRPr="00E41B66">
        <w:trPr>
          <w:divId w:val="925040950"/>
        </w:trPr>
        <w:tc>
          <w:tcPr>
            <w:tcW w:w="0" w:type="auto"/>
            <w:gridSpan w:val="3"/>
            <w:tcBorders>
              <w:bottom w:val="single" w:sz="6" w:space="0" w:color="000000"/>
            </w:tcBorders>
            <w:shd w:val="clear" w:color="auto" w:fill="auto"/>
            <w:tcMar>
              <w:top w:w="0" w:type="dxa"/>
              <w:left w:w="0" w:type="dxa"/>
              <w:bottom w:w="0" w:type="dxa"/>
              <w:right w:w="0" w:type="dxa"/>
            </w:tcMar>
            <w:vAlign w:val="center"/>
            <w:hideMark/>
          </w:tcPr>
          <w:p w:rsidR="00B51215" w:rsidRPr="00E41B66" w:rsidRDefault="00B51215">
            <w:pPr>
              <w:rPr>
                <w:rFonts w:asciiTheme="majorHAnsi" w:hAnsiTheme="majorHAnsi" w:cstheme="majorHAnsi"/>
                <w:color w:val="333333"/>
                <w:sz w:val="21"/>
                <w:szCs w:val="21"/>
              </w:rPr>
            </w:pP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B51215">
            <w:pPr>
              <w:jc w:val="center"/>
              <w:rPr>
                <w:rFonts w:asciiTheme="majorHAnsi" w:eastAsia="Times New Roman" w:hAnsiTheme="majorHAnsi" w:cstheme="majorHAnsi"/>
                <w:sz w:val="20"/>
                <w:szCs w:val="20"/>
              </w:rPr>
            </w:pPr>
          </w:p>
        </w:tc>
        <w:tc>
          <w:tcPr>
            <w:tcW w:w="0" w:type="auto"/>
            <w:gridSpan w:val="2"/>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(EWAC_QFV - GFMEANWEEKLY)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B51215">
            <w:pPr>
              <w:jc w:val="center"/>
              <w:rPr>
                <w:rFonts w:asciiTheme="majorHAnsi" w:eastAsia="Times New Roman" w:hAnsiTheme="majorHAnsi" w:cstheme="majorHAnsi"/>
                <w:color w:val="333333"/>
                <w:sz w:val="21"/>
                <w:szCs w:val="21"/>
              </w:rPr>
            </w:pP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2 </w:t>
            </w:r>
          </w:p>
        </w:tc>
      </w:tr>
      <w:tr w:rsidR="00B51215" w:rsidRPr="00E41B66">
        <w:trPr>
          <w:divId w:val="925040950"/>
        </w:trPr>
        <w:tc>
          <w:tcPr>
            <w:tcW w:w="0" w:type="auto"/>
            <w:gridSpan w:val="3"/>
            <w:tcBorders>
              <w:bottom w:val="single" w:sz="6" w:space="0" w:color="000000"/>
            </w:tcBorders>
            <w:shd w:val="clear" w:color="auto" w:fill="auto"/>
            <w:tcMar>
              <w:top w:w="0" w:type="dxa"/>
              <w:left w:w="0" w:type="dxa"/>
              <w:bottom w:w="0" w:type="dxa"/>
              <w:right w:w="0" w:type="dxa"/>
            </w:tcMar>
            <w:vAlign w:val="center"/>
            <w:hideMark/>
          </w:tcPr>
          <w:p w:rsidR="00B51215" w:rsidRPr="00E41B66" w:rsidRDefault="00B51215">
            <w:pPr>
              <w:jc w:val="center"/>
              <w:rPr>
                <w:rFonts w:asciiTheme="majorHAnsi" w:eastAsia="Times New Roman" w:hAnsiTheme="majorHAnsi" w:cstheme="majorHAnsi"/>
                <w:color w:val="333333"/>
                <w:sz w:val="21"/>
                <w:szCs w:val="21"/>
              </w:rPr>
            </w:pP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Constant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0.4 (-1.4, 2.2)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0.4 (-1.4, 2.2)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sexMen</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-1.3 (-2.9, 0.3)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-1.3 (-2.9, 0.3)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f_ageg16-24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1.0 (-0.6, 2.6)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1.0 (-0.6, 2.6)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f_ageg35-44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-0.8 (-2.5, 0.9)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-0.8 (-2.5, 0.9)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f_ageg45-54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0.5 (-1.1, 2.2)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0.5 (-1.1, 2.2)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f_ageg55-64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2.2 (0.5, 3.9)</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2.2 (0.5, 3.9)</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f_ageg65-74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1.4 (-0.7, 3.4)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1.4 (-0.7, 3.4)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f_ageg75+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4.2 (0.9, 7.6)</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4.2 (0.9, 7.6)</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ethgrpWhite</w:t>
            </w:r>
            <w:proofErr w:type="spellEnd"/>
            <w:r w:rsidRPr="00E41B66">
              <w:rPr>
                <w:rFonts w:asciiTheme="majorHAnsi" w:eastAsia="Times New Roman" w:hAnsiTheme="majorHAnsi" w:cstheme="majorHAnsi"/>
                <w:color w:val="333333"/>
                <w:sz w:val="21"/>
                <w:szCs w:val="21"/>
              </w:rPr>
              <w:t xml:space="preserve"> Other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1.6 (0.2, 3.0)</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1.6 (0.2, 3.0)</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ethgrpMixed</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-1.5 (-4.0, 1.0)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-1.5 (-4.0, 1.0)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ethgrpAsian</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2.4 (-0.5, 5.2)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2.4 (-0.5, 5.2)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ethgrpBlack</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4.8 (2.1, 7.5)</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4.8 (2.1, 7.5)</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ethgrpOther</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5.9 (1.6, 10.1)</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5.9 (1.6, 10.1)</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favdrinkCider</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-1.1 (-2.5, 0.2)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-1.1 (-2.5, 0.2)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favdrinkMixed</w:t>
            </w:r>
            <w:proofErr w:type="spellEnd"/>
            <w:r w:rsidRPr="00E41B66">
              <w:rPr>
                <w:rFonts w:asciiTheme="majorHAnsi" w:eastAsia="Times New Roman" w:hAnsiTheme="majorHAnsi" w:cstheme="majorHAnsi"/>
                <w:color w:val="333333"/>
                <w:sz w:val="21"/>
                <w:szCs w:val="21"/>
              </w:rPr>
              <w:t xml:space="preserve"> spirits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1.3 (-0.1, 2.6)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1.3 (-0.1, 2.6)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favdrinkOther</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3.5 (-0.1, 7.0)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3.5 (-0.1, 7.0)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favdrinkSpirits</w:t>
            </w:r>
            <w:proofErr w:type="spellEnd"/>
            <w:r w:rsidRPr="00E41B66">
              <w:rPr>
                <w:rFonts w:asciiTheme="majorHAnsi" w:eastAsia="Times New Roman" w:hAnsiTheme="majorHAnsi" w:cstheme="majorHAnsi"/>
                <w:color w:val="333333"/>
                <w:sz w:val="21"/>
                <w:szCs w:val="21"/>
              </w:rPr>
              <w:t xml:space="preserve"> alone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1.0 (-0.1, 2.1)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1.0 (-0.1, 2.1)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favdrinkWine</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0.6 (-0.1, 1.4)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0.6 (-0.1, 1.4)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tryalclyc2Attempt to cut down in last 12 months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-0.5 (-1.2, 0.1)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-0.5 (-1.2, 0.1)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religionChristian</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0.2 (-0.4, 0.8)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0.2 (-0.4, 0.8)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religionMuslim</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4.6 (-4.7, 13.9)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4.6 (-4.7, 13.9)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religionAny</w:t>
            </w:r>
            <w:proofErr w:type="spellEnd"/>
            <w:r w:rsidRPr="00E41B66">
              <w:rPr>
                <w:rFonts w:asciiTheme="majorHAnsi" w:eastAsia="Times New Roman" w:hAnsiTheme="majorHAnsi" w:cstheme="majorHAnsi"/>
                <w:color w:val="333333"/>
                <w:sz w:val="21"/>
                <w:szCs w:val="21"/>
              </w:rPr>
              <w:t xml:space="preserve"> other religion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-1.7 (-3.4, -0.01)</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-1.7 (-3.4, -0.01)</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highqualNVQ</w:t>
            </w:r>
            <w:proofErr w:type="spellEnd"/>
            <w:r w:rsidRPr="00E41B66">
              <w:rPr>
                <w:rFonts w:asciiTheme="majorHAnsi" w:eastAsia="Times New Roman" w:hAnsiTheme="majorHAnsi" w:cstheme="majorHAnsi"/>
                <w:color w:val="333333"/>
                <w:sz w:val="21"/>
                <w:szCs w:val="21"/>
              </w:rPr>
              <w:t xml:space="preserve"> &lt; = 3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0.3 (-0.9, 1.4)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0.3 (-0.9, 1.4)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highqualNVQ4+ (degree)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(-1.2, 1.3)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(-1.2, 1.3)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highqualOther</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-0.8 (-2.4, 0.8)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-0.8 (-2.4, 0.8)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smokstatStopped</w:t>
            </w:r>
            <w:proofErr w:type="spellEnd"/>
            <w:r w:rsidRPr="00E41B66">
              <w:rPr>
                <w:rFonts w:asciiTheme="majorHAnsi" w:eastAsia="Times New Roman" w:hAnsiTheme="majorHAnsi" w:cstheme="majorHAnsi"/>
                <w:color w:val="333333"/>
                <w:sz w:val="21"/>
                <w:szCs w:val="21"/>
              </w:rPr>
              <w:t xml:space="preserve">&gt; 1y ago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-0.6 (-1.3, 0.2)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-0.6 (-1.3, 0.2)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smokstatStopped</w:t>
            </w:r>
            <w:proofErr w:type="spellEnd"/>
            <w:r w:rsidRPr="00E41B66">
              <w:rPr>
                <w:rFonts w:asciiTheme="majorHAnsi" w:eastAsia="Times New Roman" w:hAnsiTheme="majorHAnsi" w:cstheme="majorHAnsi"/>
                <w:color w:val="333333"/>
                <w:sz w:val="21"/>
                <w:szCs w:val="21"/>
              </w:rPr>
              <w:t xml:space="preserve"> in past year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-0.5 (-2.6, 1.6)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-0.5 (-2.6, 1.6)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proofErr w:type="spellStart"/>
            <w:r w:rsidRPr="00E41B66">
              <w:rPr>
                <w:rFonts w:asciiTheme="majorHAnsi" w:eastAsia="Times New Roman" w:hAnsiTheme="majorHAnsi" w:cstheme="majorHAnsi"/>
                <w:color w:val="333333"/>
                <w:sz w:val="21"/>
                <w:szCs w:val="21"/>
              </w:rPr>
              <w:t>smokstatSmoker</w:t>
            </w:r>
            <w:proofErr w:type="spellEnd"/>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-1.1 (-1.8, -0.4)</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-1.1 (-1.8, -0.4)</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lastRenderedPageBreak/>
              <w:t xml:space="preserve">sexMen:f_ageg16-24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(-2.2, 2.0)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(-2.2, 2.0)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sexMen:f_ageg35-44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(-2.3, 2.1)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-0.1 (-2.3, 2.1)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sexMen:f_ageg45-54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-0.9 (-3.0, 1.2)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-0.9 (-3.0, 1.2)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sexMen:f_ageg55-64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-1.1 (-3.3, 1.0)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-1.1 (-3.3, 1.0)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sexMen:f_ageg65-74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1.3 (-1.1, 3.7)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1.3 (-1.1, 3.7)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sexMen:f_ageg75+ years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-1.5 (-5.3, 2.3)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-1.5 (-5.3, 2.3)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Observations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9,850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9,850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R</w:t>
            </w:r>
            <w:r w:rsidRPr="00E41B66">
              <w:rPr>
                <w:rFonts w:asciiTheme="majorHAnsi" w:eastAsia="Times New Roman" w:hAnsiTheme="majorHAnsi" w:cstheme="majorHAnsi"/>
                <w:color w:val="333333"/>
                <w:sz w:val="16"/>
                <w:szCs w:val="16"/>
                <w:vertAlign w:val="superscript"/>
              </w:rPr>
              <w:t>2</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0.02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0.02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Adjusted R</w:t>
            </w:r>
            <w:r w:rsidRPr="00E41B66">
              <w:rPr>
                <w:rFonts w:asciiTheme="majorHAnsi" w:eastAsia="Times New Roman" w:hAnsiTheme="majorHAnsi" w:cstheme="majorHAnsi"/>
                <w:color w:val="333333"/>
                <w:sz w:val="16"/>
                <w:szCs w:val="16"/>
                <w:vertAlign w:val="superscript"/>
              </w:rPr>
              <w:t>2</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0.01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0.01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Residual Std. Error (</w:t>
            </w:r>
            <w:proofErr w:type="spellStart"/>
            <w:r w:rsidRPr="00E41B66">
              <w:rPr>
                <w:rFonts w:asciiTheme="majorHAnsi" w:eastAsia="Times New Roman" w:hAnsiTheme="majorHAnsi" w:cstheme="majorHAnsi"/>
                <w:color w:val="333333"/>
                <w:sz w:val="21"/>
                <w:szCs w:val="21"/>
              </w:rPr>
              <w:t>df</w:t>
            </w:r>
            <w:proofErr w:type="spellEnd"/>
            <w:r w:rsidRPr="00E41B66">
              <w:rPr>
                <w:rFonts w:asciiTheme="majorHAnsi" w:eastAsia="Times New Roman" w:hAnsiTheme="majorHAnsi" w:cstheme="majorHAnsi"/>
                <w:color w:val="333333"/>
                <w:sz w:val="21"/>
                <w:szCs w:val="21"/>
              </w:rPr>
              <w:t xml:space="preserve"> = 9816)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14.4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14.4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F Statistic (</w:t>
            </w:r>
            <w:proofErr w:type="spellStart"/>
            <w:r w:rsidRPr="00E41B66">
              <w:rPr>
                <w:rFonts w:asciiTheme="majorHAnsi" w:eastAsia="Times New Roman" w:hAnsiTheme="majorHAnsi" w:cstheme="majorHAnsi"/>
                <w:color w:val="333333"/>
                <w:sz w:val="21"/>
                <w:szCs w:val="21"/>
              </w:rPr>
              <w:t>df</w:t>
            </w:r>
            <w:proofErr w:type="spellEnd"/>
            <w:r w:rsidRPr="00E41B66">
              <w:rPr>
                <w:rFonts w:asciiTheme="majorHAnsi" w:eastAsia="Times New Roman" w:hAnsiTheme="majorHAnsi" w:cstheme="majorHAnsi"/>
                <w:color w:val="333333"/>
                <w:sz w:val="21"/>
                <w:szCs w:val="21"/>
              </w:rPr>
              <w:t xml:space="preserve"> = 33; 9816)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4.9</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4.9</w:t>
            </w: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 </w:t>
            </w:r>
          </w:p>
        </w:tc>
      </w:tr>
      <w:tr w:rsidR="00B51215" w:rsidRPr="00E41B66">
        <w:trPr>
          <w:divId w:val="925040950"/>
        </w:trPr>
        <w:tc>
          <w:tcPr>
            <w:tcW w:w="0" w:type="auto"/>
            <w:gridSpan w:val="3"/>
            <w:tcBorders>
              <w:bottom w:val="single" w:sz="6" w:space="0" w:color="000000"/>
            </w:tcBorders>
            <w:shd w:val="clear" w:color="auto" w:fill="auto"/>
            <w:tcMar>
              <w:top w:w="0" w:type="dxa"/>
              <w:left w:w="0" w:type="dxa"/>
              <w:bottom w:w="0" w:type="dxa"/>
              <w:right w:w="0" w:type="dxa"/>
            </w:tcMar>
            <w:vAlign w:val="center"/>
            <w:hideMark/>
          </w:tcPr>
          <w:p w:rsidR="00B51215" w:rsidRPr="00E41B66" w:rsidRDefault="00B51215">
            <w:pPr>
              <w:jc w:val="center"/>
              <w:rPr>
                <w:rFonts w:asciiTheme="majorHAnsi" w:eastAsia="Times New Roman" w:hAnsiTheme="majorHAnsi" w:cstheme="majorHAnsi"/>
                <w:color w:val="333333"/>
                <w:sz w:val="21"/>
                <w:szCs w:val="21"/>
              </w:rPr>
            </w:pP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Style w:val="Emphasis"/>
                <w:rFonts w:asciiTheme="majorHAnsi" w:eastAsia="Times New Roman" w:hAnsiTheme="majorHAnsi" w:cstheme="majorHAnsi"/>
                <w:color w:val="333333"/>
                <w:sz w:val="21"/>
                <w:szCs w:val="21"/>
              </w:rPr>
              <w:t>Notes:</w:t>
            </w:r>
            <w:r w:rsidRPr="00E41B66">
              <w:rPr>
                <w:rFonts w:asciiTheme="majorHAnsi" w:eastAsia="Times New Roman" w:hAnsiTheme="majorHAnsi" w:cstheme="majorHAnsi"/>
                <w:color w:val="333333"/>
                <w:sz w:val="21"/>
                <w:szCs w:val="21"/>
              </w:rPr>
              <w:t xml:space="preserve"> </w:t>
            </w:r>
          </w:p>
        </w:tc>
        <w:tc>
          <w:tcPr>
            <w:tcW w:w="0" w:type="auto"/>
            <w:gridSpan w:val="2"/>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P &lt; .05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B51215">
            <w:pPr>
              <w:rPr>
                <w:rFonts w:asciiTheme="majorHAnsi" w:eastAsia="Times New Roman" w:hAnsiTheme="majorHAnsi" w:cstheme="majorHAnsi"/>
                <w:color w:val="333333"/>
                <w:sz w:val="21"/>
                <w:szCs w:val="21"/>
              </w:rPr>
            </w:pPr>
          </w:p>
        </w:tc>
        <w:tc>
          <w:tcPr>
            <w:tcW w:w="0" w:type="auto"/>
            <w:gridSpan w:val="2"/>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P &lt; .01 </w:t>
            </w:r>
          </w:p>
        </w:tc>
      </w:tr>
      <w:tr w:rsidR="00B51215" w:rsidRPr="00E41B66">
        <w:trPr>
          <w:divId w:val="925040950"/>
        </w:trPr>
        <w:tc>
          <w:tcPr>
            <w:tcW w:w="0" w:type="auto"/>
            <w:shd w:val="clear" w:color="auto" w:fill="auto"/>
            <w:tcMar>
              <w:top w:w="0" w:type="dxa"/>
              <w:left w:w="0" w:type="dxa"/>
              <w:bottom w:w="0" w:type="dxa"/>
              <w:right w:w="0" w:type="dxa"/>
            </w:tcMar>
            <w:vAlign w:val="center"/>
            <w:hideMark/>
          </w:tcPr>
          <w:p w:rsidR="00B51215" w:rsidRPr="00E41B66" w:rsidRDefault="00B51215">
            <w:pPr>
              <w:rPr>
                <w:rFonts w:asciiTheme="majorHAnsi" w:eastAsia="Times New Roman" w:hAnsiTheme="majorHAnsi" w:cstheme="majorHAnsi"/>
                <w:color w:val="333333"/>
                <w:sz w:val="21"/>
                <w:szCs w:val="21"/>
              </w:rPr>
            </w:pPr>
          </w:p>
        </w:tc>
        <w:tc>
          <w:tcPr>
            <w:tcW w:w="0" w:type="auto"/>
            <w:gridSpan w:val="2"/>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16"/>
                <w:szCs w:val="16"/>
                <w:vertAlign w:val="superscript"/>
              </w:rPr>
              <w:t>***</w:t>
            </w:r>
            <w:r w:rsidRPr="00E41B66">
              <w:rPr>
                <w:rFonts w:asciiTheme="majorHAnsi" w:eastAsia="Times New Roman" w:hAnsiTheme="majorHAnsi" w:cstheme="majorHAnsi"/>
                <w:color w:val="333333"/>
                <w:sz w:val="21"/>
                <w:szCs w:val="21"/>
              </w:rPr>
              <w:t xml:space="preserve">P &lt; .001 </w:t>
            </w:r>
          </w:p>
        </w:tc>
      </w:tr>
    </w:tbl>
    <w:p w:rsidR="00B51215" w:rsidRPr="00E41B66" w:rsidRDefault="00177774" w:rsidP="00E41B66">
      <w:pPr>
        <w:pStyle w:val="Heading2"/>
        <w:divId w:val="166528404"/>
        <w:rPr>
          <w:sz w:val="45"/>
        </w:rPr>
      </w:pPr>
      <w:r w:rsidRPr="00E41B66">
        <w:rPr>
          <w:rStyle w:val="header-section-number"/>
        </w:rPr>
        <w:t>7.4</w:t>
      </w:r>
      <w:r w:rsidRPr="00E41B66">
        <w:t xml:space="preserve"> Supplementary materials 3: ROC curves</w:t>
      </w:r>
    </w:p>
    <w:p w:rsidR="00B51215" w:rsidRPr="00E41B66" w:rsidRDefault="00177774">
      <w:pPr>
        <w:pStyle w:val="NormalWeb"/>
        <w:divId w:val="166528404"/>
        <w:rPr>
          <w:rFonts w:asciiTheme="majorHAnsi" w:hAnsiTheme="majorHAnsi" w:cstheme="majorHAnsi"/>
          <w:color w:val="333333"/>
          <w:sz w:val="21"/>
          <w:szCs w:val="21"/>
        </w:rPr>
      </w:pPr>
      <w:r w:rsidRPr="00E41B66">
        <w:rPr>
          <w:rFonts w:asciiTheme="majorHAnsi" w:eastAsiaTheme="minorHAnsi" w:hAnsiTheme="majorHAnsi" w:cstheme="majorHAnsi"/>
          <w:noProof/>
        </w:rPr>
        <w:drawing>
          <wp:inline distT="0" distB="0" distL="0" distR="0">
            <wp:extent cx="4987290" cy="3562350"/>
            <wp:effectExtent l="0" t="0" r="3810" b="0"/>
            <wp:docPr id="8" name="Picture 8" descr="C:\Users\sejjpfd\AppData\Local\Microsoft\Windows\INetCache\Content.MSO\C0C60A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jjpfd\AppData\Local\Microsoft\Windows\INetCache\Content.MSO\C0C60A8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7290" cy="3562350"/>
                    </a:xfrm>
                    <a:prstGeom prst="rect">
                      <a:avLst/>
                    </a:prstGeom>
                    <a:noFill/>
                    <a:ln>
                      <a:noFill/>
                    </a:ln>
                  </pic:spPr>
                </pic:pic>
              </a:graphicData>
            </a:graphic>
          </wp:inline>
        </w:drawing>
      </w:r>
    </w:p>
    <w:p w:rsidR="00B51215" w:rsidRPr="00E41B66" w:rsidRDefault="00177774" w:rsidP="00E41B66">
      <w:pPr>
        <w:pStyle w:val="Heading1"/>
        <w:divId w:val="1080063009"/>
        <w:rPr>
          <w:sz w:val="51"/>
        </w:rPr>
      </w:pPr>
      <w:r w:rsidRPr="00E41B66">
        <w:rPr>
          <w:rStyle w:val="header-section-number"/>
        </w:rPr>
        <w:t>9</w:t>
      </w:r>
      <w:r w:rsidRPr="00E41B66">
        <w:t xml:space="preserve"> Tables</w:t>
      </w:r>
    </w:p>
    <w:p w:rsidR="00B51215" w:rsidRPr="00E41B66" w:rsidRDefault="00177774">
      <w:pPr>
        <w:pStyle w:val="NormalWeb"/>
        <w:divId w:val="1080063009"/>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Table 1: </w:t>
      </w:r>
      <w:bookmarkStart w:id="1" w:name="table_questionnaires"/>
      <w:bookmarkEnd w:id="1"/>
      <w:r w:rsidRPr="00E41B66">
        <w:rPr>
          <w:rFonts w:asciiTheme="majorHAnsi" w:hAnsiTheme="majorHAnsi" w:cstheme="majorHAnsi"/>
          <w:color w:val="333333"/>
          <w:sz w:val="21"/>
          <w:szCs w:val="21"/>
        </w:rPr>
        <w:t>Overview of alcohol schedule used in this paper.</w:t>
      </w:r>
    </w:p>
    <w:tbl>
      <w:tblPr>
        <w:tblW w:w="5000" w:type="pct"/>
        <w:tblCellMar>
          <w:top w:w="15" w:type="dxa"/>
          <w:left w:w="15" w:type="dxa"/>
          <w:bottom w:w="15" w:type="dxa"/>
          <w:right w:w="15" w:type="dxa"/>
        </w:tblCellMar>
        <w:tblLook w:val="04A0" w:firstRow="1" w:lastRow="0" w:firstColumn="1" w:lastColumn="0" w:noHBand="0" w:noVBand="1"/>
      </w:tblPr>
      <w:tblGrid>
        <w:gridCol w:w="1375"/>
        <w:gridCol w:w="7651"/>
      </w:tblGrid>
      <w:tr w:rsidR="00B51215" w:rsidRPr="00E41B66">
        <w:trPr>
          <w:divId w:val="1080063009"/>
          <w:tblHeader/>
        </w:trPr>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b/>
                <w:bCs/>
                <w:color w:val="333333"/>
                <w:sz w:val="21"/>
                <w:szCs w:val="21"/>
              </w:rPr>
            </w:pPr>
            <w:r w:rsidRPr="00E41B66">
              <w:rPr>
                <w:rFonts w:asciiTheme="majorHAnsi" w:eastAsia="Times New Roman" w:hAnsiTheme="majorHAnsi" w:cstheme="majorHAnsi"/>
                <w:b/>
                <w:bCs/>
                <w:color w:val="333333"/>
                <w:sz w:val="21"/>
                <w:szCs w:val="21"/>
              </w:rPr>
              <w:t xml:space="preserve">Survey module </w:t>
            </w:r>
          </w:p>
        </w:tc>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b/>
                <w:bCs/>
                <w:color w:val="333333"/>
                <w:sz w:val="21"/>
                <w:szCs w:val="21"/>
              </w:rPr>
            </w:pPr>
            <w:r w:rsidRPr="00E41B66">
              <w:rPr>
                <w:rFonts w:asciiTheme="majorHAnsi" w:eastAsia="Times New Roman" w:hAnsiTheme="majorHAnsi" w:cstheme="majorHAnsi"/>
                <w:b/>
                <w:bCs/>
                <w:color w:val="333333"/>
                <w:sz w:val="21"/>
                <w:szCs w:val="21"/>
              </w:rPr>
              <w:t xml:space="preserve">Schedule </w:t>
            </w:r>
          </w:p>
        </w:tc>
      </w:tr>
      <w:tr w:rsidR="00B51215" w:rsidRPr="00E41B66">
        <w:trPr>
          <w:divId w:val="1080063009"/>
        </w:trPr>
        <w:tc>
          <w:tcPr>
            <w:tcW w:w="0" w:type="auto"/>
            <w:shd w:val="clear" w:color="auto" w:fill="auto"/>
            <w:tcMar>
              <w:top w:w="0" w:type="dxa"/>
              <w:left w:w="0" w:type="dxa"/>
              <w:bottom w:w="0" w:type="dxa"/>
              <w:right w:w="0" w:type="dxa"/>
            </w:tcMar>
            <w:vAlign w:val="center"/>
            <w:hideMark/>
          </w:tcPr>
          <w:p w:rsidR="00B51215" w:rsidRPr="00E41B66" w:rsidRDefault="00177774">
            <w:pPr>
              <w:rPr>
                <w:rFonts w:asciiTheme="majorHAnsi" w:eastAsia="Times New Roman" w:hAnsiTheme="majorHAnsi" w:cstheme="majorHAnsi"/>
                <w:color w:val="333333"/>
                <w:sz w:val="21"/>
                <w:szCs w:val="21"/>
              </w:rPr>
            </w:pPr>
            <w:r w:rsidRPr="00E41B66">
              <w:rPr>
                <w:rStyle w:val="Emphasis"/>
                <w:rFonts w:asciiTheme="majorHAnsi" w:eastAsia="Times New Roman" w:hAnsiTheme="majorHAnsi" w:cstheme="majorHAnsi"/>
                <w:color w:val="333333"/>
                <w:sz w:val="21"/>
                <w:szCs w:val="21"/>
              </w:rPr>
              <w:t>ATS QF module</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numPr>
                <w:ilvl w:val="0"/>
                <w:numId w:val="6"/>
              </w:numPr>
              <w:spacing w:before="100" w:beforeAutospacing="1" w:after="100" w:afterAutospacing="1"/>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On how many days, if any, did you personally drink a drink containing alcohol in the last four weeks? </w:t>
            </w:r>
          </w:p>
          <w:p w:rsidR="00B51215" w:rsidRPr="00E41B66" w:rsidRDefault="00177774">
            <w:pPr>
              <w:numPr>
                <w:ilvl w:val="0"/>
                <w:numId w:val="6"/>
              </w:numPr>
              <w:spacing w:before="100" w:beforeAutospacing="1" w:after="100" w:afterAutospacing="1"/>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What was the maximum number of units you personally consumed on any one day when drinking an alcoholic drink or drinks in the last four weeks? </w:t>
            </w:r>
          </w:p>
          <w:p w:rsidR="00B51215" w:rsidRPr="00E41B66" w:rsidRDefault="00177774">
            <w:pPr>
              <w:numPr>
                <w:ilvl w:val="0"/>
                <w:numId w:val="6"/>
              </w:numPr>
              <w:spacing w:before="100" w:beforeAutospacing="1" w:after="100" w:afterAutospacing="1"/>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On how many days, if any, in the last four weeks did you personally drink</w:t>
            </w:r>
            <w:proofErr w:type="gramStart"/>
            <w:r w:rsidRPr="00E41B66">
              <w:rPr>
                <w:rFonts w:asciiTheme="majorHAnsi" w:eastAsia="Times New Roman" w:hAnsiTheme="majorHAnsi" w:cstheme="majorHAnsi"/>
                <w:color w:val="333333"/>
                <w:sz w:val="21"/>
                <w:szCs w:val="21"/>
              </w:rPr>
              <w:t>…</w:t>
            </w:r>
            <w:proofErr w:type="gramEnd"/>
            <w:r w:rsidRPr="00E41B66">
              <w:rPr>
                <w:rFonts w:asciiTheme="majorHAnsi" w:eastAsia="Times New Roman" w:hAnsiTheme="majorHAnsi" w:cstheme="majorHAnsi"/>
                <w:color w:val="333333"/>
                <w:sz w:val="21"/>
                <w:szCs w:val="21"/>
              </w:rPr>
              <w:t xml:space="preserve"> [prompting in turn ‘51-60 units?’, ‘41-50 units?</w:t>
            </w:r>
            <w:proofErr w:type="gramStart"/>
            <w:r w:rsidRPr="00E41B66">
              <w:rPr>
                <w:rFonts w:asciiTheme="majorHAnsi" w:eastAsia="Times New Roman" w:hAnsiTheme="majorHAnsi" w:cstheme="majorHAnsi"/>
                <w:color w:val="333333"/>
                <w:sz w:val="21"/>
                <w:szCs w:val="21"/>
              </w:rPr>
              <w:t>’, …,</w:t>
            </w:r>
            <w:proofErr w:type="gramEnd"/>
            <w:r w:rsidRPr="00E41B66">
              <w:rPr>
                <w:rFonts w:asciiTheme="majorHAnsi" w:eastAsia="Times New Roman" w:hAnsiTheme="majorHAnsi" w:cstheme="majorHAnsi"/>
                <w:color w:val="333333"/>
                <w:sz w:val="21"/>
                <w:szCs w:val="21"/>
              </w:rPr>
              <w:t xml:space="preserve"> '1-2 units? </w:t>
            </w:r>
          </w:p>
        </w:tc>
      </w:tr>
      <w:tr w:rsidR="00B51215" w:rsidRPr="00E41B66">
        <w:trPr>
          <w:divId w:val="1080063009"/>
        </w:trPr>
        <w:tc>
          <w:tcPr>
            <w:tcW w:w="0" w:type="auto"/>
            <w:shd w:val="clear" w:color="auto" w:fill="auto"/>
            <w:tcMar>
              <w:top w:w="0" w:type="dxa"/>
              <w:left w:w="0" w:type="dxa"/>
              <w:bottom w:w="0" w:type="dxa"/>
              <w:right w:w="0" w:type="dxa"/>
            </w:tcMar>
            <w:vAlign w:val="center"/>
            <w:hideMark/>
          </w:tcPr>
          <w:p w:rsidR="00B51215" w:rsidRPr="00E41B66" w:rsidRDefault="00177774">
            <w:pPr>
              <w:jc w:val="center"/>
              <w:rPr>
                <w:rFonts w:asciiTheme="majorHAnsi" w:eastAsia="Times New Roman" w:hAnsiTheme="majorHAnsi" w:cstheme="majorHAnsi"/>
                <w:color w:val="333333"/>
                <w:sz w:val="21"/>
                <w:szCs w:val="21"/>
              </w:rPr>
            </w:pPr>
            <w:r w:rsidRPr="00E41B66">
              <w:rPr>
                <w:rStyle w:val="Emphasis"/>
                <w:rFonts w:asciiTheme="majorHAnsi" w:eastAsia="Times New Roman" w:hAnsiTheme="majorHAnsi" w:cstheme="majorHAnsi"/>
                <w:color w:val="333333"/>
                <w:sz w:val="21"/>
                <w:szCs w:val="21"/>
              </w:rPr>
              <w:t>Health Survey for England</w:t>
            </w:r>
            <w:r w:rsidRPr="00E41B66">
              <w:rPr>
                <w:rFonts w:asciiTheme="majorHAnsi" w:eastAsia="Times New Roman" w:hAnsiTheme="majorHAnsi" w:cstheme="majorHAnsi"/>
                <w:color w:val="333333"/>
                <w:sz w:val="21"/>
                <w:szCs w:val="21"/>
              </w:rPr>
              <w:t xml:space="preserve"> </w:t>
            </w:r>
          </w:p>
        </w:tc>
        <w:tc>
          <w:tcPr>
            <w:tcW w:w="0" w:type="auto"/>
            <w:shd w:val="clear" w:color="auto" w:fill="auto"/>
            <w:tcMar>
              <w:top w:w="0" w:type="dxa"/>
              <w:left w:w="0" w:type="dxa"/>
              <w:bottom w:w="0" w:type="dxa"/>
              <w:right w:w="0" w:type="dxa"/>
            </w:tcMar>
            <w:vAlign w:val="center"/>
            <w:hideMark/>
          </w:tcPr>
          <w:p w:rsidR="00B51215" w:rsidRPr="00E41B66" w:rsidRDefault="00177774">
            <w:pPr>
              <w:numPr>
                <w:ilvl w:val="0"/>
                <w:numId w:val="7"/>
              </w:numPr>
              <w:spacing w:before="100" w:beforeAutospacing="1" w:after="100" w:afterAutospacing="1"/>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Thinking now about all kinds of drinks, how often have you had an alcoholic drink of any kind during the last 12 months? </w:t>
            </w:r>
            <w:r w:rsidRPr="00E41B66">
              <w:rPr>
                <w:rStyle w:val="Emphasis"/>
                <w:rFonts w:asciiTheme="majorHAnsi" w:eastAsia="Times New Roman" w:hAnsiTheme="majorHAnsi" w:cstheme="majorHAnsi"/>
                <w:color w:val="333333"/>
                <w:sz w:val="21"/>
                <w:szCs w:val="21"/>
              </w:rPr>
              <w:t>[8 items from ‘Almost every day’ to ‘Not at all in the last 12 months’]</w:t>
            </w:r>
            <w:r w:rsidRPr="00E41B66">
              <w:rPr>
                <w:rFonts w:asciiTheme="majorHAnsi" w:eastAsia="Times New Roman" w:hAnsiTheme="majorHAnsi" w:cstheme="majorHAnsi"/>
                <w:color w:val="333333"/>
                <w:sz w:val="21"/>
                <w:szCs w:val="21"/>
              </w:rPr>
              <w:t xml:space="preserve"> </w:t>
            </w:r>
          </w:p>
          <w:p w:rsidR="00B51215" w:rsidRPr="00E41B66" w:rsidRDefault="00177774">
            <w:pPr>
              <w:numPr>
                <w:ilvl w:val="0"/>
                <w:numId w:val="7"/>
              </w:numPr>
              <w:spacing w:before="100" w:beforeAutospacing="1" w:after="100" w:afterAutospacing="1"/>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lastRenderedPageBreak/>
              <w:t xml:space="preserve">Did you have an alcoholic drink in the seven days ending yesterday? </w:t>
            </w:r>
          </w:p>
          <w:p w:rsidR="00B51215" w:rsidRPr="00E41B66" w:rsidRDefault="00177774">
            <w:pPr>
              <w:numPr>
                <w:ilvl w:val="0"/>
                <w:numId w:val="7"/>
              </w:numPr>
              <w:spacing w:before="100" w:beforeAutospacing="1" w:after="100" w:afterAutospacing="1"/>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On how many days out of the last seven did you have an alcoholic drink? </w:t>
            </w:r>
          </w:p>
          <w:p w:rsidR="00B51215" w:rsidRPr="00E41B66" w:rsidRDefault="00177774">
            <w:pPr>
              <w:numPr>
                <w:ilvl w:val="0"/>
                <w:numId w:val="7"/>
              </w:numPr>
              <w:spacing w:before="100" w:beforeAutospacing="1" w:after="100" w:afterAutospacing="1"/>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Which day last week did you last have an alcoholic drink/have the most to drink? </w:t>
            </w:r>
          </w:p>
          <w:p w:rsidR="00B51215" w:rsidRPr="00E41B66" w:rsidRDefault="00177774">
            <w:pPr>
              <w:numPr>
                <w:ilvl w:val="0"/>
                <w:numId w:val="7"/>
              </w:numPr>
              <w:spacing w:before="100" w:beforeAutospacing="1" w:after="100" w:afterAutospacing="1"/>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Thinking about last [answer to previous question], what types of drink did you have that day? [list of 8 types of alcohol beverages] </w:t>
            </w:r>
          </w:p>
          <w:p w:rsidR="00B51215" w:rsidRPr="00E41B66" w:rsidRDefault="00177774">
            <w:pPr>
              <w:numPr>
                <w:ilvl w:val="0"/>
                <w:numId w:val="7"/>
              </w:numPr>
              <w:spacing w:before="100" w:beforeAutospacing="1" w:after="100" w:afterAutospacing="1"/>
              <w:rPr>
                <w:rFonts w:asciiTheme="majorHAnsi" w:eastAsia="Times New Roman" w:hAnsiTheme="majorHAnsi" w:cstheme="majorHAnsi"/>
                <w:color w:val="333333"/>
                <w:sz w:val="21"/>
                <w:szCs w:val="21"/>
              </w:rPr>
            </w:pPr>
            <w:r w:rsidRPr="00E41B66">
              <w:rPr>
                <w:rFonts w:asciiTheme="majorHAnsi" w:eastAsia="Times New Roman" w:hAnsiTheme="majorHAnsi" w:cstheme="majorHAnsi"/>
                <w:color w:val="333333"/>
                <w:sz w:val="21"/>
                <w:szCs w:val="21"/>
              </w:rPr>
              <w:t xml:space="preserve">[running through each type of beverage and recording number of units drunk] </w:t>
            </w:r>
          </w:p>
        </w:tc>
      </w:tr>
    </w:tbl>
    <w:p w:rsidR="00B51215" w:rsidRPr="00E41B66" w:rsidRDefault="00177774" w:rsidP="00E41B66">
      <w:pPr>
        <w:pStyle w:val="Heading1"/>
        <w:divId w:val="483932772"/>
        <w:rPr>
          <w:sz w:val="51"/>
        </w:rPr>
      </w:pPr>
      <w:r w:rsidRPr="00E41B66">
        <w:lastRenderedPageBreak/>
        <w:t>References</w:t>
      </w:r>
    </w:p>
    <w:p w:rsidR="00B51215" w:rsidRPr="00E41B66" w:rsidRDefault="00177774">
      <w:pPr>
        <w:pStyle w:val="NormalWeb"/>
        <w:divId w:val="1138231634"/>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[1] Shield K, </w:t>
      </w:r>
      <w:proofErr w:type="spellStart"/>
      <w:r w:rsidRPr="00E41B66">
        <w:rPr>
          <w:rFonts w:asciiTheme="majorHAnsi" w:hAnsiTheme="majorHAnsi" w:cstheme="majorHAnsi"/>
          <w:color w:val="333333"/>
          <w:sz w:val="21"/>
          <w:szCs w:val="21"/>
        </w:rPr>
        <w:t>Manthey</w:t>
      </w:r>
      <w:proofErr w:type="spellEnd"/>
      <w:r w:rsidRPr="00E41B66">
        <w:rPr>
          <w:rFonts w:asciiTheme="majorHAnsi" w:hAnsiTheme="majorHAnsi" w:cstheme="majorHAnsi"/>
          <w:color w:val="333333"/>
          <w:sz w:val="21"/>
          <w:szCs w:val="21"/>
        </w:rPr>
        <w:t xml:space="preserve"> J, </w:t>
      </w:r>
      <w:proofErr w:type="spellStart"/>
      <w:r w:rsidRPr="00E41B66">
        <w:rPr>
          <w:rFonts w:asciiTheme="majorHAnsi" w:hAnsiTheme="majorHAnsi" w:cstheme="majorHAnsi"/>
          <w:color w:val="333333"/>
          <w:sz w:val="21"/>
          <w:szCs w:val="21"/>
        </w:rPr>
        <w:t>Rylett</w:t>
      </w:r>
      <w:proofErr w:type="spellEnd"/>
      <w:r w:rsidRPr="00E41B66">
        <w:rPr>
          <w:rFonts w:asciiTheme="majorHAnsi" w:hAnsiTheme="majorHAnsi" w:cstheme="majorHAnsi"/>
          <w:color w:val="333333"/>
          <w:sz w:val="21"/>
          <w:szCs w:val="21"/>
        </w:rPr>
        <w:t xml:space="preserve"> M, Probst C, </w:t>
      </w:r>
      <w:proofErr w:type="spellStart"/>
      <w:r w:rsidRPr="00E41B66">
        <w:rPr>
          <w:rFonts w:asciiTheme="majorHAnsi" w:hAnsiTheme="majorHAnsi" w:cstheme="majorHAnsi"/>
          <w:color w:val="333333"/>
          <w:sz w:val="21"/>
          <w:szCs w:val="21"/>
        </w:rPr>
        <w:t>Wettlaufer</w:t>
      </w:r>
      <w:proofErr w:type="spellEnd"/>
      <w:r w:rsidRPr="00E41B66">
        <w:rPr>
          <w:rFonts w:asciiTheme="majorHAnsi" w:hAnsiTheme="majorHAnsi" w:cstheme="majorHAnsi"/>
          <w:color w:val="333333"/>
          <w:sz w:val="21"/>
          <w:szCs w:val="21"/>
        </w:rPr>
        <w:t xml:space="preserve"> A, Parry CDH, et al. National, regional, and global burdens of disease from 2000 to 2016 attributable to alcohol use: a comparative risk assessment study. The Lancet Public Health 2020</w:t>
      </w:r>
      <w:proofErr w:type="gramStart"/>
      <w:r w:rsidRPr="00E41B66">
        <w:rPr>
          <w:rFonts w:asciiTheme="majorHAnsi" w:hAnsiTheme="majorHAnsi" w:cstheme="majorHAnsi"/>
          <w:color w:val="333333"/>
          <w:sz w:val="21"/>
          <w:szCs w:val="21"/>
        </w:rPr>
        <w:t>;5:e51</w:t>
      </w:r>
      <w:proofErr w:type="gramEnd"/>
      <w:r w:rsidRPr="00E41B66">
        <w:rPr>
          <w:rFonts w:asciiTheme="majorHAnsi" w:hAnsiTheme="majorHAnsi" w:cstheme="majorHAnsi"/>
          <w:color w:val="333333"/>
          <w:sz w:val="21"/>
          <w:szCs w:val="21"/>
        </w:rPr>
        <w:t xml:space="preserve">–61.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11" w:history="1">
        <w:r w:rsidRPr="00E41B66">
          <w:rPr>
            <w:rStyle w:val="Hyperlink"/>
            <w:rFonts w:asciiTheme="majorHAnsi" w:hAnsiTheme="majorHAnsi" w:cstheme="majorHAnsi"/>
            <w:sz w:val="21"/>
            <w:szCs w:val="21"/>
          </w:rPr>
          <w:t>10.1016/S2468-2667(19)30231-2</w:t>
        </w:r>
      </w:hyperlink>
      <w:r w:rsidRPr="00E41B66">
        <w:rPr>
          <w:rFonts w:asciiTheme="majorHAnsi" w:hAnsiTheme="majorHAnsi" w:cstheme="majorHAnsi"/>
          <w:color w:val="333333"/>
          <w:sz w:val="21"/>
          <w:szCs w:val="21"/>
        </w:rPr>
        <w:t>.</w:t>
      </w:r>
    </w:p>
    <w:p w:rsidR="00B51215" w:rsidRPr="00E41B66" w:rsidRDefault="00177774">
      <w:pPr>
        <w:pStyle w:val="NormalWeb"/>
        <w:divId w:val="615865854"/>
        <w:rPr>
          <w:rFonts w:asciiTheme="majorHAnsi" w:hAnsiTheme="majorHAnsi" w:cstheme="majorHAnsi"/>
          <w:color w:val="333333"/>
          <w:sz w:val="21"/>
          <w:szCs w:val="21"/>
        </w:rPr>
      </w:pPr>
      <w:r w:rsidRPr="00E41B66">
        <w:rPr>
          <w:rFonts w:asciiTheme="majorHAnsi" w:hAnsiTheme="majorHAnsi" w:cstheme="majorHAnsi"/>
          <w:color w:val="333333"/>
          <w:sz w:val="21"/>
          <w:szCs w:val="21"/>
        </w:rPr>
        <w:t>[2] Health NI of, Excellence C. Alcohol-use disorders: prevention. Public health guideline [PH24]. 2010.</w:t>
      </w:r>
    </w:p>
    <w:p w:rsidR="00B51215" w:rsidRPr="00E41B66" w:rsidRDefault="00177774">
      <w:pPr>
        <w:pStyle w:val="NormalWeb"/>
        <w:divId w:val="1798643511"/>
        <w:rPr>
          <w:rFonts w:asciiTheme="majorHAnsi" w:hAnsiTheme="majorHAnsi" w:cstheme="majorHAnsi"/>
          <w:color w:val="333333"/>
          <w:sz w:val="21"/>
          <w:szCs w:val="21"/>
        </w:rPr>
      </w:pPr>
      <w:r w:rsidRPr="00E41B66">
        <w:rPr>
          <w:rFonts w:asciiTheme="majorHAnsi" w:hAnsiTheme="majorHAnsi" w:cstheme="majorHAnsi"/>
          <w:color w:val="333333"/>
          <w:sz w:val="21"/>
          <w:szCs w:val="21"/>
        </w:rPr>
        <w:t>[3] National Institute of Health and Care Excellence. Alcohol-use disorders: diagnosis, assessment and management of harmful drinking and alcohol dependence. Clinical guideline [CG115]. 2011.</w:t>
      </w:r>
    </w:p>
    <w:p w:rsidR="00B51215" w:rsidRPr="00E41B66" w:rsidRDefault="00177774">
      <w:pPr>
        <w:pStyle w:val="NormalWeb"/>
        <w:divId w:val="68354661"/>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[4] Nutt DJ, </w:t>
      </w:r>
      <w:proofErr w:type="spellStart"/>
      <w:r w:rsidRPr="00E41B66">
        <w:rPr>
          <w:rFonts w:asciiTheme="majorHAnsi" w:hAnsiTheme="majorHAnsi" w:cstheme="majorHAnsi"/>
          <w:color w:val="333333"/>
          <w:sz w:val="21"/>
          <w:szCs w:val="21"/>
        </w:rPr>
        <w:t>Rehm</w:t>
      </w:r>
      <w:proofErr w:type="spellEnd"/>
      <w:r w:rsidRPr="00E41B66">
        <w:rPr>
          <w:rFonts w:asciiTheme="majorHAnsi" w:hAnsiTheme="majorHAnsi" w:cstheme="majorHAnsi"/>
          <w:color w:val="333333"/>
          <w:sz w:val="21"/>
          <w:szCs w:val="21"/>
        </w:rPr>
        <w:t xml:space="preserve"> J. </w:t>
      </w:r>
      <w:proofErr w:type="gramStart"/>
      <w:r w:rsidRPr="00E41B66">
        <w:rPr>
          <w:rFonts w:asciiTheme="majorHAnsi" w:hAnsiTheme="majorHAnsi" w:cstheme="majorHAnsi"/>
          <w:color w:val="333333"/>
          <w:sz w:val="21"/>
          <w:szCs w:val="21"/>
        </w:rPr>
        <w:t>Doing</w:t>
      </w:r>
      <w:proofErr w:type="gramEnd"/>
      <w:r w:rsidRPr="00E41B66">
        <w:rPr>
          <w:rFonts w:asciiTheme="majorHAnsi" w:hAnsiTheme="majorHAnsi" w:cstheme="majorHAnsi"/>
          <w:color w:val="333333"/>
          <w:sz w:val="21"/>
          <w:szCs w:val="21"/>
        </w:rPr>
        <w:t xml:space="preserve"> it by numbers: A simple approach to reducing the harms of alcohol. Journal of Psychopharmacology 2014</w:t>
      </w:r>
      <w:proofErr w:type="gramStart"/>
      <w:r w:rsidRPr="00E41B66">
        <w:rPr>
          <w:rFonts w:asciiTheme="majorHAnsi" w:hAnsiTheme="majorHAnsi" w:cstheme="majorHAnsi"/>
          <w:color w:val="333333"/>
          <w:sz w:val="21"/>
          <w:szCs w:val="21"/>
        </w:rPr>
        <w:t>;28:3</w:t>
      </w:r>
      <w:proofErr w:type="gramEnd"/>
      <w:r w:rsidRPr="00E41B66">
        <w:rPr>
          <w:rFonts w:asciiTheme="majorHAnsi" w:hAnsiTheme="majorHAnsi" w:cstheme="majorHAnsi"/>
          <w:color w:val="333333"/>
          <w:sz w:val="21"/>
          <w:szCs w:val="21"/>
        </w:rPr>
        <w:t xml:space="preserve">–7.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12" w:history="1">
        <w:r w:rsidRPr="00E41B66">
          <w:rPr>
            <w:rStyle w:val="Hyperlink"/>
            <w:rFonts w:asciiTheme="majorHAnsi" w:hAnsiTheme="majorHAnsi" w:cstheme="majorHAnsi"/>
            <w:sz w:val="21"/>
            <w:szCs w:val="21"/>
          </w:rPr>
          <w:t>10.1177/0269881113512038</w:t>
        </w:r>
      </w:hyperlink>
      <w:r w:rsidRPr="00E41B66">
        <w:rPr>
          <w:rFonts w:asciiTheme="majorHAnsi" w:hAnsiTheme="majorHAnsi" w:cstheme="majorHAnsi"/>
          <w:color w:val="333333"/>
          <w:sz w:val="21"/>
          <w:szCs w:val="21"/>
        </w:rPr>
        <w:t>.</w:t>
      </w:r>
    </w:p>
    <w:p w:rsidR="00B51215" w:rsidRPr="00E41B66" w:rsidRDefault="00177774">
      <w:pPr>
        <w:pStyle w:val="NormalWeb"/>
        <w:divId w:val="1495686990"/>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[5] </w:t>
      </w:r>
      <w:proofErr w:type="spellStart"/>
      <w:r w:rsidRPr="00E41B66">
        <w:rPr>
          <w:rFonts w:asciiTheme="majorHAnsi" w:hAnsiTheme="majorHAnsi" w:cstheme="majorHAnsi"/>
          <w:color w:val="333333"/>
          <w:sz w:val="21"/>
          <w:szCs w:val="21"/>
        </w:rPr>
        <w:t>Rehm</w:t>
      </w:r>
      <w:proofErr w:type="spellEnd"/>
      <w:r w:rsidRPr="00E41B66">
        <w:rPr>
          <w:rFonts w:asciiTheme="majorHAnsi" w:hAnsiTheme="majorHAnsi" w:cstheme="majorHAnsi"/>
          <w:color w:val="333333"/>
          <w:sz w:val="21"/>
          <w:szCs w:val="21"/>
        </w:rPr>
        <w:t xml:space="preserve"> J, Anderson P, </w:t>
      </w:r>
      <w:proofErr w:type="spellStart"/>
      <w:r w:rsidRPr="00E41B66">
        <w:rPr>
          <w:rFonts w:asciiTheme="majorHAnsi" w:hAnsiTheme="majorHAnsi" w:cstheme="majorHAnsi"/>
          <w:color w:val="333333"/>
          <w:sz w:val="21"/>
          <w:szCs w:val="21"/>
        </w:rPr>
        <w:t>Manthey</w:t>
      </w:r>
      <w:proofErr w:type="spellEnd"/>
      <w:r w:rsidRPr="00E41B66">
        <w:rPr>
          <w:rFonts w:asciiTheme="majorHAnsi" w:hAnsiTheme="majorHAnsi" w:cstheme="majorHAnsi"/>
          <w:color w:val="333333"/>
          <w:sz w:val="21"/>
          <w:szCs w:val="21"/>
        </w:rPr>
        <w:t xml:space="preserve"> J, Shield KD, </w:t>
      </w:r>
      <w:proofErr w:type="spellStart"/>
      <w:r w:rsidRPr="00E41B66">
        <w:rPr>
          <w:rFonts w:asciiTheme="majorHAnsi" w:hAnsiTheme="majorHAnsi" w:cstheme="majorHAnsi"/>
          <w:color w:val="333333"/>
          <w:sz w:val="21"/>
          <w:szCs w:val="21"/>
        </w:rPr>
        <w:t>Struzzo</w:t>
      </w:r>
      <w:proofErr w:type="spellEnd"/>
      <w:r w:rsidRPr="00E41B66">
        <w:rPr>
          <w:rFonts w:asciiTheme="majorHAnsi" w:hAnsiTheme="majorHAnsi" w:cstheme="majorHAnsi"/>
          <w:color w:val="333333"/>
          <w:sz w:val="21"/>
          <w:szCs w:val="21"/>
        </w:rPr>
        <w:t xml:space="preserve"> P, </w:t>
      </w:r>
      <w:proofErr w:type="spellStart"/>
      <w:r w:rsidRPr="00E41B66">
        <w:rPr>
          <w:rFonts w:asciiTheme="majorHAnsi" w:hAnsiTheme="majorHAnsi" w:cstheme="majorHAnsi"/>
          <w:color w:val="333333"/>
          <w:sz w:val="21"/>
          <w:szCs w:val="21"/>
        </w:rPr>
        <w:t>Wojnar</w:t>
      </w:r>
      <w:proofErr w:type="spellEnd"/>
      <w:r w:rsidRPr="00E41B66">
        <w:rPr>
          <w:rFonts w:asciiTheme="majorHAnsi" w:hAnsiTheme="majorHAnsi" w:cstheme="majorHAnsi"/>
          <w:color w:val="333333"/>
          <w:sz w:val="21"/>
          <w:szCs w:val="21"/>
        </w:rPr>
        <w:t xml:space="preserve"> M, et al. Alcohol Use Disorders in Primary Health Care: What Do We Know and Where Do We Go? Alcohol and Alcoholism 2016</w:t>
      </w:r>
      <w:proofErr w:type="gramStart"/>
      <w:r w:rsidRPr="00E41B66">
        <w:rPr>
          <w:rFonts w:asciiTheme="majorHAnsi" w:hAnsiTheme="majorHAnsi" w:cstheme="majorHAnsi"/>
          <w:color w:val="333333"/>
          <w:sz w:val="21"/>
          <w:szCs w:val="21"/>
        </w:rPr>
        <w:t>;51:422</w:t>
      </w:r>
      <w:proofErr w:type="gramEnd"/>
      <w:r w:rsidRPr="00E41B66">
        <w:rPr>
          <w:rFonts w:asciiTheme="majorHAnsi" w:hAnsiTheme="majorHAnsi" w:cstheme="majorHAnsi"/>
          <w:color w:val="333333"/>
          <w:sz w:val="21"/>
          <w:szCs w:val="21"/>
        </w:rPr>
        <w:t xml:space="preserve">–7.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13" w:history="1">
        <w:r w:rsidRPr="00E41B66">
          <w:rPr>
            <w:rStyle w:val="Hyperlink"/>
            <w:rFonts w:asciiTheme="majorHAnsi" w:hAnsiTheme="majorHAnsi" w:cstheme="majorHAnsi"/>
            <w:sz w:val="21"/>
            <w:szCs w:val="21"/>
          </w:rPr>
          <w:t>10.1093/</w:t>
        </w:r>
        <w:proofErr w:type="spellStart"/>
        <w:r w:rsidRPr="00E41B66">
          <w:rPr>
            <w:rStyle w:val="Hyperlink"/>
            <w:rFonts w:asciiTheme="majorHAnsi" w:hAnsiTheme="majorHAnsi" w:cstheme="majorHAnsi"/>
            <w:sz w:val="21"/>
            <w:szCs w:val="21"/>
          </w:rPr>
          <w:t>alcalc</w:t>
        </w:r>
        <w:proofErr w:type="spellEnd"/>
        <w:r w:rsidRPr="00E41B66">
          <w:rPr>
            <w:rStyle w:val="Hyperlink"/>
            <w:rFonts w:asciiTheme="majorHAnsi" w:hAnsiTheme="majorHAnsi" w:cstheme="majorHAnsi"/>
            <w:sz w:val="21"/>
            <w:szCs w:val="21"/>
          </w:rPr>
          <w:t>/agv127</w:t>
        </w:r>
      </w:hyperlink>
      <w:r w:rsidRPr="00E41B66">
        <w:rPr>
          <w:rFonts w:asciiTheme="majorHAnsi" w:hAnsiTheme="majorHAnsi" w:cstheme="majorHAnsi"/>
          <w:color w:val="333333"/>
          <w:sz w:val="21"/>
          <w:szCs w:val="21"/>
        </w:rPr>
        <w:t>.</w:t>
      </w:r>
    </w:p>
    <w:p w:rsidR="00B51215" w:rsidRPr="00E41B66" w:rsidRDefault="00177774">
      <w:pPr>
        <w:pStyle w:val="NormalWeb"/>
        <w:divId w:val="1214388144"/>
        <w:rPr>
          <w:rFonts w:asciiTheme="majorHAnsi" w:hAnsiTheme="majorHAnsi" w:cstheme="majorHAnsi"/>
          <w:color w:val="333333"/>
          <w:sz w:val="21"/>
          <w:szCs w:val="21"/>
        </w:rPr>
      </w:pPr>
      <w:r w:rsidRPr="00E41B66">
        <w:rPr>
          <w:rFonts w:asciiTheme="majorHAnsi" w:hAnsiTheme="majorHAnsi" w:cstheme="majorHAnsi"/>
          <w:color w:val="333333"/>
          <w:sz w:val="21"/>
          <w:szCs w:val="21"/>
        </w:rPr>
        <w:t>[6] Australian Government. National Health and Medical Research Council. Australian Guidelines to Reduce Health Risks from Drinking Alcohol. 2009.</w:t>
      </w:r>
    </w:p>
    <w:p w:rsidR="00B51215" w:rsidRPr="00E41B66" w:rsidRDefault="00177774">
      <w:pPr>
        <w:pStyle w:val="NormalWeb"/>
        <w:divId w:val="1556089851"/>
        <w:rPr>
          <w:rFonts w:asciiTheme="majorHAnsi" w:hAnsiTheme="majorHAnsi" w:cstheme="majorHAnsi"/>
          <w:color w:val="333333"/>
          <w:sz w:val="21"/>
          <w:szCs w:val="21"/>
        </w:rPr>
      </w:pPr>
      <w:r w:rsidRPr="00E41B66">
        <w:rPr>
          <w:rFonts w:asciiTheme="majorHAnsi" w:hAnsiTheme="majorHAnsi" w:cstheme="majorHAnsi"/>
          <w:color w:val="333333"/>
          <w:sz w:val="21"/>
          <w:szCs w:val="21"/>
        </w:rPr>
        <w:t>[7] UK Department of Health. UK Chief Medical Officers’ Low Risk Drinking Guidelines. August 2016. 2016.</w:t>
      </w:r>
    </w:p>
    <w:p w:rsidR="00B51215" w:rsidRPr="00E41B66" w:rsidRDefault="00177774">
      <w:pPr>
        <w:pStyle w:val="NormalWeb"/>
        <w:divId w:val="410203436"/>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[8] </w:t>
      </w:r>
      <w:proofErr w:type="spellStart"/>
      <w:r w:rsidRPr="00E41B66">
        <w:rPr>
          <w:rFonts w:asciiTheme="majorHAnsi" w:hAnsiTheme="majorHAnsi" w:cstheme="majorHAnsi"/>
          <w:color w:val="333333"/>
          <w:sz w:val="21"/>
          <w:szCs w:val="21"/>
        </w:rPr>
        <w:t>Babor</w:t>
      </w:r>
      <w:proofErr w:type="spellEnd"/>
      <w:r w:rsidRPr="00E41B66">
        <w:rPr>
          <w:rFonts w:asciiTheme="majorHAnsi" w:hAnsiTheme="majorHAnsi" w:cstheme="majorHAnsi"/>
          <w:color w:val="333333"/>
          <w:sz w:val="21"/>
          <w:szCs w:val="21"/>
        </w:rPr>
        <w:t xml:space="preserve"> TF, Higgins-Biddle JC, Saunders JB, Monteiro MG. The Alcohol Use Disorders Identification Test. Guidelines for Use in Primary Care. Second Edition. Geneva: World Health Organisation, Department of Mental Health; Substance Dependence; 2001.</w:t>
      </w:r>
    </w:p>
    <w:p w:rsidR="00B51215" w:rsidRPr="00E41B66" w:rsidRDefault="00177774">
      <w:pPr>
        <w:pStyle w:val="NormalWeb"/>
        <w:divId w:val="12807577"/>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[9] </w:t>
      </w:r>
      <w:proofErr w:type="spellStart"/>
      <w:r w:rsidRPr="00E41B66">
        <w:rPr>
          <w:rFonts w:asciiTheme="majorHAnsi" w:hAnsiTheme="majorHAnsi" w:cstheme="majorHAnsi"/>
          <w:color w:val="333333"/>
          <w:sz w:val="21"/>
          <w:szCs w:val="21"/>
        </w:rPr>
        <w:t>Meneses</w:t>
      </w:r>
      <w:proofErr w:type="spellEnd"/>
      <w:r w:rsidRPr="00E41B66">
        <w:rPr>
          <w:rFonts w:asciiTheme="majorHAnsi" w:hAnsiTheme="majorHAnsi" w:cstheme="majorHAnsi"/>
          <w:color w:val="333333"/>
          <w:sz w:val="21"/>
          <w:szCs w:val="21"/>
        </w:rPr>
        <w:t xml:space="preserve">-Gaya C de, </w:t>
      </w:r>
      <w:proofErr w:type="spellStart"/>
      <w:r w:rsidRPr="00E41B66">
        <w:rPr>
          <w:rFonts w:asciiTheme="majorHAnsi" w:hAnsiTheme="majorHAnsi" w:cstheme="majorHAnsi"/>
          <w:color w:val="333333"/>
          <w:sz w:val="21"/>
          <w:szCs w:val="21"/>
        </w:rPr>
        <w:t>Zuardi</w:t>
      </w:r>
      <w:proofErr w:type="spellEnd"/>
      <w:r w:rsidRPr="00E41B66">
        <w:rPr>
          <w:rFonts w:asciiTheme="majorHAnsi" w:hAnsiTheme="majorHAnsi" w:cstheme="majorHAnsi"/>
          <w:color w:val="333333"/>
          <w:sz w:val="21"/>
          <w:szCs w:val="21"/>
        </w:rPr>
        <w:t xml:space="preserve"> AW, </w:t>
      </w:r>
      <w:proofErr w:type="spellStart"/>
      <w:r w:rsidRPr="00E41B66">
        <w:rPr>
          <w:rFonts w:asciiTheme="majorHAnsi" w:hAnsiTheme="majorHAnsi" w:cstheme="majorHAnsi"/>
          <w:color w:val="333333"/>
          <w:sz w:val="21"/>
          <w:szCs w:val="21"/>
        </w:rPr>
        <w:t>Loureiro</w:t>
      </w:r>
      <w:proofErr w:type="spellEnd"/>
      <w:r w:rsidRPr="00E41B66">
        <w:rPr>
          <w:rFonts w:asciiTheme="majorHAnsi" w:hAnsiTheme="majorHAnsi" w:cstheme="majorHAnsi"/>
          <w:color w:val="333333"/>
          <w:sz w:val="21"/>
          <w:szCs w:val="21"/>
        </w:rPr>
        <w:t xml:space="preserve"> SR, </w:t>
      </w:r>
      <w:proofErr w:type="spellStart"/>
      <w:r w:rsidRPr="00E41B66">
        <w:rPr>
          <w:rFonts w:asciiTheme="majorHAnsi" w:hAnsiTheme="majorHAnsi" w:cstheme="majorHAnsi"/>
          <w:color w:val="333333"/>
          <w:sz w:val="21"/>
          <w:szCs w:val="21"/>
        </w:rPr>
        <w:t>Crippa</w:t>
      </w:r>
      <w:proofErr w:type="spellEnd"/>
      <w:r w:rsidRPr="00E41B66">
        <w:rPr>
          <w:rFonts w:asciiTheme="majorHAnsi" w:hAnsiTheme="majorHAnsi" w:cstheme="majorHAnsi"/>
          <w:color w:val="333333"/>
          <w:sz w:val="21"/>
          <w:szCs w:val="21"/>
        </w:rPr>
        <w:t xml:space="preserve"> JAS. Alcohol Use Disorders Identification Test (AUDIT): An updated systematic review of psychometric properties. Psychology &amp; Neuroscience 2009</w:t>
      </w:r>
      <w:proofErr w:type="gramStart"/>
      <w:r w:rsidRPr="00E41B66">
        <w:rPr>
          <w:rFonts w:asciiTheme="majorHAnsi" w:hAnsiTheme="majorHAnsi" w:cstheme="majorHAnsi"/>
          <w:color w:val="333333"/>
          <w:sz w:val="21"/>
          <w:szCs w:val="21"/>
        </w:rPr>
        <w:t>;2:83</w:t>
      </w:r>
      <w:proofErr w:type="gramEnd"/>
      <w:r w:rsidRPr="00E41B66">
        <w:rPr>
          <w:rFonts w:asciiTheme="majorHAnsi" w:hAnsiTheme="majorHAnsi" w:cstheme="majorHAnsi"/>
          <w:color w:val="333333"/>
          <w:sz w:val="21"/>
          <w:szCs w:val="21"/>
        </w:rPr>
        <w:t xml:space="preserve">–97.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14" w:history="1">
        <w:r w:rsidRPr="00E41B66">
          <w:rPr>
            <w:rStyle w:val="Hyperlink"/>
            <w:rFonts w:asciiTheme="majorHAnsi" w:hAnsiTheme="majorHAnsi" w:cstheme="majorHAnsi"/>
            <w:sz w:val="21"/>
            <w:szCs w:val="21"/>
          </w:rPr>
          <w:t>10.3922/j.psns.2009.1.12</w:t>
        </w:r>
      </w:hyperlink>
      <w:r w:rsidRPr="00E41B66">
        <w:rPr>
          <w:rFonts w:asciiTheme="majorHAnsi" w:hAnsiTheme="majorHAnsi" w:cstheme="majorHAnsi"/>
          <w:color w:val="333333"/>
          <w:sz w:val="21"/>
          <w:szCs w:val="21"/>
        </w:rPr>
        <w:t>.</w:t>
      </w:r>
    </w:p>
    <w:p w:rsidR="00B51215" w:rsidRPr="00E41B66" w:rsidRDefault="00177774">
      <w:pPr>
        <w:pStyle w:val="NormalWeb"/>
        <w:divId w:val="1071660670"/>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[10] </w:t>
      </w:r>
      <w:proofErr w:type="spellStart"/>
      <w:r w:rsidRPr="00E41B66">
        <w:rPr>
          <w:rFonts w:asciiTheme="majorHAnsi" w:hAnsiTheme="majorHAnsi" w:cstheme="majorHAnsi"/>
          <w:color w:val="333333"/>
          <w:sz w:val="21"/>
          <w:szCs w:val="21"/>
        </w:rPr>
        <w:t>Kaner</w:t>
      </w:r>
      <w:proofErr w:type="spellEnd"/>
      <w:r w:rsidRPr="00E41B66">
        <w:rPr>
          <w:rFonts w:asciiTheme="majorHAnsi" w:hAnsiTheme="majorHAnsi" w:cstheme="majorHAnsi"/>
          <w:color w:val="333333"/>
          <w:sz w:val="21"/>
          <w:szCs w:val="21"/>
        </w:rPr>
        <w:t xml:space="preserve"> E, Bland M, Cassidy P, </w:t>
      </w:r>
      <w:proofErr w:type="spellStart"/>
      <w:r w:rsidRPr="00E41B66">
        <w:rPr>
          <w:rFonts w:asciiTheme="majorHAnsi" w:hAnsiTheme="majorHAnsi" w:cstheme="majorHAnsi"/>
          <w:color w:val="333333"/>
          <w:sz w:val="21"/>
          <w:szCs w:val="21"/>
        </w:rPr>
        <w:t>Coulton</w:t>
      </w:r>
      <w:proofErr w:type="spellEnd"/>
      <w:r w:rsidRPr="00E41B66">
        <w:rPr>
          <w:rFonts w:asciiTheme="majorHAnsi" w:hAnsiTheme="majorHAnsi" w:cstheme="majorHAnsi"/>
          <w:color w:val="333333"/>
          <w:sz w:val="21"/>
          <w:szCs w:val="21"/>
        </w:rPr>
        <w:t xml:space="preserve"> S, Dale V, </w:t>
      </w:r>
      <w:proofErr w:type="gramStart"/>
      <w:r w:rsidRPr="00E41B66">
        <w:rPr>
          <w:rFonts w:asciiTheme="majorHAnsi" w:hAnsiTheme="majorHAnsi" w:cstheme="majorHAnsi"/>
          <w:color w:val="333333"/>
          <w:sz w:val="21"/>
          <w:szCs w:val="21"/>
        </w:rPr>
        <w:t>Deluca</w:t>
      </w:r>
      <w:proofErr w:type="gramEnd"/>
      <w:r w:rsidRPr="00E41B66">
        <w:rPr>
          <w:rFonts w:asciiTheme="majorHAnsi" w:hAnsiTheme="majorHAnsi" w:cstheme="majorHAnsi"/>
          <w:color w:val="333333"/>
          <w:sz w:val="21"/>
          <w:szCs w:val="21"/>
        </w:rPr>
        <w:t xml:space="preserve"> P, et al. Effectiveness of screening and brief alcohol intervention in primary care (SIPS trial): pragmatic cluster randomised controlled trial. BMJ 2013</w:t>
      </w:r>
      <w:proofErr w:type="gramStart"/>
      <w:r w:rsidRPr="00E41B66">
        <w:rPr>
          <w:rFonts w:asciiTheme="majorHAnsi" w:hAnsiTheme="majorHAnsi" w:cstheme="majorHAnsi"/>
          <w:color w:val="333333"/>
          <w:sz w:val="21"/>
          <w:szCs w:val="21"/>
        </w:rPr>
        <w:t>;346:e8501</w:t>
      </w:r>
      <w:proofErr w:type="gramEnd"/>
      <w:r w:rsidRPr="00E41B66">
        <w:rPr>
          <w:rFonts w:asciiTheme="majorHAnsi" w:hAnsiTheme="majorHAnsi" w:cstheme="majorHAnsi"/>
          <w:color w:val="333333"/>
          <w:sz w:val="21"/>
          <w:szCs w:val="21"/>
        </w:rPr>
        <w:t xml:space="preserve">–1.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15" w:history="1">
        <w:r w:rsidRPr="00E41B66">
          <w:rPr>
            <w:rStyle w:val="Hyperlink"/>
            <w:rFonts w:asciiTheme="majorHAnsi" w:hAnsiTheme="majorHAnsi" w:cstheme="majorHAnsi"/>
            <w:sz w:val="21"/>
            <w:szCs w:val="21"/>
          </w:rPr>
          <w:t>10.1136/bmj.e8501</w:t>
        </w:r>
      </w:hyperlink>
      <w:r w:rsidRPr="00E41B66">
        <w:rPr>
          <w:rFonts w:asciiTheme="majorHAnsi" w:hAnsiTheme="majorHAnsi" w:cstheme="majorHAnsi"/>
          <w:color w:val="333333"/>
          <w:sz w:val="21"/>
          <w:szCs w:val="21"/>
        </w:rPr>
        <w:t>.</w:t>
      </w:r>
    </w:p>
    <w:p w:rsidR="00B51215" w:rsidRPr="00E41B66" w:rsidRDefault="00177774">
      <w:pPr>
        <w:pStyle w:val="NormalWeb"/>
        <w:divId w:val="214438433"/>
        <w:rPr>
          <w:rFonts w:asciiTheme="majorHAnsi" w:hAnsiTheme="majorHAnsi" w:cstheme="majorHAnsi"/>
          <w:color w:val="333333"/>
          <w:sz w:val="21"/>
          <w:szCs w:val="21"/>
        </w:rPr>
      </w:pPr>
      <w:r w:rsidRPr="00E41B66">
        <w:rPr>
          <w:rFonts w:asciiTheme="majorHAnsi" w:hAnsiTheme="majorHAnsi" w:cstheme="majorHAnsi"/>
          <w:color w:val="333333"/>
          <w:sz w:val="21"/>
          <w:szCs w:val="21"/>
        </w:rPr>
        <w:t>[11] Crane D, Garnett C, Michie S, West R, Brown J. A smartphone app to reduce excessive alcohol consumption: Identifying the effectiveness of intervention components in a factorial randomised control trial. Scientific Reports 2018</w:t>
      </w:r>
      <w:proofErr w:type="gramStart"/>
      <w:r w:rsidRPr="00E41B66">
        <w:rPr>
          <w:rFonts w:asciiTheme="majorHAnsi" w:hAnsiTheme="majorHAnsi" w:cstheme="majorHAnsi"/>
          <w:color w:val="333333"/>
          <w:sz w:val="21"/>
          <w:szCs w:val="21"/>
        </w:rPr>
        <w:t>;8:4384</w:t>
      </w:r>
      <w:proofErr w:type="gramEnd"/>
      <w:r w:rsidRPr="00E41B66">
        <w:rPr>
          <w:rFonts w:asciiTheme="majorHAnsi" w:hAnsiTheme="majorHAnsi" w:cstheme="majorHAnsi"/>
          <w:color w:val="333333"/>
          <w:sz w:val="21"/>
          <w:szCs w:val="21"/>
        </w:rPr>
        <w:t xml:space="preserve">.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16" w:history="1">
        <w:r w:rsidRPr="00E41B66">
          <w:rPr>
            <w:rStyle w:val="Hyperlink"/>
            <w:rFonts w:asciiTheme="majorHAnsi" w:hAnsiTheme="majorHAnsi" w:cstheme="majorHAnsi"/>
            <w:sz w:val="21"/>
            <w:szCs w:val="21"/>
          </w:rPr>
          <w:t>10.1038/s41598-018-22420-8</w:t>
        </w:r>
      </w:hyperlink>
      <w:r w:rsidRPr="00E41B66">
        <w:rPr>
          <w:rFonts w:asciiTheme="majorHAnsi" w:hAnsiTheme="majorHAnsi" w:cstheme="majorHAnsi"/>
          <w:color w:val="333333"/>
          <w:sz w:val="21"/>
          <w:szCs w:val="21"/>
        </w:rPr>
        <w:t>.</w:t>
      </w:r>
    </w:p>
    <w:p w:rsidR="00B51215" w:rsidRPr="00E41B66" w:rsidRDefault="00177774">
      <w:pPr>
        <w:pStyle w:val="NormalWeb"/>
        <w:divId w:val="2133162030"/>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[12] Beard E, Brown J, West R, Acton C, Brennan A, Drummond C, et al. Protocol for a national monthly survey of alcohol use in England with 6-month follow-up: ’The Alcohol Toolkit Study’ Health </w:t>
      </w:r>
      <w:proofErr w:type="spellStart"/>
      <w:r w:rsidRPr="00E41B66">
        <w:rPr>
          <w:rFonts w:asciiTheme="majorHAnsi" w:hAnsiTheme="majorHAnsi" w:cstheme="majorHAnsi"/>
          <w:color w:val="333333"/>
          <w:sz w:val="21"/>
          <w:szCs w:val="21"/>
        </w:rPr>
        <w:t>behavior</w:t>
      </w:r>
      <w:proofErr w:type="spellEnd"/>
      <w:r w:rsidRPr="00E41B66">
        <w:rPr>
          <w:rFonts w:asciiTheme="majorHAnsi" w:hAnsiTheme="majorHAnsi" w:cstheme="majorHAnsi"/>
          <w:color w:val="333333"/>
          <w:sz w:val="21"/>
          <w:szCs w:val="21"/>
        </w:rPr>
        <w:t>, health promotion and society. BMC Public Health 2015</w:t>
      </w:r>
      <w:proofErr w:type="gramStart"/>
      <w:r w:rsidRPr="00E41B66">
        <w:rPr>
          <w:rFonts w:asciiTheme="majorHAnsi" w:hAnsiTheme="majorHAnsi" w:cstheme="majorHAnsi"/>
          <w:color w:val="333333"/>
          <w:sz w:val="21"/>
          <w:szCs w:val="21"/>
        </w:rPr>
        <w:t>;15</w:t>
      </w:r>
      <w:proofErr w:type="gramEnd"/>
      <w:r w:rsidRPr="00E41B66">
        <w:rPr>
          <w:rFonts w:asciiTheme="majorHAnsi" w:hAnsiTheme="majorHAnsi" w:cstheme="majorHAnsi"/>
          <w:color w:val="333333"/>
          <w:sz w:val="21"/>
          <w:szCs w:val="21"/>
        </w:rPr>
        <w:t xml:space="preserve">.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17" w:history="1">
        <w:r w:rsidRPr="00E41B66">
          <w:rPr>
            <w:rStyle w:val="Hyperlink"/>
            <w:rFonts w:asciiTheme="majorHAnsi" w:hAnsiTheme="majorHAnsi" w:cstheme="majorHAnsi"/>
            <w:sz w:val="21"/>
            <w:szCs w:val="21"/>
          </w:rPr>
          <w:t>10.1186/s12889-015-1542-7</w:t>
        </w:r>
      </w:hyperlink>
      <w:r w:rsidRPr="00E41B66">
        <w:rPr>
          <w:rFonts w:asciiTheme="majorHAnsi" w:hAnsiTheme="majorHAnsi" w:cstheme="majorHAnsi"/>
          <w:color w:val="333333"/>
          <w:sz w:val="21"/>
          <w:szCs w:val="21"/>
        </w:rPr>
        <w:t>.</w:t>
      </w:r>
    </w:p>
    <w:p w:rsidR="00B51215" w:rsidRPr="00E41B66" w:rsidRDefault="00177774">
      <w:pPr>
        <w:pStyle w:val="NormalWeb"/>
        <w:divId w:val="431249074"/>
        <w:rPr>
          <w:rFonts w:asciiTheme="majorHAnsi" w:hAnsiTheme="majorHAnsi" w:cstheme="majorHAnsi"/>
          <w:color w:val="333333"/>
          <w:sz w:val="21"/>
          <w:szCs w:val="21"/>
        </w:rPr>
      </w:pPr>
      <w:r w:rsidRPr="00E41B66">
        <w:rPr>
          <w:rFonts w:asciiTheme="majorHAnsi" w:hAnsiTheme="majorHAnsi" w:cstheme="majorHAnsi"/>
          <w:color w:val="333333"/>
          <w:sz w:val="21"/>
          <w:szCs w:val="21"/>
        </w:rPr>
        <w:lastRenderedPageBreak/>
        <w:t xml:space="preserve">[13] </w:t>
      </w:r>
      <w:proofErr w:type="spellStart"/>
      <w:r w:rsidRPr="00E41B66">
        <w:rPr>
          <w:rFonts w:asciiTheme="majorHAnsi" w:hAnsiTheme="majorHAnsi" w:cstheme="majorHAnsi"/>
          <w:color w:val="333333"/>
          <w:sz w:val="21"/>
          <w:szCs w:val="21"/>
        </w:rPr>
        <w:t>Lemmens</w:t>
      </w:r>
      <w:proofErr w:type="spellEnd"/>
      <w:r w:rsidRPr="00E41B66">
        <w:rPr>
          <w:rFonts w:asciiTheme="majorHAnsi" w:hAnsiTheme="majorHAnsi" w:cstheme="majorHAnsi"/>
          <w:color w:val="333333"/>
          <w:sz w:val="21"/>
          <w:szCs w:val="21"/>
        </w:rPr>
        <w:t xml:space="preserve"> P, Tan ES, </w:t>
      </w:r>
      <w:proofErr w:type="spellStart"/>
      <w:r w:rsidRPr="00E41B66">
        <w:rPr>
          <w:rFonts w:asciiTheme="majorHAnsi" w:hAnsiTheme="majorHAnsi" w:cstheme="majorHAnsi"/>
          <w:color w:val="333333"/>
          <w:sz w:val="21"/>
          <w:szCs w:val="21"/>
        </w:rPr>
        <w:t>Knibbe</w:t>
      </w:r>
      <w:proofErr w:type="spellEnd"/>
      <w:r w:rsidRPr="00E41B66">
        <w:rPr>
          <w:rFonts w:asciiTheme="majorHAnsi" w:hAnsiTheme="majorHAnsi" w:cstheme="majorHAnsi"/>
          <w:color w:val="333333"/>
          <w:sz w:val="21"/>
          <w:szCs w:val="21"/>
        </w:rPr>
        <w:t xml:space="preserve"> R a. Measuring quantity and frequency of drinking in a general population survey: a comparison of five indices. Journal of Studies on Alcohol 1992</w:t>
      </w:r>
      <w:proofErr w:type="gramStart"/>
      <w:r w:rsidRPr="00E41B66">
        <w:rPr>
          <w:rFonts w:asciiTheme="majorHAnsi" w:hAnsiTheme="majorHAnsi" w:cstheme="majorHAnsi"/>
          <w:color w:val="333333"/>
          <w:sz w:val="21"/>
          <w:szCs w:val="21"/>
        </w:rPr>
        <w:t>;53:476</w:t>
      </w:r>
      <w:proofErr w:type="gramEnd"/>
      <w:r w:rsidRPr="00E41B66">
        <w:rPr>
          <w:rFonts w:asciiTheme="majorHAnsi" w:hAnsiTheme="majorHAnsi" w:cstheme="majorHAnsi"/>
          <w:color w:val="333333"/>
          <w:sz w:val="21"/>
          <w:szCs w:val="21"/>
        </w:rPr>
        <w:t xml:space="preserve">–86.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18" w:history="1">
        <w:r w:rsidRPr="00E41B66">
          <w:rPr>
            <w:rStyle w:val="Hyperlink"/>
            <w:rFonts w:asciiTheme="majorHAnsi" w:hAnsiTheme="majorHAnsi" w:cstheme="majorHAnsi"/>
            <w:sz w:val="21"/>
            <w:szCs w:val="21"/>
          </w:rPr>
          <w:t>10.15288/jsa.1992.53.476</w:t>
        </w:r>
      </w:hyperlink>
      <w:r w:rsidRPr="00E41B66">
        <w:rPr>
          <w:rFonts w:asciiTheme="majorHAnsi" w:hAnsiTheme="majorHAnsi" w:cstheme="majorHAnsi"/>
          <w:color w:val="333333"/>
          <w:sz w:val="21"/>
          <w:szCs w:val="21"/>
        </w:rPr>
        <w:t>.</w:t>
      </w:r>
    </w:p>
    <w:p w:rsidR="00B51215" w:rsidRPr="00E41B66" w:rsidRDefault="00177774">
      <w:pPr>
        <w:pStyle w:val="NormalWeb"/>
        <w:divId w:val="100688815"/>
        <w:rPr>
          <w:rFonts w:asciiTheme="majorHAnsi" w:hAnsiTheme="majorHAnsi" w:cstheme="majorHAnsi"/>
          <w:color w:val="333333"/>
          <w:sz w:val="21"/>
          <w:szCs w:val="21"/>
        </w:rPr>
      </w:pPr>
      <w:r w:rsidRPr="00E41B66">
        <w:rPr>
          <w:rFonts w:asciiTheme="majorHAnsi" w:hAnsiTheme="majorHAnsi" w:cstheme="majorHAnsi"/>
          <w:color w:val="333333"/>
          <w:sz w:val="21"/>
          <w:szCs w:val="21"/>
        </w:rPr>
        <w:t>[14] R Core Team. R: A language and environment for statistical computing. Vienna, Austria: R Foundation for Statistical Computing; 2017.</w:t>
      </w:r>
    </w:p>
    <w:p w:rsidR="00B51215" w:rsidRPr="00E41B66" w:rsidRDefault="00177774">
      <w:pPr>
        <w:pStyle w:val="NormalWeb"/>
        <w:divId w:val="1134904418"/>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[15] Wickham H. </w:t>
      </w:r>
      <w:proofErr w:type="spellStart"/>
      <w:r w:rsidRPr="00E41B66">
        <w:rPr>
          <w:rFonts w:asciiTheme="majorHAnsi" w:hAnsiTheme="majorHAnsi" w:cstheme="majorHAnsi"/>
          <w:color w:val="333333"/>
          <w:sz w:val="21"/>
          <w:szCs w:val="21"/>
        </w:rPr>
        <w:t>Tidyverse</w:t>
      </w:r>
      <w:proofErr w:type="spellEnd"/>
      <w:r w:rsidRPr="00E41B66">
        <w:rPr>
          <w:rFonts w:asciiTheme="majorHAnsi" w:hAnsiTheme="majorHAnsi" w:cstheme="majorHAnsi"/>
          <w:color w:val="333333"/>
          <w:sz w:val="21"/>
          <w:szCs w:val="21"/>
        </w:rPr>
        <w:t>: Easily install and load the ’</w:t>
      </w:r>
      <w:proofErr w:type="spellStart"/>
      <w:r w:rsidRPr="00E41B66">
        <w:rPr>
          <w:rFonts w:asciiTheme="majorHAnsi" w:hAnsiTheme="majorHAnsi" w:cstheme="majorHAnsi"/>
          <w:color w:val="333333"/>
          <w:sz w:val="21"/>
          <w:szCs w:val="21"/>
        </w:rPr>
        <w:t>tidyverse</w:t>
      </w:r>
      <w:proofErr w:type="spellEnd"/>
      <w:r w:rsidRPr="00E41B66">
        <w:rPr>
          <w:rFonts w:asciiTheme="majorHAnsi" w:hAnsiTheme="majorHAnsi" w:cstheme="majorHAnsi"/>
          <w:color w:val="333333"/>
          <w:sz w:val="21"/>
          <w:szCs w:val="21"/>
        </w:rPr>
        <w:t>’ 2017.</w:t>
      </w:r>
    </w:p>
    <w:p w:rsidR="00B51215" w:rsidRPr="00E41B66" w:rsidRDefault="00177774">
      <w:pPr>
        <w:pStyle w:val="NormalWeb"/>
        <w:divId w:val="2027629391"/>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[16] Stan Development Team. </w:t>
      </w:r>
      <w:proofErr w:type="spellStart"/>
      <w:r w:rsidRPr="00E41B66">
        <w:rPr>
          <w:rFonts w:asciiTheme="majorHAnsi" w:hAnsiTheme="majorHAnsi" w:cstheme="majorHAnsi"/>
          <w:color w:val="333333"/>
          <w:sz w:val="21"/>
          <w:szCs w:val="21"/>
        </w:rPr>
        <w:t>RStan</w:t>
      </w:r>
      <w:proofErr w:type="spellEnd"/>
      <w:r w:rsidRPr="00E41B66">
        <w:rPr>
          <w:rFonts w:asciiTheme="majorHAnsi" w:hAnsiTheme="majorHAnsi" w:cstheme="majorHAnsi"/>
          <w:color w:val="333333"/>
          <w:sz w:val="21"/>
          <w:szCs w:val="21"/>
        </w:rPr>
        <w:t>: The R interface to Stan 2018.</w:t>
      </w:r>
    </w:p>
    <w:p w:rsidR="00B51215" w:rsidRPr="00E41B66" w:rsidRDefault="00177774">
      <w:pPr>
        <w:pStyle w:val="NormalWeb"/>
        <w:divId w:val="360671530"/>
        <w:rPr>
          <w:rFonts w:asciiTheme="majorHAnsi" w:hAnsiTheme="majorHAnsi" w:cstheme="majorHAnsi"/>
          <w:color w:val="333333"/>
          <w:sz w:val="21"/>
          <w:szCs w:val="21"/>
        </w:rPr>
      </w:pPr>
      <w:r w:rsidRPr="00E41B66">
        <w:rPr>
          <w:rFonts w:asciiTheme="majorHAnsi" w:hAnsiTheme="majorHAnsi" w:cstheme="majorHAnsi"/>
          <w:color w:val="333333"/>
          <w:sz w:val="21"/>
          <w:szCs w:val="21"/>
        </w:rPr>
        <w:t>[17] Lumley T. Survey: Analysis of complex survey samples 2019.</w:t>
      </w:r>
    </w:p>
    <w:p w:rsidR="00B51215" w:rsidRPr="00E41B66" w:rsidRDefault="00177774">
      <w:pPr>
        <w:pStyle w:val="NormalWeb"/>
        <w:divId w:val="424542330"/>
        <w:rPr>
          <w:rFonts w:asciiTheme="majorHAnsi" w:hAnsiTheme="majorHAnsi" w:cstheme="majorHAnsi"/>
          <w:color w:val="333333"/>
          <w:sz w:val="21"/>
          <w:szCs w:val="21"/>
        </w:rPr>
      </w:pPr>
      <w:r w:rsidRPr="00E41B66">
        <w:rPr>
          <w:rFonts w:asciiTheme="majorHAnsi" w:hAnsiTheme="majorHAnsi" w:cstheme="majorHAnsi"/>
          <w:color w:val="333333"/>
          <w:sz w:val="21"/>
          <w:szCs w:val="21"/>
        </w:rPr>
        <w:t>[18] Lumley T. Analysis of complex survey samples. Journal of Statistical Software 2004</w:t>
      </w:r>
      <w:proofErr w:type="gramStart"/>
      <w:r w:rsidRPr="00E41B66">
        <w:rPr>
          <w:rFonts w:asciiTheme="majorHAnsi" w:hAnsiTheme="majorHAnsi" w:cstheme="majorHAnsi"/>
          <w:color w:val="333333"/>
          <w:sz w:val="21"/>
          <w:szCs w:val="21"/>
        </w:rPr>
        <w:t>;9:1</w:t>
      </w:r>
      <w:proofErr w:type="gramEnd"/>
      <w:r w:rsidRPr="00E41B66">
        <w:rPr>
          <w:rFonts w:asciiTheme="majorHAnsi" w:hAnsiTheme="majorHAnsi" w:cstheme="majorHAnsi"/>
          <w:color w:val="333333"/>
          <w:sz w:val="21"/>
          <w:szCs w:val="21"/>
        </w:rPr>
        <w:t>–19.</w:t>
      </w:r>
    </w:p>
    <w:p w:rsidR="00B51215" w:rsidRPr="00E41B66" w:rsidRDefault="00177774">
      <w:pPr>
        <w:pStyle w:val="NormalWeb"/>
        <w:divId w:val="1138107544"/>
        <w:rPr>
          <w:rFonts w:asciiTheme="majorHAnsi" w:hAnsiTheme="majorHAnsi" w:cstheme="majorHAnsi"/>
          <w:color w:val="333333"/>
          <w:sz w:val="21"/>
          <w:szCs w:val="21"/>
        </w:rPr>
      </w:pPr>
      <w:r w:rsidRPr="00E41B66">
        <w:rPr>
          <w:rFonts w:asciiTheme="majorHAnsi" w:hAnsiTheme="majorHAnsi" w:cstheme="majorHAnsi"/>
          <w:color w:val="333333"/>
          <w:sz w:val="21"/>
          <w:szCs w:val="21"/>
        </w:rPr>
        <w:t>[19] Dutey-Magni P. Concurrent validity of an Estimator of Weekly Alcohol Consumption (EWAC) based on the Extended AUDIT 2020.</w:t>
      </w:r>
    </w:p>
    <w:p w:rsidR="00B51215" w:rsidRPr="00E41B66" w:rsidRDefault="00177774">
      <w:pPr>
        <w:pStyle w:val="NormalWeb"/>
        <w:divId w:val="2046759119"/>
        <w:rPr>
          <w:rFonts w:asciiTheme="majorHAnsi" w:hAnsiTheme="majorHAnsi" w:cstheme="majorHAnsi"/>
          <w:color w:val="333333"/>
          <w:sz w:val="21"/>
          <w:szCs w:val="21"/>
        </w:rPr>
      </w:pPr>
      <w:r w:rsidRPr="00E41B66">
        <w:rPr>
          <w:rFonts w:asciiTheme="majorHAnsi" w:hAnsiTheme="majorHAnsi" w:cstheme="majorHAnsi"/>
          <w:color w:val="333333"/>
          <w:sz w:val="21"/>
          <w:szCs w:val="21"/>
        </w:rPr>
        <w:t>[20] Greenfield TK. Ways of measuring drinking patterns and the difference they make: experience with graduated frequencies. Journal of Substance Abuse 2000</w:t>
      </w:r>
      <w:proofErr w:type="gramStart"/>
      <w:r w:rsidRPr="00E41B66">
        <w:rPr>
          <w:rFonts w:asciiTheme="majorHAnsi" w:hAnsiTheme="majorHAnsi" w:cstheme="majorHAnsi"/>
          <w:color w:val="333333"/>
          <w:sz w:val="21"/>
          <w:szCs w:val="21"/>
        </w:rPr>
        <w:t>;12:33</w:t>
      </w:r>
      <w:proofErr w:type="gramEnd"/>
      <w:r w:rsidRPr="00E41B66">
        <w:rPr>
          <w:rFonts w:asciiTheme="majorHAnsi" w:hAnsiTheme="majorHAnsi" w:cstheme="majorHAnsi"/>
          <w:color w:val="333333"/>
          <w:sz w:val="21"/>
          <w:szCs w:val="21"/>
        </w:rPr>
        <w:t xml:space="preserve">–49.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19" w:history="1">
        <w:r w:rsidRPr="00E41B66">
          <w:rPr>
            <w:rStyle w:val="Hyperlink"/>
            <w:rFonts w:asciiTheme="majorHAnsi" w:hAnsiTheme="majorHAnsi" w:cstheme="majorHAnsi"/>
            <w:sz w:val="21"/>
            <w:szCs w:val="21"/>
          </w:rPr>
          <w:t>10.1016/S0899-3289(00)00039-0</w:t>
        </w:r>
      </w:hyperlink>
      <w:r w:rsidRPr="00E41B66">
        <w:rPr>
          <w:rFonts w:asciiTheme="majorHAnsi" w:hAnsiTheme="majorHAnsi" w:cstheme="majorHAnsi"/>
          <w:color w:val="333333"/>
          <w:sz w:val="21"/>
          <w:szCs w:val="21"/>
        </w:rPr>
        <w:t>.</w:t>
      </w:r>
    </w:p>
    <w:p w:rsidR="00B51215" w:rsidRPr="00E41B66" w:rsidRDefault="00177774">
      <w:pPr>
        <w:pStyle w:val="NormalWeb"/>
        <w:divId w:val="1435050665"/>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[21] </w:t>
      </w:r>
      <w:proofErr w:type="spellStart"/>
      <w:r w:rsidRPr="00E41B66">
        <w:rPr>
          <w:rFonts w:asciiTheme="majorHAnsi" w:hAnsiTheme="majorHAnsi" w:cstheme="majorHAnsi"/>
          <w:color w:val="333333"/>
          <w:sz w:val="21"/>
          <w:szCs w:val="21"/>
        </w:rPr>
        <w:t>Heeb</w:t>
      </w:r>
      <w:proofErr w:type="spellEnd"/>
      <w:r w:rsidRPr="00E41B66">
        <w:rPr>
          <w:rFonts w:asciiTheme="majorHAnsi" w:hAnsiTheme="majorHAnsi" w:cstheme="majorHAnsi"/>
          <w:color w:val="333333"/>
          <w:sz w:val="21"/>
          <w:szCs w:val="21"/>
        </w:rPr>
        <w:t xml:space="preserve"> J-L, </w:t>
      </w:r>
      <w:proofErr w:type="spellStart"/>
      <w:r w:rsidRPr="00E41B66">
        <w:rPr>
          <w:rFonts w:asciiTheme="majorHAnsi" w:hAnsiTheme="majorHAnsi" w:cstheme="majorHAnsi"/>
          <w:color w:val="333333"/>
          <w:sz w:val="21"/>
          <w:szCs w:val="21"/>
        </w:rPr>
        <w:t>Gmel</w:t>
      </w:r>
      <w:proofErr w:type="spellEnd"/>
      <w:r w:rsidRPr="00E41B66">
        <w:rPr>
          <w:rFonts w:asciiTheme="majorHAnsi" w:hAnsiTheme="majorHAnsi" w:cstheme="majorHAnsi"/>
          <w:color w:val="333333"/>
          <w:sz w:val="21"/>
          <w:szCs w:val="21"/>
        </w:rPr>
        <w:t xml:space="preserve"> G. Measuring alcohol consumption: A comparison of graduated frequency, quantity frequency, and weekly recall diary methods in a general population survey. Addictive </w:t>
      </w:r>
      <w:proofErr w:type="spellStart"/>
      <w:r w:rsidRPr="00E41B66">
        <w:rPr>
          <w:rFonts w:asciiTheme="majorHAnsi" w:hAnsiTheme="majorHAnsi" w:cstheme="majorHAnsi"/>
          <w:color w:val="333333"/>
          <w:sz w:val="21"/>
          <w:szCs w:val="21"/>
        </w:rPr>
        <w:t>Behaviors</w:t>
      </w:r>
      <w:proofErr w:type="spellEnd"/>
      <w:r w:rsidRPr="00E41B66">
        <w:rPr>
          <w:rFonts w:asciiTheme="majorHAnsi" w:hAnsiTheme="majorHAnsi" w:cstheme="majorHAnsi"/>
          <w:color w:val="333333"/>
          <w:sz w:val="21"/>
          <w:szCs w:val="21"/>
        </w:rPr>
        <w:t xml:space="preserve"> 2005</w:t>
      </w:r>
      <w:proofErr w:type="gramStart"/>
      <w:r w:rsidRPr="00E41B66">
        <w:rPr>
          <w:rFonts w:asciiTheme="majorHAnsi" w:hAnsiTheme="majorHAnsi" w:cstheme="majorHAnsi"/>
          <w:color w:val="333333"/>
          <w:sz w:val="21"/>
          <w:szCs w:val="21"/>
        </w:rPr>
        <w:t>;30:403</w:t>
      </w:r>
      <w:proofErr w:type="gramEnd"/>
      <w:r w:rsidRPr="00E41B66">
        <w:rPr>
          <w:rFonts w:asciiTheme="majorHAnsi" w:hAnsiTheme="majorHAnsi" w:cstheme="majorHAnsi"/>
          <w:color w:val="333333"/>
          <w:sz w:val="21"/>
          <w:szCs w:val="21"/>
        </w:rPr>
        <w:t xml:space="preserve">–13.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20" w:history="1">
        <w:r w:rsidRPr="00E41B66">
          <w:rPr>
            <w:rStyle w:val="Hyperlink"/>
            <w:rFonts w:asciiTheme="majorHAnsi" w:hAnsiTheme="majorHAnsi" w:cstheme="majorHAnsi"/>
            <w:sz w:val="21"/>
            <w:szCs w:val="21"/>
          </w:rPr>
          <w:t>10.1016/j.addbeh.2004.04.022</w:t>
        </w:r>
      </w:hyperlink>
      <w:r w:rsidRPr="00E41B66">
        <w:rPr>
          <w:rFonts w:asciiTheme="majorHAnsi" w:hAnsiTheme="majorHAnsi" w:cstheme="majorHAnsi"/>
          <w:color w:val="333333"/>
          <w:sz w:val="21"/>
          <w:szCs w:val="21"/>
        </w:rPr>
        <w:t>.</w:t>
      </w:r>
    </w:p>
    <w:p w:rsidR="00B51215" w:rsidRPr="00E41B66" w:rsidRDefault="00177774">
      <w:pPr>
        <w:pStyle w:val="NormalWeb"/>
        <w:divId w:val="930578222"/>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[22] </w:t>
      </w:r>
      <w:proofErr w:type="spellStart"/>
      <w:r w:rsidRPr="00E41B66">
        <w:rPr>
          <w:rFonts w:asciiTheme="majorHAnsi" w:hAnsiTheme="majorHAnsi" w:cstheme="majorHAnsi"/>
          <w:color w:val="333333"/>
          <w:sz w:val="21"/>
          <w:szCs w:val="21"/>
        </w:rPr>
        <w:t>Rehm</w:t>
      </w:r>
      <w:proofErr w:type="spellEnd"/>
      <w:r w:rsidRPr="00E41B66">
        <w:rPr>
          <w:rFonts w:asciiTheme="majorHAnsi" w:hAnsiTheme="majorHAnsi" w:cstheme="majorHAnsi"/>
          <w:color w:val="333333"/>
          <w:sz w:val="21"/>
          <w:szCs w:val="21"/>
        </w:rPr>
        <w:t xml:space="preserve"> J. Measuring Quantity, Frequency, and Volume of Drinking. Alcoholism: Clinical and Experimental Research 1998</w:t>
      </w:r>
      <w:proofErr w:type="gramStart"/>
      <w:r w:rsidRPr="00E41B66">
        <w:rPr>
          <w:rFonts w:asciiTheme="majorHAnsi" w:hAnsiTheme="majorHAnsi" w:cstheme="majorHAnsi"/>
          <w:color w:val="333333"/>
          <w:sz w:val="21"/>
          <w:szCs w:val="21"/>
        </w:rPr>
        <w:t>;22:4s</w:t>
      </w:r>
      <w:proofErr w:type="gramEnd"/>
      <w:r w:rsidRPr="00E41B66">
        <w:rPr>
          <w:rFonts w:asciiTheme="majorHAnsi" w:hAnsiTheme="majorHAnsi" w:cstheme="majorHAnsi"/>
          <w:color w:val="333333"/>
          <w:sz w:val="21"/>
          <w:szCs w:val="21"/>
        </w:rPr>
        <w:t xml:space="preserve">–14s.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21" w:history="1">
        <w:r w:rsidRPr="00E41B66">
          <w:rPr>
            <w:rStyle w:val="Hyperlink"/>
            <w:rFonts w:asciiTheme="majorHAnsi" w:hAnsiTheme="majorHAnsi" w:cstheme="majorHAnsi"/>
            <w:sz w:val="21"/>
            <w:szCs w:val="21"/>
          </w:rPr>
          <w:t>10.1111/j.1530-0277.1998.tb04368.x</w:t>
        </w:r>
      </w:hyperlink>
      <w:r w:rsidRPr="00E41B66">
        <w:rPr>
          <w:rFonts w:asciiTheme="majorHAnsi" w:hAnsiTheme="majorHAnsi" w:cstheme="majorHAnsi"/>
          <w:color w:val="333333"/>
          <w:sz w:val="21"/>
          <w:szCs w:val="21"/>
        </w:rPr>
        <w:t>.</w:t>
      </w:r>
    </w:p>
    <w:p w:rsidR="00B51215" w:rsidRPr="00E41B66" w:rsidRDefault="00177774">
      <w:pPr>
        <w:pStyle w:val="NormalWeb"/>
        <w:divId w:val="981693196"/>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[23] </w:t>
      </w:r>
      <w:proofErr w:type="spellStart"/>
      <w:r w:rsidRPr="00E41B66">
        <w:rPr>
          <w:rFonts w:asciiTheme="majorHAnsi" w:hAnsiTheme="majorHAnsi" w:cstheme="majorHAnsi"/>
          <w:color w:val="333333"/>
          <w:sz w:val="21"/>
          <w:szCs w:val="21"/>
        </w:rPr>
        <w:t>NatCen</w:t>
      </w:r>
      <w:proofErr w:type="spellEnd"/>
      <w:r w:rsidRPr="00E41B66">
        <w:rPr>
          <w:rFonts w:asciiTheme="majorHAnsi" w:hAnsiTheme="majorHAnsi" w:cstheme="majorHAnsi"/>
          <w:color w:val="333333"/>
          <w:sz w:val="21"/>
          <w:szCs w:val="21"/>
        </w:rPr>
        <w:t xml:space="preserve"> Social Research, Royal Free and University College Medical School. Health Survey for England, 2011 [computer file]. Colchester, Essex: UK Data Archive [distributor], April 2013. SN: 7260. Colchester, Essex: 2013.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22" w:history="1">
        <w:r w:rsidRPr="00E41B66">
          <w:rPr>
            <w:rStyle w:val="Hyperlink"/>
            <w:rFonts w:asciiTheme="majorHAnsi" w:hAnsiTheme="majorHAnsi" w:cstheme="majorHAnsi"/>
            <w:sz w:val="21"/>
            <w:szCs w:val="21"/>
          </w:rPr>
          <w:t>10.5255/UKDA-SN-7260-1</w:t>
        </w:r>
      </w:hyperlink>
      <w:r w:rsidRPr="00E41B66">
        <w:rPr>
          <w:rFonts w:asciiTheme="majorHAnsi" w:hAnsiTheme="majorHAnsi" w:cstheme="majorHAnsi"/>
          <w:color w:val="333333"/>
          <w:sz w:val="21"/>
          <w:szCs w:val="21"/>
        </w:rPr>
        <w:t>.</w:t>
      </w:r>
    </w:p>
    <w:p w:rsidR="00B51215" w:rsidRPr="00E41B66" w:rsidRDefault="00177774">
      <w:pPr>
        <w:pStyle w:val="NormalWeb"/>
        <w:divId w:val="1212115600"/>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[24] Boniface S, </w:t>
      </w:r>
      <w:proofErr w:type="spellStart"/>
      <w:r w:rsidRPr="00E41B66">
        <w:rPr>
          <w:rFonts w:asciiTheme="majorHAnsi" w:hAnsiTheme="majorHAnsi" w:cstheme="majorHAnsi"/>
          <w:color w:val="333333"/>
          <w:sz w:val="21"/>
          <w:szCs w:val="21"/>
        </w:rPr>
        <w:t>Kneale</w:t>
      </w:r>
      <w:proofErr w:type="spellEnd"/>
      <w:r w:rsidRPr="00E41B66">
        <w:rPr>
          <w:rFonts w:asciiTheme="majorHAnsi" w:hAnsiTheme="majorHAnsi" w:cstheme="majorHAnsi"/>
          <w:color w:val="333333"/>
          <w:sz w:val="21"/>
          <w:szCs w:val="21"/>
        </w:rPr>
        <w:t xml:space="preserve"> J, Shelton N. Drinking pattern is more strongly associated with under-reporting of alcohol consumption than socio-demographic factors: evidence from a mixed-methods study. BMC Public Health 2014</w:t>
      </w:r>
      <w:proofErr w:type="gramStart"/>
      <w:r w:rsidRPr="00E41B66">
        <w:rPr>
          <w:rFonts w:asciiTheme="majorHAnsi" w:hAnsiTheme="majorHAnsi" w:cstheme="majorHAnsi"/>
          <w:color w:val="333333"/>
          <w:sz w:val="21"/>
          <w:szCs w:val="21"/>
        </w:rPr>
        <w:t>;14:1297</w:t>
      </w:r>
      <w:proofErr w:type="gramEnd"/>
      <w:r w:rsidRPr="00E41B66">
        <w:rPr>
          <w:rFonts w:asciiTheme="majorHAnsi" w:hAnsiTheme="majorHAnsi" w:cstheme="majorHAnsi"/>
          <w:color w:val="333333"/>
          <w:sz w:val="21"/>
          <w:szCs w:val="21"/>
        </w:rPr>
        <w:t xml:space="preserve">.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23" w:history="1">
        <w:r w:rsidRPr="00E41B66">
          <w:rPr>
            <w:rStyle w:val="Hyperlink"/>
            <w:rFonts w:asciiTheme="majorHAnsi" w:hAnsiTheme="majorHAnsi" w:cstheme="majorHAnsi"/>
            <w:sz w:val="21"/>
            <w:szCs w:val="21"/>
          </w:rPr>
          <w:t>10.1186/1471-2458-14-1297</w:t>
        </w:r>
      </w:hyperlink>
      <w:r w:rsidRPr="00E41B66">
        <w:rPr>
          <w:rFonts w:asciiTheme="majorHAnsi" w:hAnsiTheme="majorHAnsi" w:cstheme="majorHAnsi"/>
          <w:color w:val="333333"/>
          <w:sz w:val="21"/>
          <w:szCs w:val="21"/>
        </w:rPr>
        <w:t>.</w:t>
      </w:r>
    </w:p>
    <w:p w:rsidR="00B51215" w:rsidRPr="00E41B66" w:rsidRDefault="00177774">
      <w:pPr>
        <w:pStyle w:val="NormalWeb"/>
        <w:divId w:val="1019428318"/>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[25] Stockwell T, Zhao J, Greenfield T, Li J, Livingston M, </w:t>
      </w:r>
      <w:proofErr w:type="spellStart"/>
      <w:r w:rsidRPr="00E41B66">
        <w:rPr>
          <w:rFonts w:asciiTheme="majorHAnsi" w:hAnsiTheme="majorHAnsi" w:cstheme="majorHAnsi"/>
          <w:color w:val="333333"/>
          <w:sz w:val="21"/>
          <w:szCs w:val="21"/>
        </w:rPr>
        <w:t>Meng</w:t>
      </w:r>
      <w:proofErr w:type="spellEnd"/>
      <w:r w:rsidRPr="00E41B66">
        <w:rPr>
          <w:rFonts w:asciiTheme="majorHAnsi" w:hAnsiTheme="majorHAnsi" w:cstheme="majorHAnsi"/>
          <w:color w:val="333333"/>
          <w:sz w:val="21"/>
          <w:szCs w:val="21"/>
        </w:rPr>
        <w:t xml:space="preserve"> Y. Estimating under- and over-reporting of drinking in national surveys of alcohol consumption: identification of consistent biases across four English-speaking countries. Addiction 2016</w:t>
      </w:r>
      <w:proofErr w:type="gramStart"/>
      <w:r w:rsidRPr="00E41B66">
        <w:rPr>
          <w:rFonts w:asciiTheme="majorHAnsi" w:hAnsiTheme="majorHAnsi" w:cstheme="majorHAnsi"/>
          <w:color w:val="333333"/>
          <w:sz w:val="21"/>
          <w:szCs w:val="21"/>
        </w:rPr>
        <w:t>;111:1203</w:t>
      </w:r>
      <w:proofErr w:type="gramEnd"/>
      <w:r w:rsidRPr="00E41B66">
        <w:rPr>
          <w:rFonts w:asciiTheme="majorHAnsi" w:hAnsiTheme="majorHAnsi" w:cstheme="majorHAnsi"/>
          <w:color w:val="333333"/>
          <w:sz w:val="21"/>
          <w:szCs w:val="21"/>
        </w:rPr>
        <w:t xml:space="preserve">–13.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24" w:history="1">
        <w:r w:rsidRPr="00E41B66">
          <w:rPr>
            <w:rStyle w:val="Hyperlink"/>
            <w:rFonts w:asciiTheme="majorHAnsi" w:hAnsiTheme="majorHAnsi" w:cstheme="majorHAnsi"/>
            <w:sz w:val="21"/>
            <w:szCs w:val="21"/>
          </w:rPr>
          <w:t>10.1111/add.13373</w:t>
        </w:r>
      </w:hyperlink>
      <w:r w:rsidRPr="00E41B66">
        <w:rPr>
          <w:rFonts w:asciiTheme="majorHAnsi" w:hAnsiTheme="majorHAnsi" w:cstheme="majorHAnsi"/>
          <w:color w:val="333333"/>
          <w:sz w:val="21"/>
          <w:szCs w:val="21"/>
        </w:rPr>
        <w:t>.</w:t>
      </w:r>
    </w:p>
    <w:p w:rsidR="00B51215" w:rsidRPr="00E41B66" w:rsidRDefault="00177774">
      <w:pPr>
        <w:pStyle w:val="NormalWeb"/>
        <w:divId w:val="425805243"/>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[26] Grant KA, </w:t>
      </w:r>
      <w:proofErr w:type="spellStart"/>
      <w:r w:rsidRPr="00E41B66">
        <w:rPr>
          <w:rFonts w:asciiTheme="majorHAnsi" w:hAnsiTheme="majorHAnsi" w:cstheme="majorHAnsi"/>
          <w:color w:val="333333"/>
          <w:sz w:val="21"/>
          <w:szCs w:val="21"/>
        </w:rPr>
        <w:t>Tonigan</w:t>
      </w:r>
      <w:proofErr w:type="spellEnd"/>
      <w:r w:rsidRPr="00E41B66">
        <w:rPr>
          <w:rFonts w:asciiTheme="majorHAnsi" w:hAnsiTheme="majorHAnsi" w:cstheme="majorHAnsi"/>
          <w:color w:val="333333"/>
          <w:sz w:val="21"/>
          <w:szCs w:val="21"/>
        </w:rPr>
        <w:t xml:space="preserve"> JS, Miller WR. Comparison of three alcohol consumption measures: A concurrent validity study. Journal of Studies on Alcohol 1995</w:t>
      </w:r>
      <w:proofErr w:type="gramStart"/>
      <w:r w:rsidRPr="00E41B66">
        <w:rPr>
          <w:rFonts w:asciiTheme="majorHAnsi" w:hAnsiTheme="majorHAnsi" w:cstheme="majorHAnsi"/>
          <w:color w:val="333333"/>
          <w:sz w:val="21"/>
          <w:szCs w:val="21"/>
        </w:rPr>
        <w:t>;56:168</w:t>
      </w:r>
      <w:proofErr w:type="gramEnd"/>
      <w:r w:rsidRPr="00E41B66">
        <w:rPr>
          <w:rFonts w:asciiTheme="majorHAnsi" w:hAnsiTheme="majorHAnsi" w:cstheme="majorHAnsi"/>
          <w:color w:val="333333"/>
          <w:sz w:val="21"/>
          <w:szCs w:val="21"/>
        </w:rPr>
        <w:t xml:space="preserve">–72.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25" w:history="1">
        <w:r w:rsidRPr="00E41B66">
          <w:rPr>
            <w:rStyle w:val="Hyperlink"/>
            <w:rFonts w:asciiTheme="majorHAnsi" w:hAnsiTheme="majorHAnsi" w:cstheme="majorHAnsi"/>
            <w:sz w:val="21"/>
            <w:szCs w:val="21"/>
          </w:rPr>
          <w:t>10.15288/jsa.1995.56.168</w:t>
        </w:r>
      </w:hyperlink>
      <w:r w:rsidRPr="00E41B66">
        <w:rPr>
          <w:rFonts w:asciiTheme="majorHAnsi" w:hAnsiTheme="majorHAnsi" w:cstheme="majorHAnsi"/>
          <w:color w:val="333333"/>
          <w:sz w:val="21"/>
          <w:szCs w:val="21"/>
        </w:rPr>
        <w:t>.</w:t>
      </w:r>
    </w:p>
    <w:p w:rsidR="00B51215" w:rsidRPr="00E41B66" w:rsidRDefault="00177774">
      <w:pPr>
        <w:pStyle w:val="NormalWeb"/>
        <w:divId w:val="1114058205"/>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[27] </w:t>
      </w:r>
      <w:proofErr w:type="spellStart"/>
      <w:r w:rsidRPr="00E41B66">
        <w:rPr>
          <w:rFonts w:asciiTheme="majorHAnsi" w:hAnsiTheme="majorHAnsi" w:cstheme="majorHAnsi"/>
          <w:color w:val="333333"/>
          <w:sz w:val="21"/>
          <w:szCs w:val="21"/>
        </w:rPr>
        <w:t>Hoeppner</w:t>
      </w:r>
      <w:proofErr w:type="spellEnd"/>
      <w:r w:rsidRPr="00E41B66">
        <w:rPr>
          <w:rFonts w:asciiTheme="majorHAnsi" w:hAnsiTheme="majorHAnsi" w:cstheme="majorHAnsi"/>
          <w:color w:val="333333"/>
          <w:sz w:val="21"/>
          <w:szCs w:val="21"/>
        </w:rPr>
        <w:t xml:space="preserve"> BB, Stout RL, Jackson KM, Barnett NP. How good is fine-grained Timeline Follow-back data? Comparing 30-day TLFB and repeated 7-day TLFB alcohol consumption reports on the person and daily level. Addictive </w:t>
      </w:r>
      <w:proofErr w:type="spellStart"/>
      <w:r w:rsidRPr="00E41B66">
        <w:rPr>
          <w:rFonts w:asciiTheme="majorHAnsi" w:hAnsiTheme="majorHAnsi" w:cstheme="majorHAnsi"/>
          <w:color w:val="333333"/>
          <w:sz w:val="21"/>
          <w:szCs w:val="21"/>
        </w:rPr>
        <w:t>Behaviors</w:t>
      </w:r>
      <w:proofErr w:type="spellEnd"/>
      <w:r w:rsidRPr="00E41B66">
        <w:rPr>
          <w:rFonts w:asciiTheme="majorHAnsi" w:hAnsiTheme="majorHAnsi" w:cstheme="majorHAnsi"/>
          <w:color w:val="333333"/>
          <w:sz w:val="21"/>
          <w:szCs w:val="21"/>
        </w:rPr>
        <w:t xml:space="preserve"> 2010</w:t>
      </w:r>
      <w:proofErr w:type="gramStart"/>
      <w:r w:rsidRPr="00E41B66">
        <w:rPr>
          <w:rFonts w:asciiTheme="majorHAnsi" w:hAnsiTheme="majorHAnsi" w:cstheme="majorHAnsi"/>
          <w:color w:val="333333"/>
          <w:sz w:val="21"/>
          <w:szCs w:val="21"/>
        </w:rPr>
        <w:t>;35:1138</w:t>
      </w:r>
      <w:proofErr w:type="gramEnd"/>
      <w:r w:rsidRPr="00E41B66">
        <w:rPr>
          <w:rFonts w:asciiTheme="majorHAnsi" w:hAnsiTheme="majorHAnsi" w:cstheme="majorHAnsi"/>
          <w:color w:val="333333"/>
          <w:sz w:val="21"/>
          <w:szCs w:val="21"/>
        </w:rPr>
        <w:t xml:space="preserve">–43.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26" w:history="1">
        <w:r w:rsidRPr="00E41B66">
          <w:rPr>
            <w:rStyle w:val="Hyperlink"/>
            <w:rFonts w:asciiTheme="majorHAnsi" w:hAnsiTheme="majorHAnsi" w:cstheme="majorHAnsi"/>
            <w:sz w:val="21"/>
            <w:szCs w:val="21"/>
          </w:rPr>
          <w:t>10.1016/j.addbeh.2010.08.013</w:t>
        </w:r>
      </w:hyperlink>
      <w:r w:rsidRPr="00E41B66">
        <w:rPr>
          <w:rFonts w:asciiTheme="majorHAnsi" w:hAnsiTheme="majorHAnsi" w:cstheme="majorHAnsi"/>
          <w:color w:val="333333"/>
          <w:sz w:val="21"/>
          <w:szCs w:val="21"/>
        </w:rPr>
        <w:t>.</w:t>
      </w:r>
    </w:p>
    <w:p w:rsidR="00B51215" w:rsidRPr="00E41B66" w:rsidRDefault="00177774">
      <w:pPr>
        <w:pStyle w:val="NormalWeb"/>
        <w:divId w:val="2144345189"/>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[28] Vinson DC, </w:t>
      </w:r>
      <w:proofErr w:type="spellStart"/>
      <w:r w:rsidRPr="00E41B66">
        <w:rPr>
          <w:rFonts w:asciiTheme="majorHAnsi" w:hAnsiTheme="majorHAnsi" w:cstheme="majorHAnsi"/>
          <w:color w:val="333333"/>
          <w:sz w:val="21"/>
          <w:szCs w:val="21"/>
        </w:rPr>
        <w:t>Reidinger</w:t>
      </w:r>
      <w:proofErr w:type="spellEnd"/>
      <w:r w:rsidRPr="00E41B66">
        <w:rPr>
          <w:rFonts w:asciiTheme="majorHAnsi" w:hAnsiTheme="majorHAnsi" w:cstheme="majorHAnsi"/>
          <w:color w:val="333333"/>
          <w:sz w:val="21"/>
          <w:szCs w:val="21"/>
        </w:rPr>
        <w:t xml:space="preserve"> C, </w:t>
      </w:r>
      <w:proofErr w:type="spellStart"/>
      <w:r w:rsidRPr="00E41B66">
        <w:rPr>
          <w:rFonts w:asciiTheme="majorHAnsi" w:hAnsiTheme="majorHAnsi" w:cstheme="majorHAnsi"/>
          <w:color w:val="333333"/>
          <w:sz w:val="21"/>
          <w:szCs w:val="21"/>
        </w:rPr>
        <w:t>Wilcosky</w:t>
      </w:r>
      <w:proofErr w:type="spellEnd"/>
      <w:r w:rsidRPr="00E41B66">
        <w:rPr>
          <w:rFonts w:asciiTheme="majorHAnsi" w:hAnsiTheme="majorHAnsi" w:cstheme="majorHAnsi"/>
          <w:color w:val="333333"/>
          <w:sz w:val="21"/>
          <w:szCs w:val="21"/>
        </w:rPr>
        <w:t xml:space="preserve"> T. Factors affecting the validity of a Timeline Follow-Back interview. Journal of Studies on Alcohol 2003</w:t>
      </w:r>
      <w:proofErr w:type="gramStart"/>
      <w:r w:rsidRPr="00E41B66">
        <w:rPr>
          <w:rFonts w:asciiTheme="majorHAnsi" w:hAnsiTheme="majorHAnsi" w:cstheme="majorHAnsi"/>
          <w:color w:val="333333"/>
          <w:sz w:val="21"/>
          <w:szCs w:val="21"/>
        </w:rPr>
        <w:t>;64:733</w:t>
      </w:r>
      <w:proofErr w:type="gramEnd"/>
      <w:r w:rsidRPr="00E41B66">
        <w:rPr>
          <w:rFonts w:asciiTheme="majorHAnsi" w:hAnsiTheme="majorHAnsi" w:cstheme="majorHAnsi"/>
          <w:color w:val="333333"/>
          <w:sz w:val="21"/>
          <w:szCs w:val="21"/>
        </w:rPr>
        <w:t xml:space="preserve">–40.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27" w:history="1">
        <w:r w:rsidRPr="00E41B66">
          <w:rPr>
            <w:rStyle w:val="Hyperlink"/>
            <w:rFonts w:asciiTheme="majorHAnsi" w:hAnsiTheme="majorHAnsi" w:cstheme="majorHAnsi"/>
            <w:sz w:val="21"/>
            <w:szCs w:val="21"/>
          </w:rPr>
          <w:t>10.15288/jsa.2003.64.733</w:t>
        </w:r>
      </w:hyperlink>
      <w:r w:rsidRPr="00E41B66">
        <w:rPr>
          <w:rFonts w:asciiTheme="majorHAnsi" w:hAnsiTheme="majorHAnsi" w:cstheme="majorHAnsi"/>
          <w:color w:val="333333"/>
          <w:sz w:val="21"/>
          <w:szCs w:val="21"/>
        </w:rPr>
        <w:t>.</w:t>
      </w:r>
    </w:p>
    <w:p w:rsidR="00B51215" w:rsidRPr="00E41B66" w:rsidRDefault="00177774">
      <w:pPr>
        <w:pStyle w:val="NormalWeb"/>
        <w:divId w:val="1692292599"/>
        <w:rPr>
          <w:rFonts w:asciiTheme="majorHAnsi" w:hAnsiTheme="majorHAnsi" w:cstheme="majorHAnsi"/>
          <w:color w:val="333333"/>
          <w:sz w:val="21"/>
          <w:szCs w:val="21"/>
        </w:rPr>
      </w:pPr>
      <w:r w:rsidRPr="00E41B66">
        <w:rPr>
          <w:rFonts w:asciiTheme="majorHAnsi" w:hAnsiTheme="majorHAnsi" w:cstheme="majorHAnsi"/>
          <w:color w:val="333333"/>
          <w:sz w:val="21"/>
          <w:szCs w:val="21"/>
        </w:rPr>
        <w:t>[29] Public Health England. Alcohol sales in England in 2014: Analysis to assess suitability for inclusion as an indicator in the Local Alcohol Profiles for England. 2017.</w:t>
      </w:r>
    </w:p>
    <w:p w:rsidR="00B51215" w:rsidRPr="00E41B66" w:rsidRDefault="00177774">
      <w:pPr>
        <w:pStyle w:val="NormalWeb"/>
        <w:divId w:val="391075400"/>
        <w:rPr>
          <w:rFonts w:asciiTheme="majorHAnsi" w:hAnsiTheme="majorHAnsi" w:cstheme="majorHAnsi"/>
          <w:color w:val="333333"/>
          <w:sz w:val="21"/>
          <w:szCs w:val="21"/>
        </w:rPr>
      </w:pPr>
      <w:r w:rsidRPr="00E41B66">
        <w:rPr>
          <w:rFonts w:asciiTheme="majorHAnsi" w:hAnsiTheme="majorHAnsi" w:cstheme="majorHAnsi"/>
          <w:color w:val="333333"/>
          <w:sz w:val="21"/>
          <w:szCs w:val="21"/>
        </w:rPr>
        <w:t>[30] DeLong ER, DeLong DM, Clarke-Pearson DL. Comparing the Areas under Two or More Correlated Receiver Operating Characteristic Curves: A Nonparametric Approach. Biometrics 1988</w:t>
      </w:r>
      <w:proofErr w:type="gramStart"/>
      <w:r w:rsidRPr="00E41B66">
        <w:rPr>
          <w:rFonts w:asciiTheme="majorHAnsi" w:hAnsiTheme="majorHAnsi" w:cstheme="majorHAnsi"/>
          <w:color w:val="333333"/>
          <w:sz w:val="21"/>
          <w:szCs w:val="21"/>
        </w:rPr>
        <w:t>;44:837</w:t>
      </w:r>
      <w:proofErr w:type="gramEnd"/>
      <w:r w:rsidRPr="00E41B66">
        <w:rPr>
          <w:rFonts w:asciiTheme="majorHAnsi" w:hAnsiTheme="majorHAnsi" w:cstheme="majorHAnsi"/>
          <w:color w:val="333333"/>
          <w:sz w:val="21"/>
          <w:szCs w:val="21"/>
        </w:rPr>
        <w:t xml:space="preserve">.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28" w:history="1">
        <w:r w:rsidRPr="00E41B66">
          <w:rPr>
            <w:rStyle w:val="Hyperlink"/>
            <w:rFonts w:asciiTheme="majorHAnsi" w:hAnsiTheme="majorHAnsi" w:cstheme="majorHAnsi"/>
            <w:sz w:val="21"/>
            <w:szCs w:val="21"/>
          </w:rPr>
          <w:t>10.2307/2531595</w:t>
        </w:r>
      </w:hyperlink>
      <w:r w:rsidRPr="00E41B66">
        <w:rPr>
          <w:rFonts w:asciiTheme="majorHAnsi" w:hAnsiTheme="majorHAnsi" w:cstheme="majorHAnsi"/>
          <w:color w:val="333333"/>
          <w:sz w:val="21"/>
          <w:szCs w:val="21"/>
        </w:rPr>
        <w:t>.</w:t>
      </w:r>
    </w:p>
    <w:p w:rsidR="00B51215" w:rsidRPr="00E41B66" w:rsidRDefault="00177774">
      <w:pPr>
        <w:pStyle w:val="NormalWeb"/>
        <w:divId w:val="438987312"/>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[31] Dutey-Magni P, Sinclair J, Brown J. Concurrent validity of an Estimator of Weekly Alcohol Consumption (EWAC) based on the Extended AUDIT 2018.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29" w:history="1">
        <w:r w:rsidRPr="00E41B66">
          <w:rPr>
            <w:rStyle w:val="Hyperlink"/>
            <w:rFonts w:asciiTheme="majorHAnsi" w:hAnsiTheme="majorHAnsi" w:cstheme="majorHAnsi"/>
            <w:sz w:val="21"/>
            <w:szCs w:val="21"/>
          </w:rPr>
          <w:t>10.17605/OSF.IO/7WE4M</w:t>
        </w:r>
      </w:hyperlink>
      <w:r w:rsidRPr="00E41B66">
        <w:rPr>
          <w:rFonts w:asciiTheme="majorHAnsi" w:hAnsiTheme="majorHAnsi" w:cstheme="majorHAnsi"/>
          <w:color w:val="333333"/>
          <w:sz w:val="21"/>
          <w:szCs w:val="21"/>
        </w:rPr>
        <w:t>.</w:t>
      </w:r>
    </w:p>
    <w:p w:rsidR="00B51215" w:rsidRPr="00E41B66" w:rsidRDefault="00177774">
      <w:pPr>
        <w:pStyle w:val="NormalWeb"/>
        <w:divId w:val="1630552995"/>
        <w:rPr>
          <w:rFonts w:asciiTheme="majorHAnsi" w:hAnsiTheme="majorHAnsi" w:cstheme="majorHAnsi"/>
          <w:color w:val="333333"/>
          <w:sz w:val="21"/>
          <w:szCs w:val="21"/>
        </w:rPr>
      </w:pPr>
      <w:r w:rsidRPr="00E41B66">
        <w:rPr>
          <w:rFonts w:asciiTheme="majorHAnsi" w:hAnsiTheme="majorHAnsi" w:cstheme="majorHAnsi"/>
          <w:color w:val="333333"/>
          <w:sz w:val="21"/>
          <w:szCs w:val="21"/>
        </w:rPr>
        <w:lastRenderedPageBreak/>
        <w:t>[32] Lavoie D. Alcohol identification and brief advice in England: A major plank in alcohol harm reduction policy. Drug and Alcohol Review 2010</w:t>
      </w:r>
      <w:proofErr w:type="gramStart"/>
      <w:r w:rsidRPr="00E41B66">
        <w:rPr>
          <w:rFonts w:asciiTheme="majorHAnsi" w:hAnsiTheme="majorHAnsi" w:cstheme="majorHAnsi"/>
          <w:color w:val="333333"/>
          <w:sz w:val="21"/>
          <w:szCs w:val="21"/>
        </w:rPr>
        <w:t>;29:608</w:t>
      </w:r>
      <w:proofErr w:type="gramEnd"/>
      <w:r w:rsidRPr="00E41B66">
        <w:rPr>
          <w:rFonts w:asciiTheme="majorHAnsi" w:hAnsiTheme="majorHAnsi" w:cstheme="majorHAnsi"/>
          <w:color w:val="333333"/>
          <w:sz w:val="21"/>
          <w:szCs w:val="21"/>
        </w:rPr>
        <w:t xml:space="preserve">–11. </w:t>
      </w:r>
      <w:proofErr w:type="gramStart"/>
      <w:r w:rsidRPr="00E41B66">
        <w:rPr>
          <w:rFonts w:asciiTheme="majorHAnsi" w:hAnsiTheme="majorHAnsi" w:cstheme="majorHAnsi"/>
          <w:color w:val="333333"/>
          <w:sz w:val="21"/>
          <w:szCs w:val="21"/>
        </w:rPr>
        <w:t>doi</w:t>
      </w:r>
      <w:proofErr w:type="gramEnd"/>
      <w:r w:rsidRPr="00E41B66">
        <w:rPr>
          <w:rFonts w:asciiTheme="majorHAnsi" w:hAnsiTheme="majorHAnsi" w:cstheme="majorHAnsi"/>
          <w:color w:val="333333"/>
          <w:sz w:val="21"/>
          <w:szCs w:val="21"/>
        </w:rPr>
        <w:t>:</w:t>
      </w:r>
      <w:hyperlink r:id="rId30" w:history="1">
        <w:r w:rsidRPr="00E41B66">
          <w:rPr>
            <w:rStyle w:val="Hyperlink"/>
            <w:rFonts w:asciiTheme="majorHAnsi" w:hAnsiTheme="majorHAnsi" w:cstheme="majorHAnsi"/>
            <w:sz w:val="21"/>
            <w:szCs w:val="21"/>
          </w:rPr>
          <w:t>10.1111/j.1465-3362.2010.00224.x</w:t>
        </w:r>
      </w:hyperlink>
      <w:r w:rsidRPr="00E41B66">
        <w:rPr>
          <w:rFonts w:asciiTheme="majorHAnsi" w:hAnsiTheme="majorHAnsi" w:cstheme="majorHAnsi"/>
          <w:color w:val="333333"/>
          <w:sz w:val="21"/>
          <w:szCs w:val="21"/>
        </w:rPr>
        <w:t>.</w:t>
      </w:r>
    </w:p>
    <w:p w:rsidR="00B51215" w:rsidRPr="00E41B66" w:rsidRDefault="00177774">
      <w:pPr>
        <w:pStyle w:val="NormalWeb"/>
        <w:divId w:val="1860268983"/>
        <w:rPr>
          <w:rFonts w:asciiTheme="majorHAnsi" w:hAnsiTheme="majorHAnsi" w:cstheme="majorHAnsi"/>
          <w:color w:val="333333"/>
          <w:sz w:val="21"/>
          <w:szCs w:val="21"/>
        </w:rPr>
      </w:pPr>
      <w:r w:rsidRPr="00E41B66">
        <w:rPr>
          <w:rFonts w:asciiTheme="majorHAnsi" w:hAnsiTheme="majorHAnsi" w:cstheme="majorHAnsi"/>
          <w:color w:val="333333"/>
          <w:sz w:val="21"/>
          <w:szCs w:val="21"/>
        </w:rPr>
        <w:t xml:space="preserve">[33] Dixon WJ, Massey FJJ. Introduction to statistical analysis. 4th </w:t>
      </w:r>
      <w:proofErr w:type="gramStart"/>
      <w:r w:rsidRPr="00E41B66">
        <w:rPr>
          <w:rFonts w:asciiTheme="majorHAnsi" w:hAnsiTheme="majorHAnsi" w:cstheme="majorHAnsi"/>
          <w:color w:val="333333"/>
          <w:sz w:val="21"/>
          <w:szCs w:val="21"/>
        </w:rPr>
        <w:t>ed</w:t>
      </w:r>
      <w:proofErr w:type="gramEnd"/>
      <w:r w:rsidRPr="00E41B66">
        <w:rPr>
          <w:rFonts w:asciiTheme="majorHAnsi" w:hAnsiTheme="majorHAnsi" w:cstheme="majorHAnsi"/>
          <w:color w:val="333333"/>
          <w:sz w:val="21"/>
          <w:szCs w:val="21"/>
        </w:rPr>
        <w:t>. New York: McGraw–Hill; 1983.</w:t>
      </w:r>
    </w:p>
    <w:p w:rsidR="00177774" w:rsidRPr="00E41B66" w:rsidRDefault="00177774">
      <w:pPr>
        <w:rPr>
          <w:rFonts w:asciiTheme="majorHAnsi" w:eastAsia="Times New Roman" w:hAnsiTheme="majorHAnsi" w:cstheme="majorHAnsi"/>
        </w:rPr>
      </w:pPr>
    </w:p>
    <w:sectPr w:rsidR="00177774" w:rsidRPr="00E41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1BFC"/>
    <w:multiLevelType w:val="multilevel"/>
    <w:tmpl w:val="951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E4FEE"/>
    <w:multiLevelType w:val="multilevel"/>
    <w:tmpl w:val="4EB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26E7A"/>
    <w:multiLevelType w:val="multilevel"/>
    <w:tmpl w:val="32F6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32345"/>
    <w:multiLevelType w:val="multilevel"/>
    <w:tmpl w:val="8BF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B7CA7"/>
    <w:multiLevelType w:val="multilevel"/>
    <w:tmpl w:val="A972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C43C2"/>
    <w:multiLevelType w:val="multilevel"/>
    <w:tmpl w:val="741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B2EEE"/>
    <w:multiLevelType w:val="multilevel"/>
    <w:tmpl w:val="22C2E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66"/>
    <w:rsid w:val="00017E26"/>
    <w:rsid w:val="00177774"/>
    <w:rsid w:val="0040238B"/>
    <w:rsid w:val="008816FC"/>
    <w:rsid w:val="0090787A"/>
    <w:rsid w:val="009951AC"/>
    <w:rsid w:val="00B37BD9"/>
    <w:rsid w:val="00B51215"/>
    <w:rsid w:val="00C369E5"/>
    <w:rsid w:val="00CF68B9"/>
    <w:rsid w:val="00E41B66"/>
    <w:rsid w:val="00ED5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21C37"/>
  <w15:chartTrackingRefBased/>
  <w15:docId w15:val="{A9D6A1E8-2964-46B4-9CBE-C862845C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B66"/>
    <w:rPr>
      <w:rFonts w:ascii="Arial" w:eastAsiaTheme="minorEastAsia" w:hAnsi="Arial"/>
      <w:sz w:val="22"/>
      <w:szCs w:val="24"/>
    </w:rPr>
  </w:style>
  <w:style w:type="paragraph" w:styleId="Heading1">
    <w:name w:val="heading 1"/>
    <w:basedOn w:val="Normal"/>
    <w:link w:val="Heading1Char"/>
    <w:uiPriority w:val="9"/>
    <w:qFormat/>
    <w:rsid w:val="0090787A"/>
    <w:pPr>
      <w:spacing w:before="300" w:after="150"/>
      <w:outlineLvl w:val="0"/>
    </w:pPr>
    <w:rPr>
      <w:rFonts w:asciiTheme="majorHAnsi" w:eastAsia="Times New Roman" w:hAnsiTheme="majorHAnsi" w:cstheme="majorHAnsi"/>
      <w:b/>
      <w:color w:val="333333"/>
      <w:kern w:val="36"/>
      <w:sz w:val="28"/>
      <w:szCs w:val="51"/>
    </w:rPr>
  </w:style>
  <w:style w:type="paragraph" w:styleId="Heading2">
    <w:name w:val="heading 2"/>
    <w:basedOn w:val="Normal"/>
    <w:link w:val="Heading2Char"/>
    <w:uiPriority w:val="9"/>
    <w:qFormat/>
    <w:rsid w:val="0090787A"/>
    <w:pPr>
      <w:spacing w:before="300" w:after="150"/>
      <w:outlineLvl w:val="1"/>
    </w:pPr>
    <w:rPr>
      <w:rFonts w:asciiTheme="majorHAnsi" w:eastAsia="Times New Roman" w:hAnsiTheme="majorHAnsi" w:cstheme="majorHAnsi"/>
      <w:b/>
      <w:color w:val="333333"/>
      <w:sz w:val="24"/>
      <w:szCs w:val="45"/>
    </w:rPr>
  </w:style>
  <w:style w:type="paragraph" w:styleId="Heading3">
    <w:name w:val="heading 3"/>
    <w:basedOn w:val="Normal"/>
    <w:link w:val="Heading3Char"/>
    <w:uiPriority w:val="9"/>
    <w:qFormat/>
    <w:rsid w:val="0090787A"/>
    <w:pPr>
      <w:spacing w:before="300" w:after="150"/>
      <w:outlineLvl w:val="2"/>
    </w:pPr>
    <w:rPr>
      <w:b/>
      <w:sz w:val="20"/>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sid w:val="0090787A"/>
    <w:rPr>
      <w:rFonts w:asciiTheme="majorHAnsi" w:hAnsiTheme="majorHAnsi" w:cstheme="majorHAnsi"/>
      <w:b/>
      <w:color w:val="333333"/>
      <w:kern w:val="36"/>
      <w:sz w:val="28"/>
      <w:szCs w:val="51"/>
    </w:rPr>
  </w:style>
  <w:style w:type="character" w:customStyle="1" w:styleId="Heading2Char">
    <w:name w:val="Heading 2 Char"/>
    <w:basedOn w:val="DefaultParagraphFont"/>
    <w:link w:val="Heading2"/>
    <w:uiPriority w:val="9"/>
    <w:rsid w:val="0090787A"/>
    <w:rPr>
      <w:rFonts w:asciiTheme="majorHAnsi" w:hAnsiTheme="majorHAnsi" w:cstheme="majorHAnsi"/>
      <w:b/>
      <w:color w:val="333333"/>
      <w:sz w:val="24"/>
      <w:szCs w:val="45"/>
    </w:rPr>
  </w:style>
  <w:style w:type="character" w:customStyle="1" w:styleId="Heading3Char">
    <w:name w:val="Heading 3 Char"/>
    <w:basedOn w:val="DefaultParagraphFont"/>
    <w:link w:val="Heading3"/>
    <w:uiPriority w:val="9"/>
    <w:rsid w:val="0090787A"/>
    <w:rPr>
      <w:rFonts w:ascii="Arial" w:eastAsiaTheme="minorEastAsia" w:hAnsi="Arial"/>
      <w:b/>
      <w:szCs w:val="3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unhideWhenUsed/>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after="300"/>
    </w:pPr>
  </w:style>
  <w:style w:type="paragraph" w:customStyle="1" w:styleId="small">
    <w:name w:val="small"/>
    <w:basedOn w:val="Normal"/>
    <w:pPr>
      <w:spacing w:after="150"/>
    </w:pPr>
    <w:rPr>
      <w:sz w:val="20"/>
      <w:szCs w:val="20"/>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nowrap">
    <w:name w:val="text-nowrap"/>
    <w:basedOn w:val="Normal"/>
    <w:pPr>
      <w:spacing w:after="150"/>
    </w:pPr>
  </w:style>
  <w:style w:type="paragraph" w:customStyle="1" w:styleId="text-uppercase">
    <w:name w:val="text-uppercase"/>
    <w:basedOn w:val="Normal"/>
    <w:pPr>
      <w:spacing w:after="150"/>
    </w:pPr>
    <w:rPr>
      <w:caps/>
    </w:rPr>
  </w:style>
  <w:style w:type="paragraph" w:customStyle="1" w:styleId="text-muted">
    <w:name w:val="text-muted"/>
    <w:basedOn w:val="Normal"/>
    <w:pPr>
      <w:spacing w:after="150"/>
    </w:pPr>
    <w:rPr>
      <w:color w:val="777777"/>
    </w:rPr>
  </w:style>
  <w:style w:type="paragraph" w:customStyle="1" w:styleId="text-primary">
    <w:name w:val="text-primary"/>
    <w:basedOn w:val="Normal"/>
    <w:pPr>
      <w:spacing w:after="150"/>
    </w:pPr>
    <w:rPr>
      <w:color w:val="337AB7"/>
    </w:rPr>
  </w:style>
  <w:style w:type="paragraph" w:customStyle="1" w:styleId="text-success">
    <w:name w:val="text-success"/>
    <w:basedOn w:val="Normal"/>
    <w:pPr>
      <w:spacing w:after="150"/>
    </w:pPr>
    <w:rPr>
      <w:color w:val="3C763D"/>
    </w:rPr>
  </w:style>
  <w:style w:type="paragraph" w:customStyle="1" w:styleId="text-info">
    <w:name w:val="text-info"/>
    <w:basedOn w:val="Normal"/>
    <w:pPr>
      <w:spacing w:after="150"/>
    </w:pPr>
    <w:rPr>
      <w:color w:val="31708F"/>
    </w:rPr>
  </w:style>
  <w:style w:type="paragraph" w:customStyle="1" w:styleId="text-warning">
    <w:name w:val="text-warning"/>
    <w:basedOn w:val="Normal"/>
    <w:pPr>
      <w:spacing w:after="150"/>
    </w:pPr>
    <w:rPr>
      <w:color w:val="8A6D3B"/>
    </w:rPr>
  </w:style>
  <w:style w:type="paragraph" w:customStyle="1" w:styleId="text-danger">
    <w:name w:val="text-danger"/>
    <w:basedOn w:val="Normal"/>
    <w:pPr>
      <w:spacing w:after="150"/>
    </w:pPr>
    <w:rPr>
      <w:color w:val="A94442"/>
    </w:rPr>
  </w:style>
  <w:style w:type="paragraph" w:customStyle="1" w:styleId="bg-primary">
    <w:name w:val="bg-primary"/>
    <w:basedOn w:val="Normal"/>
    <w:pPr>
      <w:shd w:val="clear" w:color="auto" w:fill="337AB7"/>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list-inlineli">
    <w:name w:val="list-inline&gt;li"/>
    <w:basedOn w:val="Normal"/>
    <w:pPr>
      <w:spacing w:after="150"/>
    </w:pPr>
  </w:style>
  <w:style w:type="paragraph" w:customStyle="1" w:styleId="initialism">
    <w:name w:val="initialism"/>
    <w:basedOn w:val="Normal"/>
    <w:pPr>
      <w:spacing w:after="150"/>
    </w:pPr>
    <w:rPr>
      <w:caps/>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lg-1">
    <w:name w:val="col-lg-1"/>
    <w:basedOn w:val="Normal"/>
    <w:pPr>
      <w:spacing w:after="150"/>
    </w:pPr>
  </w:style>
  <w:style w:type="paragraph" w:customStyle="1" w:styleId="col-lg-10">
    <w:name w:val="col-lg-10"/>
    <w:basedOn w:val="Normal"/>
    <w:pPr>
      <w:spacing w:after="150"/>
    </w:pPr>
  </w:style>
  <w:style w:type="paragraph" w:customStyle="1" w:styleId="col-lg-11">
    <w:name w:val="col-lg-11"/>
    <w:basedOn w:val="Normal"/>
    <w:pPr>
      <w:spacing w:after="150"/>
    </w:pPr>
  </w:style>
  <w:style w:type="paragraph" w:customStyle="1" w:styleId="col-lg-12">
    <w:name w:val="col-lg-12"/>
    <w:basedOn w:val="Normal"/>
    <w:pPr>
      <w:spacing w:after="150"/>
    </w:pPr>
  </w:style>
  <w:style w:type="paragraph" w:customStyle="1" w:styleId="col-lg-2">
    <w:name w:val="col-lg-2"/>
    <w:basedOn w:val="Normal"/>
    <w:pPr>
      <w:spacing w:after="150"/>
    </w:pPr>
  </w:style>
  <w:style w:type="paragraph" w:customStyle="1" w:styleId="col-lg-3">
    <w:name w:val="col-lg-3"/>
    <w:basedOn w:val="Normal"/>
    <w:pPr>
      <w:spacing w:after="150"/>
    </w:pPr>
  </w:style>
  <w:style w:type="paragraph" w:customStyle="1" w:styleId="col-lg-4">
    <w:name w:val="col-lg-4"/>
    <w:basedOn w:val="Normal"/>
    <w:pPr>
      <w:spacing w:after="150"/>
    </w:pPr>
  </w:style>
  <w:style w:type="paragraph" w:customStyle="1" w:styleId="col-lg-5">
    <w:name w:val="col-lg-5"/>
    <w:basedOn w:val="Normal"/>
    <w:pPr>
      <w:spacing w:after="150"/>
    </w:pPr>
  </w:style>
  <w:style w:type="paragraph" w:customStyle="1" w:styleId="col-lg-6">
    <w:name w:val="col-lg-6"/>
    <w:basedOn w:val="Normal"/>
    <w:pPr>
      <w:spacing w:after="150"/>
    </w:pPr>
  </w:style>
  <w:style w:type="paragraph" w:customStyle="1" w:styleId="col-lg-7">
    <w:name w:val="col-lg-7"/>
    <w:basedOn w:val="Normal"/>
    <w:pPr>
      <w:spacing w:after="150"/>
    </w:pPr>
  </w:style>
  <w:style w:type="paragraph" w:customStyle="1" w:styleId="col-lg-8">
    <w:name w:val="col-lg-8"/>
    <w:basedOn w:val="Normal"/>
    <w:pPr>
      <w:spacing w:after="150"/>
    </w:pPr>
  </w:style>
  <w:style w:type="paragraph" w:customStyle="1" w:styleId="col-lg-9">
    <w:name w:val="col-lg-9"/>
    <w:basedOn w:val="Normal"/>
    <w:pPr>
      <w:spacing w:after="150"/>
    </w:pPr>
  </w:style>
  <w:style w:type="paragraph" w:customStyle="1" w:styleId="col-md-1">
    <w:name w:val="col-md-1"/>
    <w:basedOn w:val="Normal"/>
    <w:pPr>
      <w:spacing w:after="150"/>
    </w:pPr>
  </w:style>
  <w:style w:type="paragraph" w:customStyle="1" w:styleId="col-md-10">
    <w:name w:val="col-md-10"/>
    <w:basedOn w:val="Normal"/>
    <w:pPr>
      <w:spacing w:after="150"/>
    </w:pPr>
  </w:style>
  <w:style w:type="paragraph" w:customStyle="1" w:styleId="col-md-11">
    <w:name w:val="col-md-11"/>
    <w:basedOn w:val="Normal"/>
    <w:pPr>
      <w:spacing w:after="150"/>
    </w:pPr>
  </w:style>
  <w:style w:type="paragraph" w:customStyle="1" w:styleId="col-md-12">
    <w:name w:val="col-md-12"/>
    <w:basedOn w:val="Normal"/>
    <w:pPr>
      <w:spacing w:after="150"/>
    </w:pPr>
  </w:style>
  <w:style w:type="paragraph" w:customStyle="1" w:styleId="col-md-2">
    <w:name w:val="col-md-2"/>
    <w:basedOn w:val="Normal"/>
    <w:pPr>
      <w:spacing w:after="150"/>
    </w:pPr>
  </w:style>
  <w:style w:type="paragraph" w:customStyle="1" w:styleId="col-md-3">
    <w:name w:val="col-md-3"/>
    <w:basedOn w:val="Normal"/>
    <w:pPr>
      <w:spacing w:after="150"/>
    </w:pPr>
  </w:style>
  <w:style w:type="paragraph" w:customStyle="1" w:styleId="col-md-4">
    <w:name w:val="col-md-4"/>
    <w:basedOn w:val="Normal"/>
    <w:pPr>
      <w:spacing w:after="150"/>
    </w:pPr>
  </w:style>
  <w:style w:type="paragraph" w:customStyle="1" w:styleId="col-md-5">
    <w:name w:val="col-md-5"/>
    <w:basedOn w:val="Normal"/>
    <w:pPr>
      <w:spacing w:after="150"/>
    </w:pPr>
  </w:style>
  <w:style w:type="paragraph" w:customStyle="1" w:styleId="col-md-6">
    <w:name w:val="col-md-6"/>
    <w:basedOn w:val="Normal"/>
    <w:pPr>
      <w:spacing w:after="150"/>
    </w:pPr>
  </w:style>
  <w:style w:type="paragraph" w:customStyle="1" w:styleId="col-md-7">
    <w:name w:val="col-md-7"/>
    <w:basedOn w:val="Normal"/>
    <w:pPr>
      <w:spacing w:after="150"/>
    </w:pPr>
  </w:style>
  <w:style w:type="paragraph" w:customStyle="1" w:styleId="col-md-8">
    <w:name w:val="col-md-8"/>
    <w:basedOn w:val="Normal"/>
    <w:pPr>
      <w:spacing w:after="150"/>
    </w:pPr>
  </w:style>
  <w:style w:type="paragraph" w:customStyle="1" w:styleId="col-md-9">
    <w:name w:val="col-md-9"/>
    <w:basedOn w:val="Normal"/>
    <w:pPr>
      <w:spacing w:after="150"/>
    </w:pPr>
  </w:style>
  <w:style w:type="paragraph" w:customStyle="1" w:styleId="col-sm-1">
    <w:name w:val="col-sm-1"/>
    <w:basedOn w:val="Normal"/>
    <w:pPr>
      <w:spacing w:after="150"/>
    </w:pPr>
  </w:style>
  <w:style w:type="paragraph" w:customStyle="1" w:styleId="col-sm-10">
    <w:name w:val="col-sm-10"/>
    <w:basedOn w:val="Normal"/>
    <w:pPr>
      <w:spacing w:after="150"/>
    </w:pPr>
  </w:style>
  <w:style w:type="paragraph" w:customStyle="1" w:styleId="col-sm-11">
    <w:name w:val="col-sm-11"/>
    <w:basedOn w:val="Normal"/>
    <w:pPr>
      <w:spacing w:after="150"/>
    </w:pPr>
  </w:style>
  <w:style w:type="paragraph" w:customStyle="1" w:styleId="col-sm-12">
    <w:name w:val="col-sm-12"/>
    <w:basedOn w:val="Normal"/>
    <w:pPr>
      <w:spacing w:after="150"/>
    </w:pPr>
  </w:style>
  <w:style w:type="paragraph" w:customStyle="1" w:styleId="col-sm-2">
    <w:name w:val="col-sm-2"/>
    <w:basedOn w:val="Normal"/>
    <w:pPr>
      <w:spacing w:after="150"/>
    </w:pPr>
  </w:style>
  <w:style w:type="paragraph" w:customStyle="1" w:styleId="col-sm-3">
    <w:name w:val="col-sm-3"/>
    <w:basedOn w:val="Normal"/>
    <w:pPr>
      <w:spacing w:after="150"/>
    </w:pPr>
  </w:style>
  <w:style w:type="paragraph" w:customStyle="1" w:styleId="col-sm-4">
    <w:name w:val="col-sm-4"/>
    <w:basedOn w:val="Normal"/>
    <w:pPr>
      <w:spacing w:after="150"/>
    </w:pPr>
  </w:style>
  <w:style w:type="paragraph" w:customStyle="1" w:styleId="col-sm-5">
    <w:name w:val="col-sm-5"/>
    <w:basedOn w:val="Normal"/>
    <w:pPr>
      <w:spacing w:after="150"/>
    </w:pPr>
  </w:style>
  <w:style w:type="paragraph" w:customStyle="1" w:styleId="col-sm-6">
    <w:name w:val="col-sm-6"/>
    <w:basedOn w:val="Normal"/>
    <w:pPr>
      <w:spacing w:after="150"/>
    </w:pPr>
  </w:style>
  <w:style w:type="paragraph" w:customStyle="1" w:styleId="col-sm-7">
    <w:name w:val="col-sm-7"/>
    <w:basedOn w:val="Normal"/>
    <w:pPr>
      <w:spacing w:after="150"/>
    </w:pPr>
  </w:style>
  <w:style w:type="paragraph" w:customStyle="1" w:styleId="col-sm-8">
    <w:name w:val="col-sm-8"/>
    <w:basedOn w:val="Normal"/>
    <w:pPr>
      <w:spacing w:after="150"/>
    </w:pPr>
  </w:style>
  <w:style w:type="paragraph" w:customStyle="1" w:styleId="col-sm-9">
    <w:name w:val="col-sm-9"/>
    <w:basedOn w:val="Normal"/>
    <w:pPr>
      <w:spacing w:after="150"/>
    </w:pPr>
  </w:style>
  <w:style w:type="paragraph" w:customStyle="1" w:styleId="col-xs-1">
    <w:name w:val="col-xs-1"/>
    <w:basedOn w:val="Normal"/>
    <w:pPr>
      <w:spacing w:after="150"/>
    </w:pPr>
  </w:style>
  <w:style w:type="paragraph" w:customStyle="1" w:styleId="col-xs-10">
    <w:name w:val="col-xs-10"/>
    <w:basedOn w:val="Normal"/>
    <w:pPr>
      <w:spacing w:after="150"/>
    </w:pPr>
  </w:style>
  <w:style w:type="paragraph" w:customStyle="1" w:styleId="col-xs-11">
    <w:name w:val="col-xs-11"/>
    <w:basedOn w:val="Normal"/>
    <w:pPr>
      <w:spacing w:after="150"/>
    </w:pPr>
  </w:style>
  <w:style w:type="paragraph" w:customStyle="1" w:styleId="col-xs-12">
    <w:name w:val="col-xs-12"/>
    <w:basedOn w:val="Normal"/>
    <w:pPr>
      <w:spacing w:after="150"/>
    </w:pPr>
  </w:style>
  <w:style w:type="paragraph" w:customStyle="1" w:styleId="col-xs-2">
    <w:name w:val="col-xs-2"/>
    <w:basedOn w:val="Normal"/>
    <w:pPr>
      <w:spacing w:after="150"/>
    </w:pPr>
  </w:style>
  <w:style w:type="paragraph" w:customStyle="1" w:styleId="col-xs-3">
    <w:name w:val="col-xs-3"/>
    <w:basedOn w:val="Normal"/>
    <w:pPr>
      <w:spacing w:after="150"/>
    </w:pPr>
  </w:style>
  <w:style w:type="paragraph" w:customStyle="1" w:styleId="col-xs-4">
    <w:name w:val="col-xs-4"/>
    <w:basedOn w:val="Normal"/>
    <w:pPr>
      <w:spacing w:after="150"/>
    </w:pPr>
  </w:style>
  <w:style w:type="paragraph" w:customStyle="1" w:styleId="col-xs-5">
    <w:name w:val="col-xs-5"/>
    <w:basedOn w:val="Normal"/>
    <w:pPr>
      <w:spacing w:after="150"/>
    </w:pPr>
  </w:style>
  <w:style w:type="paragraph" w:customStyle="1" w:styleId="col-xs-6">
    <w:name w:val="col-xs-6"/>
    <w:basedOn w:val="Normal"/>
    <w:pPr>
      <w:spacing w:after="150"/>
    </w:pPr>
  </w:style>
  <w:style w:type="paragraph" w:customStyle="1" w:styleId="col-xs-7">
    <w:name w:val="col-xs-7"/>
    <w:basedOn w:val="Normal"/>
    <w:pPr>
      <w:spacing w:after="150"/>
    </w:pPr>
  </w:style>
  <w:style w:type="paragraph" w:customStyle="1" w:styleId="col-xs-8">
    <w:name w:val="col-xs-8"/>
    <w:basedOn w:val="Normal"/>
    <w:pPr>
      <w:spacing w:after="150"/>
    </w:pPr>
  </w:style>
  <w:style w:type="paragraph" w:customStyle="1" w:styleId="col-xs-9">
    <w:name w:val="col-xs-9"/>
    <w:basedOn w:val="Normal"/>
    <w:pPr>
      <w:spacing w:after="150"/>
    </w:pPr>
  </w:style>
  <w:style w:type="paragraph" w:customStyle="1" w:styleId="col-xs-offset-12">
    <w:name w:val="col-xs-offset-12"/>
    <w:basedOn w:val="Normal"/>
    <w:pPr>
      <w:spacing w:after="150"/>
      <w:ind w:left="11906"/>
    </w:pPr>
  </w:style>
  <w:style w:type="paragraph" w:customStyle="1" w:styleId="col-xs-offset-11">
    <w:name w:val="col-xs-offset-11"/>
    <w:basedOn w:val="Normal"/>
    <w:pPr>
      <w:spacing w:after="150"/>
      <w:ind w:left="10834"/>
    </w:pPr>
  </w:style>
  <w:style w:type="paragraph" w:customStyle="1" w:styleId="col-xs-offset-10">
    <w:name w:val="col-xs-offset-10"/>
    <w:basedOn w:val="Normal"/>
    <w:pPr>
      <w:spacing w:after="150"/>
      <w:ind w:left="9881"/>
    </w:pPr>
  </w:style>
  <w:style w:type="paragraph" w:customStyle="1" w:styleId="col-xs-offset-9">
    <w:name w:val="col-xs-offset-9"/>
    <w:basedOn w:val="Normal"/>
    <w:pPr>
      <w:spacing w:after="150"/>
      <w:ind w:left="8929"/>
    </w:pPr>
  </w:style>
  <w:style w:type="paragraph" w:customStyle="1" w:styleId="col-xs-offset-8">
    <w:name w:val="col-xs-offset-8"/>
    <w:basedOn w:val="Normal"/>
    <w:pPr>
      <w:spacing w:after="150"/>
      <w:ind w:left="7857"/>
    </w:pPr>
  </w:style>
  <w:style w:type="paragraph" w:customStyle="1" w:styleId="col-xs-offset-7">
    <w:name w:val="col-xs-offset-7"/>
    <w:basedOn w:val="Normal"/>
    <w:pPr>
      <w:spacing w:after="150"/>
      <w:ind w:left="6905"/>
    </w:pPr>
  </w:style>
  <w:style w:type="paragraph" w:customStyle="1" w:styleId="col-xs-offset-6">
    <w:name w:val="col-xs-offset-6"/>
    <w:basedOn w:val="Normal"/>
    <w:pPr>
      <w:spacing w:after="150"/>
      <w:ind w:left="5953"/>
    </w:pPr>
  </w:style>
  <w:style w:type="paragraph" w:customStyle="1" w:styleId="col-xs-offset-5">
    <w:name w:val="col-xs-offset-5"/>
    <w:basedOn w:val="Normal"/>
    <w:pPr>
      <w:spacing w:after="150"/>
      <w:ind w:left="4881"/>
    </w:pPr>
  </w:style>
  <w:style w:type="paragraph" w:customStyle="1" w:styleId="col-xs-offset-4">
    <w:name w:val="col-xs-offset-4"/>
    <w:basedOn w:val="Normal"/>
    <w:pPr>
      <w:spacing w:after="150"/>
      <w:ind w:left="3928"/>
    </w:pPr>
  </w:style>
  <w:style w:type="paragraph" w:customStyle="1" w:styleId="col-xs-offset-3">
    <w:name w:val="col-xs-offset-3"/>
    <w:basedOn w:val="Normal"/>
    <w:pPr>
      <w:spacing w:after="150"/>
      <w:ind w:left="2976"/>
    </w:pPr>
  </w:style>
  <w:style w:type="paragraph" w:customStyle="1" w:styleId="col-xs-offset-2">
    <w:name w:val="col-xs-offset-2"/>
    <w:basedOn w:val="Normal"/>
    <w:pPr>
      <w:spacing w:after="150"/>
      <w:ind w:left="1904"/>
    </w:pPr>
  </w:style>
  <w:style w:type="paragraph" w:customStyle="1" w:styleId="col-xs-offset-1">
    <w:name w:val="col-xs-offset-1"/>
    <w:basedOn w:val="Normal"/>
    <w:pPr>
      <w:spacing w:after="150"/>
      <w:ind w:left="952"/>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tbodytrtd">
    <w:name w:val="table&gt;tbody&gt;tr&gt;td"/>
    <w:basedOn w:val="Normal"/>
    <w:pPr>
      <w:pBdr>
        <w:top w:val="single" w:sz="6" w:space="6" w:color="DDDDDD"/>
      </w:pBdr>
      <w:spacing w:after="150"/>
      <w:textAlignment w:val="top"/>
    </w:pPr>
  </w:style>
  <w:style w:type="paragraph" w:customStyle="1" w:styleId="tabletbodytrth">
    <w:name w:val="table&gt;tbody&gt;tr&gt;th"/>
    <w:basedOn w:val="Normal"/>
    <w:pPr>
      <w:pBdr>
        <w:top w:val="single" w:sz="6" w:space="6" w:color="DDDDDD"/>
      </w:pBdr>
      <w:spacing w:after="150"/>
      <w:textAlignment w:val="top"/>
    </w:pPr>
  </w:style>
  <w:style w:type="paragraph" w:customStyle="1" w:styleId="tabletfoottrtd">
    <w:name w:val="table&gt;tfoot&gt;tr&gt;td"/>
    <w:basedOn w:val="Normal"/>
    <w:pPr>
      <w:pBdr>
        <w:top w:val="single" w:sz="6" w:space="6" w:color="DDDDDD"/>
      </w:pBdr>
      <w:spacing w:after="150"/>
      <w:textAlignment w:val="top"/>
    </w:pPr>
  </w:style>
  <w:style w:type="paragraph" w:customStyle="1" w:styleId="tabletfoottrth">
    <w:name w:val="table&gt;tfoot&gt;tr&gt;th"/>
    <w:basedOn w:val="Normal"/>
    <w:pPr>
      <w:pBdr>
        <w:top w:val="single" w:sz="6" w:space="6" w:color="DDDDDD"/>
      </w:pBdr>
      <w:spacing w:after="150"/>
      <w:textAlignment w:val="top"/>
    </w:pPr>
  </w:style>
  <w:style w:type="paragraph" w:customStyle="1" w:styleId="tabletheadtrtd">
    <w:name w:val="table&gt;thead&gt;tr&gt;td"/>
    <w:basedOn w:val="Normal"/>
    <w:pPr>
      <w:pBdr>
        <w:top w:val="single" w:sz="6" w:space="6" w:color="DDDDDD"/>
      </w:pBdr>
      <w:spacing w:after="150"/>
      <w:textAlignment w:val="top"/>
    </w:pPr>
  </w:style>
  <w:style w:type="paragraph" w:customStyle="1" w:styleId="tabletheadtrth">
    <w:name w:val="table&gt;thead&gt;tr&gt;th"/>
    <w:basedOn w:val="Normal"/>
    <w:pPr>
      <w:pBdr>
        <w:top w:val="single" w:sz="6" w:space="6" w:color="DDDDDD"/>
        <w:bottom w:val="single" w:sz="12" w:space="0" w:color="DDDDDD"/>
      </w:pBdr>
      <w:spacing w:after="150"/>
      <w:textAlignment w:val="bottom"/>
    </w:pPr>
  </w:style>
  <w:style w:type="paragraph" w:customStyle="1" w:styleId="table-condensedtbodytrtd">
    <w:name w:val="table-condensed&gt;tbody&gt;tr&gt;td"/>
    <w:basedOn w:val="Normal"/>
    <w:pPr>
      <w:spacing w:after="150"/>
    </w:pPr>
  </w:style>
  <w:style w:type="paragraph" w:customStyle="1" w:styleId="table-condensedtbodytrth">
    <w:name w:val="table-condensed&gt;tbody&gt;tr&gt;th"/>
    <w:basedOn w:val="Normal"/>
    <w:pPr>
      <w:spacing w:after="150"/>
    </w:pPr>
  </w:style>
  <w:style w:type="paragraph" w:customStyle="1" w:styleId="table-condensedtfoottrtd">
    <w:name w:val="table-condensed&gt;tfoot&gt;tr&gt;td"/>
    <w:basedOn w:val="Normal"/>
    <w:pPr>
      <w:spacing w:after="150"/>
    </w:pPr>
  </w:style>
  <w:style w:type="paragraph" w:customStyle="1" w:styleId="table-condensedtfoottrth">
    <w:name w:val="table-condensed&gt;tfoot&gt;tr&gt;th"/>
    <w:basedOn w:val="Normal"/>
    <w:pPr>
      <w:spacing w:after="150"/>
    </w:pPr>
  </w:style>
  <w:style w:type="paragraph" w:customStyle="1" w:styleId="table-condensedtheadtrtd">
    <w:name w:val="table-condensed&gt;thead&gt;tr&gt;td"/>
    <w:basedOn w:val="Normal"/>
    <w:pPr>
      <w:spacing w:after="150"/>
    </w:pPr>
  </w:style>
  <w:style w:type="paragraph" w:customStyle="1" w:styleId="table-condensedtheadtrth">
    <w:name w:val="table-condensed&gt;thead&gt;tr&gt;th"/>
    <w:basedOn w:val="Normal"/>
    <w:pPr>
      <w:spacing w:after="15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after="150"/>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textAlignment w:val="center"/>
    </w:pPr>
  </w:style>
  <w:style w:type="paragraph" w:customStyle="1" w:styleId="radio-inline">
    <w:name w:val="radio-inline"/>
    <w:basedOn w:val="Normal"/>
    <w:pPr>
      <w:textAlignment w:val="center"/>
    </w:pPr>
  </w:style>
  <w:style w:type="paragraph" w:customStyle="1" w:styleId="form-control-static">
    <w:name w:val="form-control-static"/>
    <w:basedOn w:val="Normal"/>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feedback">
    <w:name w:val="form-control-feedback"/>
    <w:basedOn w:val="Normal"/>
    <w:pPr>
      <w:spacing w:after="150"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shd w:val="clear" w:color="auto" w:fill="FFFFFF"/>
      <w:spacing w:after="150"/>
    </w:pPr>
    <w:rPr>
      <w:color w:val="333333"/>
    </w:rPr>
  </w:style>
  <w:style w:type="paragraph" w:customStyle="1" w:styleId="btn-primary">
    <w:name w:val="btn-primary"/>
    <w:basedOn w:val="Normal"/>
    <w:pPr>
      <w:shd w:val="clear" w:color="auto" w:fill="337AB7"/>
      <w:spacing w:after="150"/>
    </w:pPr>
    <w:rPr>
      <w:color w:val="FFFFFF"/>
    </w:rPr>
  </w:style>
  <w:style w:type="paragraph" w:customStyle="1" w:styleId="btn-success">
    <w:name w:val="btn-success"/>
    <w:basedOn w:val="Normal"/>
    <w:pPr>
      <w:shd w:val="clear" w:color="auto" w:fill="5CB85C"/>
      <w:spacing w:after="150"/>
    </w:pPr>
    <w:rPr>
      <w:color w:val="FFFFFF"/>
    </w:rPr>
  </w:style>
  <w:style w:type="paragraph" w:customStyle="1" w:styleId="btn-info">
    <w:name w:val="btn-info"/>
    <w:basedOn w:val="Normal"/>
    <w:pPr>
      <w:shd w:val="clear" w:color="auto" w:fill="5BC0DE"/>
      <w:spacing w:after="150"/>
    </w:pPr>
    <w:rPr>
      <w:color w:val="FFFFFF"/>
    </w:rPr>
  </w:style>
  <w:style w:type="paragraph" w:customStyle="1" w:styleId="btn-warning">
    <w:name w:val="btn-warning"/>
    <w:basedOn w:val="Normal"/>
    <w:pPr>
      <w:shd w:val="clear" w:color="auto" w:fill="F0AD4E"/>
      <w:spacing w:after="150"/>
    </w:pPr>
    <w:rPr>
      <w:color w:val="FFFFFF"/>
    </w:rPr>
  </w:style>
  <w:style w:type="paragraph" w:customStyle="1" w:styleId="btn-danger">
    <w:name w:val="btn-danger"/>
    <w:basedOn w:val="Normal"/>
    <w:pPr>
      <w:shd w:val="clear" w:color="auto" w:fill="D9534F"/>
      <w:spacing w:after="150"/>
    </w:pPr>
    <w:rPr>
      <w:color w:val="FFFFFF"/>
    </w:rPr>
  </w:style>
  <w:style w:type="paragraph" w:customStyle="1" w:styleId="btn-link">
    <w:name w:val="btn-link"/>
    <w:basedOn w:val="Normal"/>
    <w:pPr>
      <w:spacing w:after="150"/>
    </w:pPr>
    <w:rPr>
      <w:color w:val="337AB7"/>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caret">
    <w:name w:val="caret"/>
    <w:basedOn w:val="Normal"/>
    <w:pPr>
      <w:pBdr>
        <w:top w:val="dashed"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after="150"/>
    </w:pPr>
    <w:rPr>
      <w:color w:val="333333"/>
    </w:rPr>
  </w:style>
  <w:style w:type="paragraph" w:customStyle="1" w:styleId="dropdown-header">
    <w:name w:val="dropdown-header"/>
    <w:basedOn w:val="Normal"/>
    <w:pPr>
      <w:spacing w:after="150"/>
    </w:pPr>
    <w:rPr>
      <w:color w:val="777777"/>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classcol-">
    <w:name w:val="input-group[class*=col-]"/>
    <w:basedOn w:val="Normal"/>
    <w:pPr>
      <w:spacing w:after="150"/>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li">
    <w:name w:val="nav&gt;li"/>
    <w:basedOn w:val="Normal"/>
    <w:pPr>
      <w:spacing w:after="150"/>
    </w:pPr>
  </w:style>
  <w:style w:type="paragraph" w:customStyle="1" w:styleId="navlia">
    <w:name w:val="nav&gt;li&gt;a"/>
    <w:basedOn w:val="Normal"/>
    <w:pPr>
      <w:spacing w:after="150"/>
    </w:pPr>
  </w:style>
  <w:style w:type="paragraph" w:customStyle="1" w:styleId="nav-tabs">
    <w:name w:val="nav-tabs"/>
    <w:basedOn w:val="Normal"/>
    <w:pPr>
      <w:pBdr>
        <w:bottom w:val="single" w:sz="6" w:space="0" w:color="DDDDDD"/>
      </w:pBdr>
      <w:spacing w:after="150"/>
    </w:pPr>
  </w:style>
  <w:style w:type="paragraph" w:customStyle="1" w:styleId="nav-tabsli">
    <w:name w:val="nav-tabs&gt;li"/>
    <w:basedOn w:val="Normal"/>
  </w:style>
  <w:style w:type="paragraph" w:customStyle="1" w:styleId="nav-tabslia">
    <w:name w:val="nav-tabs&gt;li&gt;a"/>
    <w:basedOn w:val="Normal"/>
    <w:pPr>
      <w:spacing w:after="150"/>
      <w:ind w:right="30"/>
    </w:pPr>
  </w:style>
  <w:style w:type="paragraph" w:customStyle="1" w:styleId="nav-justified">
    <w:name w:val="nav-justified"/>
    <w:basedOn w:val="Normal"/>
    <w:pPr>
      <w:spacing w:after="150"/>
    </w:pPr>
  </w:style>
  <w:style w:type="paragraph" w:customStyle="1" w:styleId="nav-justifiedlia">
    <w:name w:val="nav-justified&gt;li&gt;a"/>
    <w:basedOn w:val="Normal"/>
    <w:pPr>
      <w:spacing w:after="75"/>
      <w:jc w:val="center"/>
    </w:pPr>
  </w:style>
  <w:style w:type="paragraph" w:customStyle="1" w:styleId="nav-tabs-justified">
    <w:name w:val="nav-tabs-justified"/>
    <w:basedOn w:val="Normal"/>
    <w:pPr>
      <w:spacing w:after="150"/>
    </w:pPr>
  </w:style>
  <w:style w:type="paragraph" w:customStyle="1" w:styleId="nav-tabs-justifiedlia">
    <w:name w:val="nav-tabs-justified&gt;li&gt;a"/>
    <w:basedOn w:val="Normal"/>
    <w:pPr>
      <w:spacing w:after="150"/>
    </w:pPr>
  </w:style>
  <w:style w:type="paragraph" w:customStyle="1" w:styleId="navbar">
    <w:name w:val="navbar"/>
    <w:basedOn w:val="Normal"/>
    <w:pP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brandimg">
    <w:name w:val="navbar-brand&gt;img"/>
    <w:basedOn w:val="Normal"/>
    <w:pPr>
      <w:spacing w:after="150"/>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after="150"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after="150"/>
    </w:pPr>
  </w:style>
  <w:style w:type="paragraph" w:customStyle="1" w:styleId="navbar-inverse">
    <w:name w:val="navbar-inverse"/>
    <w:basedOn w:val="Normal"/>
    <w:pPr>
      <w:shd w:val="clear" w:color="auto" w:fill="222222"/>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after="150"/>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Normal"/>
    <w:pPr>
      <w:spacing w:after="150"/>
    </w:pPr>
    <w:rPr>
      <w:sz w:val="27"/>
      <w:szCs w:val="27"/>
    </w:rPr>
  </w:style>
  <w:style w:type="paragraph" w:customStyle="1" w:styleId="pagination-lglispan">
    <w:name w:val="pagination-lg&gt;li&gt;span"/>
    <w:basedOn w:val="Normal"/>
    <w:pPr>
      <w:spacing w:after="150"/>
    </w:pPr>
    <w:rPr>
      <w:sz w:val="27"/>
      <w:szCs w:val="27"/>
    </w:rPr>
  </w:style>
  <w:style w:type="paragraph" w:customStyle="1" w:styleId="pagination-smlia">
    <w:name w:val="pagination-sm&gt;li&gt;a"/>
    <w:basedOn w:val="Normal"/>
    <w:pPr>
      <w:spacing w:after="150"/>
    </w:pPr>
    <w:rPr>
      <w:sz w:val="18"/>
      <w:szCs w:val="18"/>
    </w:rPr>
  </w:style>
  <w:style w:type="paragraph" w:customStyle="1" w:styleId="pagination-smlispan">
    <w:name w:val="pagination-sm&gt;li&gt;span"/>
    <w:basedOn w:val="Normal"/>
    <w:pPr>
      <w:spacing w:after="150"/>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777777"/>
      <w:spacing w:after="150"/>
    </w:pPr>
  </w:style>
  <w:style w:type="paragraph" w:customStyle="1" w:styleId="label-primary">
    <w:name w:val="label-primary"/>
    <w:basedOn w:val="Normal"/>
    <w:pPr>
      <w:shd w:val="clear" w:color="auto" w:fill="337AB7"/>
      <w:spacing w:after="150"/>
    </w:pPr>
  </w:style>
  <w:style w:type="paragraph" w:customStyle="1" w:styleId="label-success">
    <w:name w:val="label-success"/>
    <w:basedOn w:val="Normal"/>
    <w:pPr>
      <w:shd w:val="clear" w:color="auto" w:fill="5CB85C"/>
      <w:spacing w:after="150"/>
    </w:pPr>
  </w:style>
  <w:style w:type="paragraph" w:customStyle="1" w:styleId="label-info">
    <w:name w:val="label-info"/>
    <w:basedOn w:val="Normal"/>
    <w:pPr>
      <w:shd w:val="clear" w:color="auto" w:fill="5BC0DE"/>
      <w:spacing w:after="150"/>
    </w:pPr>
  </w:style>
  <w:style w:type="paragraph" w:customStyle="1" w:styleId="label-warning">
    <w:name w:val="label-warning"/>
    <w:basedOn w:val="Normal"/>
    <w:pPr>
      <w:shd w:val="clear" w:color="auto" w:fill="F0AD4E"/>
      <w:spacing w:after="150"/>
    </w:pPr>
  </w:style>
  <w:style w:type="paragraph" w:customStyle="1" w:styleId="label-danger">
    <w:name w:val="label-danger"/>
    <w:basedOn w:val="Normal"/>
    <w:pPr>
      <w:shd w:val="clear" w:color="auto" w:fill="D9534F"/>
      <w:spacing w:after="150"/>
    </w:pPr>
  </w:style>
  <w:style w:type="paragraph" w:customStyle="1" w:styleId="badge">
    <w:name w:val="badge"/>
    <w:basedOn w:val="Normal"/>
    <w:pPr>
      <w:shd w:val="clear" w:color="auto" w:fill="777777"/>
      <w:spacing w:after="150"/>
      <w:jc w:val="center"/>
      <w:textAlignment w:val="center"/>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jumbotronhr">
    <w:name w:val="jumbotron&gt;hr"/>
    <w:basedOn w:val="Normal"/>
    <w:pPr>
      <w:spacing w:after="1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p">
    <w:name w:val="alert&gt;p"/>
    <w:basedOn w:val="Normal"/>
  </w:style>
  <w:style w:type="paragraph" w:customStyle="1" w:styleId="alertul">
    <w:name w:val="alert&gt;ul"/>
    <w:basedOn w:val="Normal"/>
  </w:style>
  <w:style w:type="paragraph" w:customStyle="1" w:styleId="alert-dismissable">
    <w:name w:val="alert-dismissable"/>
    <w:basedOn w:val="Normal"/>
    <w:pPr>
      <w:spacing w:after="150"/>
    </w:pPr>
  </w:style>
  <w:style w:type="paragraph" w:customStyle="1" w:styleId="alert-dismissible">
    <w:name w:val="alert-dismissible"/>
    <w:basedOn w:val="Normal"/>
    <w:pPr>
      <w:spacing w:after="150"/>
    </w:pPr>
  </w:style>
  <w:style w:type="paragraph" w:customStyle="1" w:styleId="alert-success">
    <w:name w:val="alert-success"/>
    <w:basedOn w:val="Normal"/>
    <w:pPr>
      <w:shd w:val="clear" w:color="auto" w:fill="DFF0D8"/>
      <w:spacing w:after="150"/>
    </w:pPr>
    <w:rPr>
      <w:color w:val="3C763D"/>
    </w:rPr>
  </w:style>
  <w:style w:type="paragraph" w:customStyle="1" w:styleId="alert-info">
    <w:name w:val="alert-info"/>
    <w:basedOn w:val="Normal"/>
    <w:pPr>
      <w:shd w:val="clear" w:color="auto" w:fill="D9EDF7"/>
      <w:spacing w:after="150"/>
    </w:pPr>
    <w:rPr>
      <w:color w:val="31708F"/>
    </w:rPr>
  </w:style>
  <w:style w:type="paragraph" w:customStyle="1" w:styleId="alert-warning">
    <w:name w:val="alert-warning"/>
    <w:basedOn w:val="Normal"/>
    <w:pPr>
      <w:shd w:val="clear" w:color="auto" w:fill="FCF8E3"/>
      <w:spacing w:after="150"/>
    </w:pPr>
    <w:rPr>
      <w:color w:val="8A6D3B"/>
    </w:rPr>
  </w:style>
  <w:style w:type="paragraph" w:customStyle="1" w:styleId="alert-danger">
    <w:name w:val="alert-danger"/>
    <w:basedOn w:val="Normal"/>
    <w:pPr>
      <w:shd w:val="clear" w:color="auto" w:fill="F2DEDE"/>
      <w:spacing w:after="150"/>
    </w:pPr>
    <w:rPr>
      <w:color w:val="A94442"/>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337AB7"/>
      <w:spacing w:after="150" w:line="300" w:lineRule="atLeast"/>
      <w:jc w:val="center"/>
    </w:pPr>
    <w:rPr>
      <w:color w:val="FFFFFF"/>
      <w:sz w:val="18"/>
      <w:szCs w:val="18"/>
    </w:rPr>
  </w:style>
  <w:style w:type="paragraph" w:customStyle="1" w:styleId="progress-bar-success">
    <w:name w:val="progress-bar-success"/>
    <w:basedOn w:val="Normal"/>
    <w:pPr>
      <w:shd w:val="clear" w:color="auto" w:fill="5CB85C"/>
      <w:spacing w:after="150"/>
    </w:pPr>
  </w:style>
  <w:style w:type="paragraph" w:customStyle="1" w:styleId="progress-bar-info">
    <w:name w:val="progress-bar-info"/>
    <w:basedOn w:val="Normal"/>
    <w:pPr>
      <w:shd w:val="clear" w:color="auto" w:fill="5BC0DE"/>
      <w:spacing w:after="150"/>
    </w:pPr>
  </w:style>
  <w:style w:type="paragraph" w:customStyle="1" w:styleId="progress-bar-warning">
    <w:name w:val="progress-bar-warning"/>
    <w:basedOn w:val="Normal"/>
    <w:pPr>
      <w:shd w:val="clear" w:color="auto" w:fill="F0AD4E"/>
      <w:spacing w:after="150"/>
    </w:pPr>
  </w:style>
  <w:style w:type="paragraph" w:customStyle="1" w:styleId="progress-bar-danger">
    <w:name w:val="progress-bar-danger"/>
    <w:basedOn w:val="Normal"/>
    <w:pPr>
      <w:shd w:val="clear" w:color="auto" w:fill="D9534F"/>
      <w:spacing w:after="150"/>
    </w:pPr>
  </w:style>
  <w:style w:type="paragraph" w:customStyle="1" w:styleId="media">
    <w:name w:val="media"/>
    <w:basedOn w:val="Normal"/>
    <w:pPr>
      <w:spacing w:before="225" w:after="150"/>
    </w:pPr>
  </w:style>
  <w:style w:type="paragraph" w:customStyle="1" w:styleId="media-body">
    <w:name w:val="media-body"/>
    <w:basedOn w:val="Normal"/>
    <w:pPr>
      <w:spacing w:after="150"/>
      <w:textAlignment w:val="top"/>
    </w:pPr>
  </w:style>
  <w:style w:type="paragraph" w:customStyle="1" w:styleId="media-object">
    <w:name w:val="media-object"/>
    <w:basedOn w:val="Normal"/>
    <w:pPr>
      <w:spacing w:after="150"/>
    </w:pPr>
  </w:style>
  <w:style w:type="paragraph" w:customStyle="1" w:styleId="media-left">
    <w:name w:val="media-left"/>
    <w:basedOn w:val="Normal"/>
    <w:pPr>
      <w:spacing w:after="150"/>
      <w:textAlignment w:val="top"/>
    </w:pPr>
  </w:style>
  <w:style w:type="paragraph" w:customStyle="1" w:styleId="media-right">
    <w:name w:val="media-right"/>
    <w:basedOn w:val="Normal"/>
    <w:pPr>
      <w:spacing w:after="150"/>
      <w:textAlignment w:val="top"/>
    </w:pPr>
  </w:style>
  <w:style w:type="paragraph" w:customStyle="1" w:styleId="media-middle">
    <w:name w:val="media-middle"/>
    <w:basedOn w:val="Normal"/>
    <w:pPr>
      <w:spacing w:after="150"/>
      <w:textAlignment w:val="center"/>
    </w:pPr>
  </w:style>
  <w:style w:type="paragraph" w:customStyle="1" w:styleId="media-bottom">
    <w:name w:val="media-bottom"/>
    <w:basedOn w:val="Normal"/>
    <w:pPr>
      <w:spacing w:after="150"/>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3C763D"/>
    </w:rPr>
  </w:style>
  <w:style w:type="paragraph" w:customStyle="1" w:styleId="list-group-item-info">
    <w:name w:val="list-group-item-info"/>
    <w:basedOn w:val="Normal"/>
    <w:pPr>
      <w:shd w:val="clear" w:color="auto" w:fill="D9EDF7"/>
      <w:spacing w:after="150"/>
    </w:pPr>
    <w:rPr>
      <w:color w:val="31708F"/>
    </w:rPr>
  </w:style>
  <w:style w:type="paragraph" w:customStyle="1" w:styleId="list-group-item-warning">
    <w:name w:val="list-group-item-warning"/>
    <w:basedOn w:val="Normal"/>
    <w:pPr>
      <w:shd w:val="clear" w:color="auto" w:fill="FCF8E3"/>
      <w:spacing w:after="150"/>
    </w:pPr>
    <w:rPr>
      <w:color w:val="8A6D3B"/>
    </w:rPr>
  </w:style>
  <w:style w:type="paragraph" w:customStyle="1" w:styleId="list-group-item-danger">
    <w:name w:val="list-group-item-danger"/>
    <w:basedOn w:val="Normal"/>
    <w:pPr>
      <w:shd w:val="clear" w:color="auto" w:fill="F2DEDE"/>
      <w:spacing w:after="150"/>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embed-responsive">
    <w:name w:val="embed-responsive"/>
    <w:basedOn w:val="Normal"/>
    <w:pPr>
      <w:spacing w:after="150"/>
    </w:pPr>
  </w:style>
  <w:style w:type="paragraph" w:customStyle="1" w:styleId="embed-responsive-16by9">
    <w:name w:val="embed-responsive-16by9"/>
    <w:basedOn w:val="Normal"/>
    <w:pPr>
      <w:spacing w:after="150"/>
    </w:pPr>
  </w:style>
  <w:style w:type="paragraph" w:customStyle="1" w:styleId="embed-responsive-4by3">
    <w:name w:val="embed-responsive-4by3"/>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1" w:color="E5E5E5"/>
      </w:pBdr>
      <w:spacing w:after="150"/>
      <w:jc w:val="right"/>
    </w:pPr>
  </w:style>
  <w:style w:type="paragraph" w:customStyle="1" w:styleId="modal-scrollbar-measure">
    <w:name w:val="modal-scrollbar-measure"/>
    <w:basedOn w:val="Normal"/>
    <w:pPr>
      <w:spacing w:after="150"/>
    </w:pPr>
  </w:style>
  <w:style w:type="paragraph" w:customStyle="1" w:styleId="tooltip">
    <w:name w:val="tooltip"/>
    <w:basedOn w:val="Normal"/>
    <w:pPr>
      <w:spacing w:after="150"/>
    </w:pPr>
    <w:rPr>
      <w:rFonts w:ascii="Helvetica" w:hAnsi="Helvetica" w:cs="Helvetica"/>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571"/>
      <w:jc w:val="center"/>
    </w:pPr>
  </w:style>
  <w:style w:type="paragraph" w:customStyle="1" w:styleId="carousel-caption">
    <w:name w:val="carousel-caption"/>
    <w:basedOn w:val="Normal"/>
    <w:pPr>
      <w:spacing w:after="150"/>
      <w:jc w:val="center"/>
    </w:pPr>
    <w:rPr>
      <w:color w:val="FFFFFF"/>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hljs-literal">
    <w:name w:val="hljs-literal"/>
    <w:basedOn w:val="Normal"/>
    <w:pPr>
      <w:spacing w:after="150"/>
    </w:pPr>
    <w:rPr>
      <w:color w:val="990073"/>
    </w:rPr>
  </w:style>
  <w:style w:type="paragraph" w:customStyle="1" w:styleId="hljs-number">
    <w:name w:val="hljs-number"/>
    <w:basedOn w:val="Normal"/>
    <w:pPr>
      <w:spacing w:after="150"/>
    </w:pPr>
    <w:rPr>
      <w:color w:val="009999"/>
    </w:rPr>
  </w:style>
  <w:style w:type="paragraph" w:customStyle="1" w:styleId="hljs-comment">
    <w:name w:val="hljs-comment"/>
    <w:basedOn w:val="Normal"/>
    <w:pPr>
      <w:spacing w:after="150"/>
    </w:pPr>
    <w:rPr>
      <w:i/>
      <w:iCs/>
      <w:color w:val="999988"/>
    </w:rPr>
  </w:style>
  <w:style w:type="paragraph" w:customStyle="1" w:styleId="hljs-keyword">
    <w:name w:val="hljs-keyword"/>
    <w:basedOn w:val="Normal"/>
    <w:pPr>
      <w:spacing w:after="150"/>
    </w:pPr>
    <w:rPr>
      <w:b/>
      <w:bCs/>
      <w:color w:val="990000"/>
    </w:rPr>
  </w:style>
  <w:style w:type="paragraph" w:customStyle="1" w:styleId="hljs-string">
    <w:name w:val="hljs-string"/>
    <w:basedOn w:val="Normal"/>
    <w:pPr>
      <w:spacing w:after="150"/>
    </w:pPr>
    <w:rPr>
      <w:color w:val="DD1144"/>
    </w:rPr>
  </w:style>
  <w:style w:type="paragraph" w:customStyle="1" w:styleId="pagedtable">
    <w:name w:val="pagedtable"/>
    <w:basedOn w:val="Normal"/>
    <w:pPr>
      <w:spacing w:after="150"/>
    </w:pPr>
  </w:style>
  <w:style w:type="paragraph" w:customStyle="1" w:styleId="pagedtable-wrapper">
    <w:name w:val="pagedtable-wrapper"/>
    <w:basedOn w:val="Normal"/>
    <w:pPr>
      <w:pBdr>
        <w:top w:val="single" w:sz="6" w:space="0" w:color="CCCCCC"/>
        <w:left w:val="single" w:sz="6" w:space="0" w:color="CCCCCC"/>
        <w:bottom w:val="single" w:sz="6" w:space="0" w:color="CCCCCC"/>
        <w:right w:val="single" w:sz="6" w:space="0" w:color="CCCCCC"/>
      </w:pBdr>
      <w:spacing w:after="150"/>
    </w:pPr>
  </w:style>
  <w:style w:type="paragraph" w:customStyle="1" w:styleId="pagedtable-padding-col">
    <w:name w:val="pagedtable-padding-col"/>
    <w:basedOn w:val="Normal"/>
    <w:pPr>
      <w:spacing w:after="150"/>
    </w:pPr>
    <w:rPr>
      <w:vanish/>
    </w:rPr>
  </w:style>
  <w:style w:type="paragraph" w:customStyle="1" w:styleId="pagedtable-index-nav">
    <w:name w:val="pagedtable-index-nav"/>
    <w:basedOn w:val="Normal"/>
    <w:pPr>
      <w:spacing w:after="150"/>
    </w:pPr>
  </w:style>
  <w:style w:type="paragraph" w:customStyle="1" w:styleId="pagedtable-index-nav-disabled">
    <w:name w:val="pagedtable-index-nav-disabled"/>
    <w:basedOn w:val="Normal"/>
    <w:pPr>
      <w:spacing w:after="150"/>
    </w:pPr>
    <w:rPr>
      <w:color w:val="999999"/>
    </w:rPr>
  </w:style>
  <w:style w:type="paragraph" w:customStyle="1" w:styleId="pagedtable-indexes">
    <w:name w:val="pagedtable-indexes"/>
    <w:basedOn w:val="Normal"/>
    <w:pPr>
      <w:spacing w:after="150"/>
    </w:pPr>
  </w:style>
  <w:style w:type="paragraph" w:customStyle="1" w:styleId="pagedtable-index-current">
    <w:name w:val="pagedtable-index-current"/>
    <w:basedOn w:val="Normal"/>
    <w:pPr>
      <w:spacing w:after="150"/>
    </w:pPr>
    <w:rPr>
      <w:b/>
      <w:bCs/>
      <w:color w:val="333333"/>
    </w:rPr>
  </w:style>
  <w:style w:type="paragraph" w:customStyle="1" w:styleId="pagedtable-index">
    <w:name w:val="pagedtable-index"/>
    <w:basedOn w:val="Normal"/>
    <w:pPr>
      <w:spacing w:after="150"/>
      <w:jc w:val="center"/>
    </w:pPr>
  </w:style>
  <w:style w:type="paragraph" w:customStyle="1" w:styleId="pagedtable-index-separator-left">
    <w:name w:val="pagedtable-index-separator-left"/>
    <w:basedOn w:val="Normal"/>
    <w:pPr>
      <w:spacing w:after="150"/>
    </w:pPr>
    <w:rPr>
      <w:color w:val="333333"/>
      <w:sz w:val="14"/>
      <w:szCs w:val="14"/>
    </w:rPr>
  </w:style>
  <w:style w:type="paragraph" w:customStyle="1" w:styleId="pagedtable-index-separator-right">
    <w:name w:val="pagedtable-index-separator-right"/>
    <w:basedOn w:val="Normal"/>
    <w:pPr>
      <w:spacing w:after="150"/>
    </w:pPr>
    <w:rPr>
      <w:color w:val="333333"/>
      <w:sz w:val="14"/>
      <w:szCs w:val="14"/>
    </w:rPr>
  </w:style>
  <w:style w:type="paragraph" w:customStyle="1" w:styleId="pagedtable-footer">
    <w:name w:val="pagedtable-footer"/>
    <w:basedOn w:val="Normal"/>
    <w:pPr>
      <w:spacing w:after="150"/>
    </w:pPr>
  </w:style>
  <w:style w:type="paragraph" w:customStyle="1" w:styleId="pagedtable-info">
    <w:name w:val="pagedtable-info"/>
    <w:basedOn w:val="Normal"/>
    <w:pPr>
      <w:spacing w:after="150"/>
    </w:pPr>
    <w:rPr>
      <w:color w:val="999999"/>
    </w:rPr>
  </w:style>
  <w:style w:type="paragraph" w:customStyle="1" w:styleId="pagedtable-header-type">
    <w:name w:val="pagedtable-header-type"/>
    <w:basedOn w:val="Normal"/>
    <w:pPr>
      <w:spacing w:after="150"/>
    </w:pPr>
    <w:rPr>
      <w:color w:val="999999"/>
    </w:rPr>
  </w:style>
  <w:style w:type="paragraph" w:customStyle="1" w:styleId="pagedtable-na-cell">
    <w:name w:val="pagedtable-na-cell"/>
    <w:basedOn w:val="Normal"/>
    <w:pPr>
      <w:spacing w:after="150"/>
    </w:pPr>
    <w:rPr>
      <w:i/>
      <w:iCs/>
    </w:rPr>
  </w:style>
  <w:style w:type="paragraph" w:customStyle="1" w:styleId="main-container">
    <w:name w:val="main-container"/>
    <w:basedOn w:val="Normal"/>
    <w:pPr>
      <w:spacing w:after="150"/>
    </w:pPr>
  </w:style>
  <w:style w:type="paragraph" w:customStyle="1" w:styleId="tabbed-pane">
    <w:name w:val="tabbed-pane"/>
    <w:basedOn w:val="Normal"/>
    <w:pPr>
      <w:spacing w:after="150"/>
    </w:pPr>
  </w:style>
  <w:style w:type="paragraph" w:customStyle="1" w:styleId="html-widget">
    <w:name w:val="html-widget"/>
    <w:basedOn w:val="Normal"/>
    <w:pPr>
      <w:spacing w:after="300"/>
    </w:pPr>
  </w:style>
  <w:style w:type="paragraph" w:customStyle="1" w:styleId="table-hovertbodytr">
    <w:name w:val="table-hover&gt;tbody&gt;tr"/>
    <w:basedOn w:val="Normal"/>
    <w:pPr>
      <w:spacing w:after="150"/>
    </w:p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customStyle="1" w:styleId="Caption1">
    <w:name w:val="Caption1"/>
    <w:basedOn w:val="Normal"/>
    <w:pPr>
      <w:spacing w:after="150"/>
    </w:pPr>
  </w:style>
  <w:style w:type="paragraph" w:customStyle="1" w:styleId="alert-link">
    <w:name w:val="alert-link"/>
    <w:basedOn w:val="Normal"/>
    <w:pPr>
      <w:spacing w:after="150"/>
    </w:pPr>
  </w:style>
  <w:style w:type="paragraph" w:customStyle="1" w:styleId="glyphicon-chevron-left">
    <w:name w:val="glyphicon-chevron-left"/>
    <w:basedOn w:val="Normal"/>
    <w:pPr>
      <w:spacing w:after="150"/>
    </w:pPr>
  </w:style>
  <w:style w:type="paragraph" w:customStyle="1" w:styleId="glyphicon-chevron-right">
    <w:name w:val="glyphicon-chevron-right"/>
    <w:basedOn w:val="Normal"/>
    <w:pPr>
      <w:spacing w:after="150"/>
    </w:pPr>
  </w:style>
  <w:style w:type="paragraph" w:customStyle="1" w:styleId="icon-next">
    <w:name w:val="icon-next"/>
    <w:basedOn w:val="Normal"/>
    <w:pPr>
      <w:spacing w:after="150"/>
    </w:pPr>
  </w:style>
  <w:style w:type="paragraph" w:customStyle="1" w:styleId="icon-prev">
    <w:name w:val="icon-prev"/>
    <w:basedOn w:val="Normal"/>
    <w:pPr>
      <w:spacing w:after="150"/>
    </w:pPr>
  </w:style>
  <w:style w:type="paragraph" w:customStyle="1" w:styleId="active">
    <w:name w:val="active"/>
    <w:basedOn w:val="Normal"/>
    <w:pPr>
      <w:spacing w:after="150"/>
    </w:p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0">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pagedtable-footer1">
    <w:name w:val="pagedtable-footer1"/>
    <w:basedOn w:val="Normal"/>
    <w:pPr>
      <w:pBdr>
        <w:top w:val="single" w:sz="12" w:space="0" w:color="DDDDDD"/>
      </w:pBdr>
      <w:spacing w:after="150"/>
    </w:pPr>
  </w:style>
  <w:style w:type="character" w:customStyle="1" w:styleId="toc-section-number">
    <w:name w:val="toc-section-number"/>
    <w:basedOn w:val="DefaultParagraphFont"/>
  </w:style>
  <w:style w:type="character" w:customStyle="1" w:styleId="header-section-number">
    <w:name w:val="header-section-number"/>
    <w:basedOn w:val="DefaultParagraphFont"/>
  </w:style>
  <w:style w:type="character" w:customStyle="1" w:styleId="citation">
    <w:name w:val="citation"/>
    <w:basedOn w:val="DefaultParagraphFont"/>
  </w:style>
  <w:style w:type="character" w:styleId="Emphasis">
    <w:name w:val="Emphasis"/>
    <w:basedOn w:val="DefaultParagraphFont"/>
    <w:uiPriority w:val="20"/>
    <w:qFormat/>
    <w:rPr>
      <w:i/>
      <w:iCs/>
    </w:rPr>
  </w:style>
  <w:style w:type="character" w:customStyle="1" w:styleId="math">
    <w:name w:val="math"/>
    <w:basedOn w:val="DefaultParagraphFont"/>
  </w:style>
  <w:style w:type="table" w:customStyle="1" w:styleId="Style1">
    <w:name w:val="Style1"/>
    <w:basedOn w:val="TableClassic1"/>
    <w:uiPriority w:val="99"/>
    <w:rsid w:val="00C369E5"/>
    <w:rPr>
      <w:rFonts w:ascii="Arial" w:hAnsi="Arial"/>
    </w:rPr>
    <w:tblPr/>
    <w:tcPr>
      <w:shd w:val="clear" w:color="auto" w:fill="auto"/>
    </w:tcPr>
    <w:tblStylePr w:type="firstRow">
      <w:rPr>
        <w:rFonts w:asciiTheme="minorHAnsi" w:hAnsiTheme="minorHAnsi"/>
        <w:b/>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39"/>
    <w:rsid w:val="00907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CF68B9"/>
    <w:pPr>
      <w:spacing w:before="180" w:after="180"/>
    </w:pPr>
    <w:rPr>
      <w:rFonts w:asciiTheme="minorHAnsi" w:eastAsiaTheme="minorHAnsi" w:hAnsiTheme="minorHAnsi" w:cstheme="minorBidi"/>
      <w:sz w:val="24"/>
      <w:lang w:val="en-US" w:eastAsia="en-US"/>
    </w:rPr>
  </w:style>
  <w:style w:type="table" w:styleId="TableClassic1">
    <w:name w:val="Table Classic 1"/>
    <w:basedOn w:val="TableNormal"/>
    <w:uiPriority w:val="99"/>
    <w:semiHidden/>
    <w:unhideWhenUsed/>
    <w:rsid w:val="00C369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har">
    <w:name w:val="Body Text Char"/>
    <w:basedOn w:val="DefaultParagraphFont"/>
    <w:link w:val="BodyText"/>
    <w:rsid w:val="00CF68B9"/>
    <w:rPr>
      <w:rFonts w:asciiTheme="minorHAnsi" w:eastAsiaTheme="minorHAnsi" w:hAnsiTheme="minorHAnsi" w:cstheme="minorBidi"/>
      <w:sz w:val="24"/>
      <w:szCs w:val="24"/>
      <w:lang w:val="en-US" w:eastAsia="en-US"/>
    </w:rPr>
  </w:style>
  <w:style w:type="paragraph" w:customStyle="1" w:styleId="SourceCode">
    <w:name w:val="Source Code"/>
    <w:basedOn w:val="Normal"/>
    <w:rsid w:val="0040238B"/>
    <w:pPr>
      <w:shd w:val="clear" w:color="auto" w:fill="F8F8F8"/>
      <w:wordWrap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6775">
      <w:marLeft w:val="0"/>
      <w:marRight w:val="0"/>
      <w:marTop w:val="0"/>
      <w:marBottom w:val="0"/>
      <w:divBdr>
        <w:top w:val="none" w:sz="0" w:space="0" w:color="auto"/>
        <w:left w:val="none" w:sz="0" w:space="0" w:color="auto"/>
        <w:bottom w:val="none" w:sz="0" w:space="0" w:color="auto"/>
        <w:right w:val="none" w:sz="0" w:space="0" w:color="auto"/>
      </w:divBdr>
      <w:divsChild>
        <w:div w:id="2074738821">
          <w:marLeft w:val="0"/>
          <w:marRight w:val="0"/>
          <w:marTop w:val="0"/>
          <w:marBottom w:val="0"/>
          <w:divBdr>
            <w:top w:val="none" w:sz="0" w:space="0" w:color="auto"/>
            <w:left w:val="none" w:sz="0" w:space="0" w:color="auto"/>
            <w:bottom w:val="none" w:sz="0" w:space="0" w:color="auto"/>
            <w:right w:val="none" w:sz="0" w:space="0" w:color="auto"/>
          </w:divBdr>
        </w:div>
        <w:div w:id="1675455078">
          <w:marLeft w:val="0"/>
          <w:marRight w:val="0"/>
          <w:marTop w:val="0"/>
          <w:marBottom w:val="0"/>
          <w:divBdr>
            <w:top w:val="none" w:sz="0" w:space="0" w:color="auto"/>
            <w:left w:val="none" w:sz="0" w:space="0" w:color="auto"/>
            <w:bottom w:val="none" w:sz="0" w:space="0" w:color="auto"/>
            <w:right w:val="none" w:sz="0" w:space="0" w:color="auto"/>
          </w:divBdr>
        </w:div>
        <w:div w:id="1660040404">
          <w:marLeft w:val="0"/>
          <w:marRight w:val="0"/>
          <w:marTop w:val="0"/>
          <w:marBottom w:val="0"/>
          <w:divBdr>
            <w:top w:val="none" w:sz="0" w:space="0" w:color="auto"/>
            <w:left w:val="none" w:sz="0" w:space="0" w:color="auto"/>
            <w:bottom w:val="none" w:sz="0" w:space="0" w:color="auto"/>
            <w:right w:val="none" w:sz="0" w:space="0" w:color="auto"/>
          </w:divBdr>
        </w:div>
        <w:div w:id="1968659192">
          <w:marLeft w:val="0"/>
          <w:marRight w:val="0"/>
          <w:marTop w:val="0"/>
          <w:marBottom w:val="0"/>
          <w:divBdr>
            <w:top w:val="none" w:sz="0" w:space="0" w:color="auto"/>
            <w:left w:val="none" w:sz="0" w:space="0" w:color="auto"/>
            <w:bottom w:val="none" w:sz="0" w:space="0" w:color="auto"/>
            <w:right w:val="none" w:sz="0" w:space="0" w:color="auto"/>
          </w:divBdr>
          <w:divsChild>
            <w:div w:id="75396218">
              <w:marLeft w:val="0"/>
              <w:marRight w:val="0"/>
              <w:marTop w:val="0"/>
              <w:marBottom w:val="0"/>
              <w:divBdr>
                <w:top w:val="none" w:sz="0" w:space="0" w:color="auto"/>
                <w:left w:val="none" w:sz="0" w:space="0" w:color="auto"/>
                <w:bottom w:val="none" w:sz="0" w:space="0" w:color="auto"/>
                <w:right w:val="none" w:sz="0" w:space="0" w:color="auto"/>
              </w:divBdr>
            </w:div>
            <w:div w:id="1708869413">
              <w:marLeft w:val="0"/>
              <w:marRight w:val="0"/>
              <w:marTop w:val="0"/>
              <w:marBottom w:val="0"/>
              <w:divBdr>
                <w:top w:val="none" w:sz="0" w:space="0" w:color="auto"/>
                <w:left w:val="none" w:sz="0" w:space="0" w:color="auto"/>
                <w:bottom w:val="none" w:sz="0" w:space="0" w:color="auto"/>
                <w:right w:val="none" w:sz="0" w:space="0" w:color="auto"/>
              </w:divBdr>
            </w:div>
            <w:div w:id="249125579">
              <w:marLeft w:val="0"/>
              <w:marRight w:val="0"/>
              <w:marTop w:val="0"/>
              <w:marBottom w:val="0"/>
              <w:divBdr>
                <w:top w:val="none" w:sz="0" w:space="0" w:color="auto"/>
                <w:left w:val="none" w:sz="0" w:space="0" w:color="auto"/>
                <w:bottom w:val="none" w:sz="0" w:space="0" w:color="auto"/>
                <w:right w:val="none" w:sz="0" w:space="0" w:color="auto"/>
              </w:divBdr>
            </w:div>
            <w:div w:id="976642291">
              <w:marLeft w:val="0"/>
              <w:marRight w:val="0"/>
              <w:marTop w:val="0"/>
              <w:marBottom w:val="0"/>
              <w:divBdr>
                <w:top w:val="none" w:sz="0" w:space="0" w:color="auto"/>
                <w:left w:val="none" w:sz="0" w:space="0" w:color="auto"/>
                <w:bottom w:val="none" w:sz="0" w:space="0" w:color="auto"/>
                <w:right w:val="none" w:sz="0" w:space="0" w:color="auto"/>
              </w:divBdr>
            </w:div>
            <w:div w:id="1866865118">
              <w:marLeft w:val="0"/>
              <w:marRight w:val="0"/>
              <w:marTop w:val="0"/>
              <w:marBottom w:val="0"/>
              <w:divBdr>
                <w:top w:val="none" w:sz="0" w:space="0" w:color="auto"/>
                <w:left w:val="none" w:sz="0" w:space="0" w:color="auto"/>
                <w:bottom w:val="none" w:sz="0" w:space="0" w:color="auto"/>
                <w:right w:val="none" w:sz="0" w:space="0" w:color="auto"/>
              </w:divBdr>
            </w:div>
          </w:divsChild>
        </w:div>
        <w:div w:id="1245066997">
          <w:marLeft w:val="0"/>
          <w:marRight w:val="0"/>
          <w:marTop w:val="0"/>
          <w:marBottom w:val="0"/>
          <w:divBdr>
            <w:top w:val="none" w:sz="0" w:space="0" w:color="auto"/>
            <w:left w:val="none" w:sz="0" w:space="0" w:color="auto"/>
            <w:bottom w:val="none" w:sz="0" w:space="0" w:color="auto"/>
            <w:right w:val="none" w:sz="0" w:space="0" w:color="auto"/>
          </w:divBdr>
          <w:divsChild>
            <w:div w:id="1628394068">
              <w:marLeft w:val="0"/>
              <w:marRight w:val="0"/>
              <w:marTop w:val="0"/>
              <w:marBottom w:val="0"/>
              <w:divBdr>
                <w:top w:val="none" w:sz="0" w:space="0" w:color="auto"/>
                <w:left w:val="none" w:sz="0" w:space="0" w:color="auto"/>
                <w:bottom w:val="none" w:sz="0" w:space="0" w:color="auto"/>
                <w:right w:val="none" w:sz="0" w:space="0" w:color="auto"/>
              </w:divBdr>
            </w:div>
            <w:div w:id="142476083">
              <w:marLeft w:val="0"/>
              <w:marRight w:val="0"/>
              <w:marTop w:val="0"/>
              <w:marBottom w:val="0"/>
              <w:divBdr>
                <w:top w:val="none" w:sz="0" w:space="0" w:color="auto"/>
                <w:left w:val="none" w:sz="0" w:space="0" w:color="auto"/>
                <w:bottom w:val="none" w:sz="0" w:space="0" w:color="auto"/>
                <w:right w:val="none" w:sz="0" w:space="0" w:color="auto"/>
              </w:divBdr>
            </w:div>
            <w:div w:id="557017364">
              <w:marLeft w:val="0"/>
              <w:marRight w:val="0"/>
              <w:marTop w:val="0"/>
              <w:marBottom w:val="0"/>
              <w:divBdr>
                <w:top w:val="none" w:sz="0" w:space="0" w:color="auto"/>
                <w:left w:val="none" w:sz="0" w:space="0" w:color="auto"/>
                <w:bottom w:val="none" w:sz="0" w:space="0" w:color="auto"/>
                <w:right w:val="none" w:sz="0" w:space="0" w:color="auto"/>
              </w:divBdr>
            </w:div>
            <w:div w:id="1199049687">
              <w:marLeft w:val="0"/>
              <w:marRight w:val="0"/>
              <w:marTop w:val="0"/>
              <w:marBottom w:val="0"/>
              <w:divBdr>
                <w:top w:val="none" w:sz="0" w:space="0" w:color="auto"/>
                <w:left w:val="none" w:sz="0" w:space="0" w:color="auto"/>
                <w:bottom w:val="none" w:sz="0" w:space="0" w:color="auto"/>
                <w:right w:val="none" w:sz="0" w:space="0" w:color="auto"/>
              </w:divBdr>
            </w:div>
          </w:divsChild>
        </w:div>
        <w:div w:id="458568736">
          <w:marLeft w:val="0"/>
          <w:marRight w:val="0"/>
          <w:marTop w:val="0"/>
          <w:marBottom w:val="0"/>
          <w:divBdr>
            <w:top w:val="none" w:sz="0" w:space="0" w:color="auto"/>
            <w:left w:val="none" w:sz="0" w:space="0" w:color="auto"/>
            <w:bottom w:val="none" w:sz="0" w:space="0" w:color="auto"/>
            <w:right w:val="none" w:sz="0" w:space="0" w:color="auto"/>
          </w:divBdr>
        </w:div>
        <w:div w:id="318509008">
          <w:marLeft w:val="0"/>
          <w:marRight w:val="0"/>
          <w:marTop w:val="0"/>
          <w:marBottom w:val="0"/>
          <w:divBdr>
            <w:top w:val="none" w:sz="0" w:space="0" w:color="auto"/>
            <w:left w:val="none" w:sz="0" w:space="0" w:color="auto"/>
            <w:bottom w:val="none" w:sz="0" w:space="0" w:color="auto"/>
            <w:right w:val="none" w:sz="0" w:space="0" w:color="auto"/>
          </w:divBdr>
          <w:divsChild>
            <w:div w:id="1213157551">
              <w:marLeft w:val="0"/>
              <w:marRight w:val="0"/>
              <w:marTop w:val="0"/>
              <w:marBottom w:val="0"/>
              <w:divBdr>
                <w:top w:val="none" w:sz="0" w:space="0" w:color="auto"/>
                <w:left w:val="none" w:sz="0" w:space="0" w:color="auto"/>
                <w:bottom w:val="none" w:sz="0" w:space="0" w:color="auto"/>
                <w:right w:val="none" w:sz="0" w:space="0" w:color="auto"/>
              </w:divBdr>
            </w:div>
            <w:div w:id="1909876900">
              <w:marLeft w:val="0"/>
              <w:marRight w:val="0"/>
              <w:marTop w:val="0"/>
              <w:marBottom w:val="0"/>
              <w:divBdr>
                <w:top w:val="none" w:sz="0" w:space="0" w:color="auto"/>
                <w:left w:val="none" w:sz="0" w:space="0" w:color="auto"/>
                <w:bottom w:val="none" w:sz="0" w:space="0" w:color="auto"/>
                <w:right w:val="none" w:sz="0" w:space="0" w:color="auto"/>
              </w:divBdr>
            </w:div>
            <w:div w:id="925040950">
              <w:marLeft w:val="0"/>
              <w:marRight w:val="0"/>
              <w:marTop w:val="0"/>
              <w:marBottom w:val="0"/>
              <w:divBdr>
                <w:top w:val="none" w:sz="0" w:space="0" w:color="auto"/>
                <w:left w:val="none" w:sz="0" w:space="0" w:color="auto"/>
                <w:bottom w:val="none" w:sz="0" w:space="0" w:color="auto"/>
                <w:right w:val="none" w:sz="0" w:space="0" w:color="auto"/>
              </w:divBdr>
            </w:div>
            <w:div w:id="166528404">
              <w:marLeft w:val="0"/>
              <w:marRight w:val="0"/>
              <w:marTop w:val="0"/>
              <w:marBottom w:val="0"/>
              <w:divBdr>
                <w:top w:val="none" w:sz="0" w:space="0" w:color="auto"/>
                <w:left w:val="none" w:sz="0" w:space="0" w:color="auto"/>
                <w:bottom w:val="none" w:sz="0" w:space="0" w:color="auto"/>
                <w:right w:val="none" w:sz="0" w:space="0" w:color="auto"/>
              </w:divBdr>
            </w:div>
          </w:divsChild>
        </w:div>
        <w:div w:id="1080063009">
          <w:marLeft w:val="0"/>
          <w:marRight w:val="0"/>
          <w:marTop w:val="0"/>
          <w:marBottom w:val="0"/>
          <w:divBdr>
            <w:top w:val="none" w:sz="0" w:space="0" w:color="auto"/>
            <w:left w:val="none" w:sz="0" w:space="0" w:color="auto"/>
            <w:bottom w:val="none" w:sz="0" w:space="0" w:color="auto"/>
            <w:right w:val="none" w:sz="0" w:space="0" w:color="auto"/>
          </w:divBdr>
        </w:div>
        <w:div w:id="483932772">
          <w:marLeft w:val="0"/>
          <w:marRight w:val="0"/>
          <w:marTop w:val="0"/>
          <w:marBottom w:val="0"/>
          <w:divBdr>
            <w:top w:val="none" w:sz="0" w:space="0" w:color="auto"/>
            <w:left w:val="none" w:sz="0" w:space="0" w:color="auto"/>
            <w:bottom w:val="none" w:sz="0" w:space="0" w:color="auto"/>
            <w:right w:val="none" w:sz="0" w:space="0" w:color="auto"/>
          </w:divBdr>
          <w:divsChild>
            <w:div w:id="1560940229">
              <w:marLeft w:val="0"/>
              <w:marRight w:val="0"/>
              <w:marTop w:val="0"/>
              <w:marBottom w:val="0"/>
              <w:divBdr>
                <w:top w:val="none" w:sz="0" w:space="0" w:color="auto"/>
                <w:left w:val="none" w:sz="0" w:space="0" w:color="auto"/>
                <w:bottom w:val="none" w:sz="0" w:space="0" w:color="auto"/>
                <w:right w:val="none" w:sz="0" w:space="0" w:color="auto"/>
              </w:divBdr>
              <w:divsChild>
                <w:div w:id="1138231634">
                  <w:marLeft w:val="0"/>
                  <w:marRight w:val="0"/>
                  <w:marTop w:val="0"/>
                  <w:marBottom w:val="0"/>
                  <w:divBdr>
                    <w:top w:val="none" w:sz="0" w:space="0" w:color="auto"/>
                    <w:left w:val="none" w:sz="0" w:space="0" w:color="auto"/>
                    <w:bottom w:val="none" w:sz="0" w:space="0" w:color="auto"/>
                    <w:right w:val="none" w:sz="0" w:space="0" w:color="auto"/>
                  </w:divBdr>
                </w:div>
                <w:div w:id="615865854">
                  <w:marLeft w:val="0"/>
                  <w:marRight w:val="0"/>
                  <w:marTop w:val="0"/>
                  <w:marBottom w:val="0"/>
                  <w:divBdr>
                    <w:top w:val="none" w:sz="0" w:space="0" w:color="auto"/>
                    <w:left w:val="none" w:sz="0" w:space="0" w:color="auto"/>
                    <w:bottom w:val="none" w:sz="0" w:space="0" w:color="auto"/>
                    <w:right w:val="none" w:sz="0" w:space="0" w:color="auto"/>
                  </w:divBdr>
                </w:div>
                <w:div w:id="1798643511">
                  <w:marLeft w:val="0"/>
                  <w:marRight w:val="0"/>
                  <w:marTop w:val="0"/>
                  <w:marBottom w:val="0"/>
                  <w:divBdr>
                    <w:top w:val="none" w:sz="0" w:space="0" w:color="auto"/>
                    <w:left w:val="none" w:sz="0" w:space="0" w:color="auto"/>
                    <w:bottom w:val="none" w:sz="0" w:space="0" w:color="auto"/>
                    <w:right w:val="none" w:sz="0" w:space="0" w:color="auto"/>
                  </w:divBdr>
                </w:div>
                <w:div w:id="68354661">
                  <w:marLeft w:val="0"/>
                  <w:marRight w:val="0"/>
                  <w:marTop w:val="0"/>
                  <w:marBottom w:val="0"/>
                  <w:divBdr>
                    <w:top w:val="none" w:sz="0" w:space="0" w:color="auto"/>
                    <w:left w:val="none" w:sz="0" w:space="0" w:color="auto"/>
                    <w:bottom w:val="none" w:sz="0" w:space="0" w:color="auto"/>
                    <w:right w:val="none" w:sz="0" w:space="0" w:color="auto"/>
                  </w:divBdr>
                </w:div>
                <w:div w:id="1495686990">
                  <w:marLeft w:val="0"/>
                  <w:marRight w:val="0"/>
                  <w:marTop w:val="0"/>
                  <w:marBottom w:val="0"/>
                  <w:divBdr>
                    <w:top w:val="none" w:sz="0" w:space="0" w:color="auto"/>
                    <w:left w:val="none" w:sz="0" w:space="0" w:color="auto"/>
                    <w:bottom w:val="none" w:sz="0" w:space="0" w:color="auto"/>
                    <w:right w:val="none" w:sz="0" w:space="0" w:color="auto"/>
                  </w:divBdr>
                </w:div>
                <w:div w:id="1214388144">
                  <w:marLeft w:val="0"/>
                  <w:marRight w:val="0"/>
                  <w:marTop w:val="0"/>
                  <w:marBottom w:val="0"/>
                  <w:divBdr>
                    <w:top w:val="none" w:sz="0" w:space="0" w:color="auto"/>
                    <w:left w:val="none" w:sz="0" w:space="0" w:color="auto"/>
                    <w:bottom w:val="none" w:sz="0" w:space="0" w:color="auto"/>
                    <w:right w:val="none" w:sz="0" w:space="0" w:color="auto"/>
                  </w:divBdr>
                </w:div>
                <w:div w:id="1556089851">
                  <w:marLeft w:val="0"/>
                  <w:marRight w:val="0"/>
                  <w:marTop w:val="0"/>
                  <w:marBottom w:val="0"/>
                  <w:divBdr>
                    <w:top w:val="none" w:sz="0" w:space="0" w:color="auto"/>
                    <w:left w:val="none" w:sz="0" w:space="0" w:color="auto"/>
                    <w:bottom w:val="none" w:sz="0" w:space="0" w:color="auto"/>
                    <w:right w:val="none" w:sz="0" w:space="0" w:color="auto"/>
                  </w:divBdr>
                </w:div>
                <w:div w:id="410203436">
                  <w:marLeft w:val="0"/>
                  <w:marRight w:val="0"/>
                  <w:marTop w:val="0"/>
                  <w:marBottom w:val="0"/>
                  <w:divBdr>
                    <w:top w:val="none" w:sz="0" w:space="0" w:color="auto"/>
                    <w:left w:val="none" w:sz="0" w:space="0" w:color="auto"/>
                    <w:bottom w:val="none" w:sz="0" w:space="0" w:color="auto"/>
                    <w:right w:val="none" w:sz="0" w:space="0" w:color="auto"/>
                  </w:divBdr>
                </w:div>
                <w:div w:id="12807577">
                  <w:marLeft w:val="0"/>
                  <w:marRight w:val="0"/>
                  <w:marTop w:val="0"/>
                  <w:marBottom w:val="0"/>
                  <w:divBdr>
                    <w:top w:val="none" w:sz="0" w:space="0" w:color="auto"/>
                    <w:left w:val="none" w:sz="0" w:space="0" w:color="auto"/>
                    <w:bottom w:val="none" w:sz="0" w:space="0" w:color="auto"/>
                    <w:right w:val="none" w:sz="0" w:space="0" w:color="auto"/>
                  </w:divBdr>
                </w:div>
                <w:div w:id="1071660670">
                  <w:marLeft w:val="0"/>
                  <w:marRight w:val="0"/>
                  <w:marTop w:val="0"/>
                  <w:marBottom w:val="0"/>
                  <w:divBdr>
                    <w:top w:val="none" w:sz="0" w:space="0" w:color="auto"/>
                    <w:left w:val="none" w:sz="0" w:space="0" w:color="auto"/>
                    <w:bottom w:val="none" w:sz="0" w:space="0" w:color="auto"/>
                    <w:right w:val="none" w:sz="0" w:space="0" w:color="auto"/>
                  </w:divBdr>
                </w:div>
                <w:div w:id="214438433">
                  <w:marLeft w:val="0"/>
                  <w:marRight w:val="0"/>
                  <w:marTop w:val="0"/>
                  <w:marBottom w:val="0"/>
                  <w:divBdr>
                    <w:top w:val="none" w:sz="0" w:space="0" w:color="auto"/>
                    <w:left w:val="none" w:sz="0" w:space="0" w:color="auto"/>
                    <w:bottom w:val="none" w:sz="0" w:space="0" w:color="auto"/>
                    <w:right w:val="none" w:sz="0" w:space="0" w:color="auto"/>
                  </w:divBdr>
                </w:div>
                <w:div w:id="2133162030">
                  <w:marLeft w:val="0"/>
                  <w:marRight w:val="0"/>
                  <w:marTop w:val="0"/>
                  <w:marBottom w:val="0"/>
                  <w:divBdr>
                    <w:top w:val="none" w:sz="0" w:space="0" w:color="auto"/>
                    <w:left w:val="none" w:sz="0" w:space="0" w:color="auto"/>
                    <w:bottom w:val="none" w:sz="0" w:space="0" w:color="auto"/>
                    <w:right w:val="none" w:sz="0" w:space="0" w:color="auto"/>
                  </w:divBdr>
                </w:div>
                <w:div w:id="431249074">
                  <w:marLeft w:val="0"/>
                  <w:marRight w:val="0"/>
                  <w:marTop w:val="0"/>
                  <w:marBottom w:val="0"/>
                  <w:divBdr>
                    <w:top w:val="none" w:sz="0" w:space="0" w:color="auto"/>
                    <w:left w:val="none" w:sz="0" w:space="0" w:color="auto"/>
                    <w:bottom w:val="none" w:sz="0" w:space="0" w:color="auto"/>
                    <w:right w:val="none" w:sz="0" w:space="0" w:color="auto"/>
                  </w:divBdr>
                </w:div>
                <w:div w:id="100688815">
                  <w:marLeft w:val="0"/>
                  <w:marRight w:val="0"/>
                  <w:marTop w:val="0"/>
                  <w:marBottom w:val="0"/>
                  <w:divBdr>
                    <w:top w:val="none" w:sz="0" w:space="0" w:color="auto"/>
                    <w:left w:val="none" w:sz="0" w:space="0" w:color="auto"/>
                    <w:bottom w:val="none" w:sz="0" w:space="0" w:color="auto"/>
                    <w:right w:val="none" w:sz="0" w:space="0" w:color="auto"/>
                  </w:divBdr>
                </w:div>
                <w:div w:id="1134904418">
                  <w:marLeft w:val="0"/>
                  <w:marRight w:val="0"/>
                  <w:marTop w:val="0"/>
                  <w:marBottom w:val="0"/>
                  <w:divBdr>
                    <w:top w:val="none" w:sz="0" w:space="0" w:color="auto"/>
                    <w:left w:val="none" w:sz="0" w:space="0" w:color="auto"/>
                    <w:bottom w:val="none" w:sz="0" w:space="0" w:color="auto"/>
                    <w:right w:val="none" w:sz="0" w:space="0" w:color="auto"/>
                  </w:divBdr>
                </w:div>
                <w:div w:id="2027629391">
                  <w:marLeft w:val="0"/>
                  <w:marRight w:val="0"/>
                  <w:marTop w:val="0"/>
                  <w:marBottom w:val="0"/>
                  <w:divBdr>
                    <w:top w:val="none" w:sz="0" w:space="0" w:color="auto"/>
                    <w:left w:val="none" w:sz="0" w:space="0" w:color="auto"/>
                    <w:bottom w:val="none" w:sz="0" w:space="0" w:color="auto"/>
                    <w:right w:val="none" w:sz="0" w:space="0" w:color="auto"/>
                  </w:divBdr>
                </w:div>
                <w:div w:id="360671530">
                  <w:marLeft w:val="0"/>
                  <w:marRight w:val="0"/>
                  <w:marTop w:val="0"/>
                  <w:marBottom w:val="0"/>
                  <w:divBdr>
                    <w:top w:val="none" w:sz="0" w:space="0" w:color="auto"/>
                    <w:left w:val="none" w:sz="0" w:space="0" w:color="auto"/>
                    <w:bottom w:val="none" w:sz="0" w:space="0" w:color="auto"/>
                    <w:right w:val="none" w:sz="0" w:space="0" w:color="auto"/>
                  </w:divBdr>
                </w:div>
                <w:div w:id="424542330">
                  <w:marLeft w:val="0"/>
                  <w:marRight w:val="0"/>
                  <w:marTop w:val="0"/>
                  <w:marBottom w:val="0"/>
                  <w:divBdr>
                    <w:top w:val="none" w:sz="0" w:space="0" w:color="auto"/>
                    <w:left w:val="none" w:sz="0" w:space="0" w:color="auto"/>
                    <w:bottom w:val="none" w:sz="0" w:space="0" w:color="auto"/>
                    <w:right w:val="none" w:sz="0" w:space="0" w:color="auto"/>
                  </w:divBdr>
                </w:div>
                <w:div w:id="1138107544">
                  <w:marLeft w:val="0"/>
                  <w:marRight w:val="0"/>
                  <w:marTop w:val="0"/>
                  <w:marBottom w:val="0"/>
                  <w:divBdr>
                    <w:top w:val="none" w:sz="0" w:space="0" w:color="auto"/>
                    <w:left w:val="none" w:sz="0" w:space="0" w:color="auto"/>
                    <w:bottom w:val="none" w:sz="0" w:space="0" w:color="auto"/>
                    <w:right w:val="none" w:sz="0" w:space="0" w:color="auto"/>
                  </w:divBdr>
                </w:div>
                <w:div w:id="2046759119">
                  <w:marLeft w:val="0"/>
                  <w:marRight w:val="0"/>
                  <w:marTop w:val="0"/>
                  <w:marBottom w:val="0"/>
                  <w:divBdr>
                    <w:top w:val="none" w:sz="0" w:space="0" w:color="auto"/>
                    <w:left w:val="none" w:sz="0" w:space="0" w:color="auto"/>
                    <w:bottom w:val="none" w:sz="0" w:space="0" w:color="auto"/>
                    <w:right w:val="none" w:sz="0" w:space="0" w:color="auto"/>
                  </w:divBdr>
                </w:div>
                <w:div w:id="1435050665">
                  <w:marLeft w:val="0"/>
                  <w:marRight w:val="0"/>
                  <w:marTop w:val="0"/>
                  <w:marBottom w:val="0"/>
                  <w:divBdr>
                    <w:top w:val="none" w:sz="0" w:space="0" w:color="auto"/>
                    <w:left w:val="none" w:sz="0" w:space="0" w:color="auto"/>
                    <w:bottom w:val="none" w:sz="0" w:space="0" w:color="auto"/>
                    <w:right w:val="none" w:sz="0" w:space="0" w:color="auto"/>
                  </w:divBdr>
                </w:div>
                <w:div w:id="930578222">
                  <w:marLeft w:val="0"/>
                  <w:marRight w:val="0"/>
                  <w:marTop w:val="0"/>
                  <w:marBottom w:val="0"/>
                  <w:divBdr>
                    <w:top w:val="none" w:sz="0" w:space="0" w:color="auto"/>
                    <w:left w:val="none" w:sz="0" w:space="0" w:color="auto"/>
                    <w:bottom w:val="none" w:sz="0" w:space="0" w:color="auto"/>
                    <w:right w:val="none" w:sz="0" w:space="0" w:color="auto"/>
                  </w:divBdr>
                </w:div>
                <w:div w:id="981693196">
                  <w:marLeft w:val="0"/>
                  <w:marRight w:val="0"/>
                  <w:marTop w:val="0"/>
                  <w:marBottom w:val="0"/>
                  <w:divBdr>
                    <w:top w:val="none" w:sz="0" w:space="0" w:color="auto"/>
                    <w:left w:val="none" w:sz="0" w:space="0" w:color="auto"/>
                    <w:bottom w:val="none" w:sz="0" w:space="0" w:color="auto"/>
                    <w:right w:val="none" w:sz="0" w:space="0" w:color="auto"/>
                  </w:divBdr>
                </w:div>
                <w:div w:id="1212115600">
                  <w:marLeft w:val="0"/>
                  <w:marRight w:val="0"/>
                  <w:marTop w:val="0"/>
                  <w:marBottom w:val="0"/>
                  <w:divBdr>
                    <w:top w:val="none" w:sz="0" w:space="0" w:color="auto"/>
                    <w:left w:val="none" w:sz="0" w:space="0" w:color="auto"/>
                    <w:bottom w:val="none" w:sz="0" w:space="0" w:color="auto"/>
                    <w:right w:val="none" w:sz="0" w:space="0" w:color="auto"/>
                  </w:divBdr>
                </w:div>
                <w:div w:id="1019428318">
                  <w:marLeft w:val="0"/>
                  <w:marRight w:val="0"/>
                  <w:marTop w:val="0"/>
                  <w:marBottom w:val="0"/>
                  <w:divBdr>
                    <w:top w:val="none" w:sz="0" w:space="0" w:color="auto"/>
                    <w:left w:val="none" w:sz="0" w:space="0" w:color="auto"/>
                    <w:bottom w:val="none" w:sz="0" w:space="0" w:color="auto"/>
                    <w:right w:val="none" w:sz="0" w:space="0" w:color="auto"/>
                  </w:divBdr>
                </w:div>
                <w:div w:id="425805243">
                  <w:marLeft w:val="0"/>
                  <w:marRight w:val="0"/>
                  <w:marTop w:val="0"/>
                  <w:marBottom w:val="0"/>
                  <w:divBdr>
                    <w:top w:val="none" w:sz="0" w:space="0" w:color="auto"/>
                    <w:left w:val="none" w:sz="0" w:space="0" w:color="auto"/>
                    <w:bottom w:val="none" w:sz="0" w:space="0" w:color="auto"/>
                    <w:right w:val="none" w:sz="0" w:space="0" w:color="auto"/>
                  </w:divBdr>
                </w:div>
                <w:div w:id="1114058205">
                  <w:marLeft w:val="0"/>
                  <w:marRight w:val="0"/>
                  <w:marTop w:val="0"/>
                  <w:marBottom w:val="0"/>
                  <w:divBdr>
                    <w:top w:val="none" w:sz="0" w:space="0" w:color="auto"/>
                    <w:left w:val="none" w:sz="0" w:space="0" w:color="auto"/>
                    <w:bottom w:val="none" w:sz="0" w:space="0" w:color="auto"/>
                    <w:right w:val="none" w:sz="0" w:space="0" w:color="auto"/>
                  </w:divBdr>
                </w:div>
                <w:div w:id="2144345189">
                  <w:marLeft w:val="0"/>
                  <w:marRight w:val="0"/>
                  <w:marTop w:val="0"/>
                  <w:marBottom w:val="0"/>
                  <w:divBdr>
                    <w:top w:val="none" w:sz="0" w:space="0" w:color="auto"/>
                    <w:left w:val="none" w:sz="0" w:space="0" w:color="auto"/>
                    <w:bottom w:val="none" w:sz="0" w:space="0" w:color="auto"/>
                    <w:right w:val="none" w:sz="0" w:space="0" w:color="auto"/>
                  </w:divBdr>
                </w:div>
                <w:div w:id="1692292599">
                  <w:marLeft w:val="0"/>
                  <w:marRight w:val="0"/>
                  <w:marTop w:val="0"/>
                  <w:marBottom w:val="0"/>
                  <w:divBdr>
                    <w:top w:val="none" w:sz="0" w:space="0" w:color="auto"/>
                    <w:left w:val="none" w:sz="0" w:space="0" w:color="auto"/>
                    <w:bottom w:val="none" w:sz="0" w:space="0" w:color="auto"/>
                    <w:right w:val="none" w:sz="0" w:space="0" w:color="auto"/>
                  </w:divBdr>
                </w:div>
                <w:div w:id="391075400">
                  <w:marLeft w:val="0"/>
                  <w:marRight w:val="0"/>
                  <w:marTop w:val="0"/>
                  <w:marBottom w:val="0"/>
                  <w:divBdr>
                    <w:top w:val="none" w:sz="0" w:space="0" w:color="auto"/>
                    <w:left w:val="none" w:sz="0" w:space="0" w:color="auto"/>
                    <w:bottom w:val="none" w:sz="0" w:space="0" w:color="auto"/>
                    <w:right w:val="none" w:sz="0" w:space="0" w:color="auto"/>
                  </w:divBdr>
                </w:div>
                <w:div w:id="438987312">
                  <w:marLeft w:val="0"/>
                  <w:marRight w:val="0"/>
                  <w:marTop w:val="0"/>
                  <w:marBottom w:val="0"/>
                  <w:divBdr>
                    <w:top w:val="none" w:sz="0" w:space="0" w:color="auto"/>
                    <w:left w:val="none" w:sz="0" w:space="0" w:color="auto"/>
                    <w:bottom w:val="none" w:sz="0" w:space="0" w:color="auto"/>
                    <w:right w:val="none" w:sz="0" w:space="0" w:color="auto"/>
                  </w:divBdr>
                </w:div>
                <w:div w:id="1630552995">
                  <w:marLeft w:val="0"/>
                  <w:marRight w:val="0"/>
                  <w:marTop w:val="0"/>
                  <w:marBottom w:val="0"/>
                  <w:divBdr>
                    <w:top w:val="none" w:sz="0" w:space="0" w:color="auto"/>
                    <w:left w:val="none" w:sz="0" w:space="0" w:color="auto"/>
                    <w:bottom w:val="none" w:sz="0" w:space="0" w:color="auto"/>
                    <w:right w:val="none" w:sz="0" w:space="0" w:color="auto"/>
                  </w:divBdr>
                </w:div>
                <w:div w:id="1860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93/alcalc/agv127" TargetMode="External"/><Relationship Id="rId18" Type="http://schemas.openxmlformats.org/officeDocument/2006/relationships/hyperlink" Target="https://doi.org/10.15288/jsa.1992.53.476" TargetMode="External"/><Relationship Id="rId26" Type="http://schemas.openxmlformats.org/officeDocument/2006/relationships/hyperlink" Target="https://doi.org/10.1016/j.addbeh.2010.08.013" TargetMode="External"/><Relationship Id="rId3" Type="http://schemas.openxmlformats.org/officeDocument/2006/relationships/settings" Target="settings.xml"/><Relationship Id="rId21" Type="http://schemas.openxmlformats.org/officeDocument/2006/relationships/hyperlink" Target="https://doi.org/10.1111/j.1530-0277.1998.tb04368.x" TargetMode="External"/><Relationship Id="rId7" Type="http://schemas.openxmlformats.org/officeDocument/2006/relationships/image" Target="media/image3.png"/><Relationship Id="rId12" Type="http://schemas.openxmlformats.org/officeDocument/2006/relationships/hyperlink" Target="https://doi.org/10.1177/0269881113512038" TargetMode="External"/><Relationship Id="rId17" Type="http://schemas.openxmlformats.org/officeDocument/2006/relationships/hyperlink" Target="https://doi.org/10.1186/s12889-015-1542-7" TargetMode="External"/><Relationship Id="rId25" Type="http://schemas.openxmlformats.org/officeDocument/2006/relationships/hyperlink" Target="https://doi.org/10.15288/jsa.1995.56.168" TargetMode="External"/><Relationship Id="rId2" Type="http://schemas.openxmlformats.org/officeDocument/2006/relationships/styles" Target="styles.xml"/><Relationship Id="rId16" Type="http://schemas.openxmlformats.org/officeDocument/2006/relationships/hyperlink" Target="https://doi.org/10.1038/s41598-018-22420-8" TargetMode="External"/><Relationship Id="rId20" Type="http://schemas.openxmlformats.org/officeDocument/2006/relationships/hyperlink" Target="https://doi.org/10.1016/j.addbeh.2004.04.022" TargetMode="External"/><Relationship Id="rId29" Type="http://schemas.openxmlformats.org/officeDocument/2006/relationships/hyperlink" Target="https://doi.org/10.17605/OSF.IO/7WE4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S2468-2667(19)30231-2" TargetMode="External"/><Relationship Id="rId24" Type="http://schemas.openxmlformats.org/officeDocument/2006/relationships/hyperlink" Target="https://doi.org/10.1111/add.13373"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1136/bmj.e8501" TargetMode="External"/><Relationship Id="rId23" Type="http://schemas.openxmlformats.org/officeDocument/2006/relationships/hyperlink" Target="https://doi.org/10.1186/1471-2458-14-1297" TargetMode="External"/><Relationship Id="rId28" Type="http://schemas.openxmlformats.org/officeDocument/2006/relationships/hyperlink" Target="https://doi.org/10.2307/2531595" TargetMode="External"/><Relationship Id="rId10" Type="http://schemas.openxmlformats.org/officeDocument/2006/relationships/image" Target="media/image6.png"/><Relationship Id="rId19" Type="http://schemas.openxmlformats.org/officeDocument/2006/relationships/hyperlink" Target="https://doi.org/10.1016/S0899-3289(00)00039-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3922/j.psns.2009.1.12" TargetMode="External"/><Relationship Id="rId22" Type="http://schemas.openxmlformats.org/officeDocument/2006/relationships/hyperlink" Target="https://doi.org/10.5255/UKDA-SN-7260-1" TargetMode="External"/><Relationship Id="rId27" Type="http://schemas.openxmlformats.org/officeDocument/2006/relationships/hyperlink" Target="https://doi.org/10.15288/jsa.2003.64.733" TargetMode="External"/><Relationship Id="rId30" Type="http://schemas.openxmlformats.org/officeDocument/2006/relationships/hyperlink" Target="https://doi.org/10.1111/j.1465-3362.2010.0022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5824</Words>
  <Characters>33198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Concurrent validity of an Estimator of Weekly Alcohol Consumption (EWAC) based on the Extended AUDIT</vt:lpstr>
    </vt:vector>
  </TitlesOfParts>
  <Company>University College London</Company>
  <LinksUpToDate>false</LinksUpToDate>
  <CharactersWithSpaces>38945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validity of an Estimator of Weekly Alcohol Consumption (EWAC) based on the Extended AUDIT</dc:title>
  <dc:subject/>
  <dc:creator>Peter Dutey-Magni</dc:creator>
  <cp:keywords/>
  <dc:description/>
  <cp:lastModifiedBy>Peter Dutey-Magni</cp:lastModifiedBy>
  <cp:revision>7</cp:revision>
  <dcterms:created xsi:type="dcterms:W3CDTF">2020-02-10T12:49:00Z</dcterms:created>
  <dcterms:modified xsi:type="dcterms:W3CDTF">2020-02-10T13:00:00Z</dcterms:modified>
</cp:coreProperties>
</file>