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F3AD" w14:textId="22C65F78" w:rsidR="0045779B" w:rsidRPr="0045779B" w:rsidRDefault="0045779B" w:rsidP="0045779B">
      <w:pPr>
        <w:rPr>
          <w:rFonts w:eastAsia="Times New Roman"/>
          <w:b/>
          <w:bCs/>
          <w:caps/>
          <w:lang w:val="nl-NL"/>
        </w:rPr>
      </w:pPr>
      <w:r w:rsidRPr="0045779B">
        <w:rPr>
          <w:rFonts w:eastAsia="Times New Roman"/>
          <w:b/>
          <w:bCs/>
          <w:caps/>
          <w:shd w:val="clear" w:color="auto" w:fill="FFFFFF"/>
          <w:lang w:val="nl-NL"/>
        </w:rPr>
        <w:t>RESULTATEN SALARISONDERZOEK VASTGOED EN MAKELAARDIJ 202</w:t>
      </w:r>
      <w:r>
        <w:rPr>
          <w:rFonts w:eastAsia="Times New Roman"/>
          <w:b/>
          <w:bCs/>
          <w:caps/>
          <w:shd w:val="clear" w:color="auto" w:fill="FFFFFF"/>
          <w:lang w:val="nl-NL"/>
        </w:rPr>
        <w:t>1</w:t>
      </w:r>
    </w:p>
    <w:p w14:paraId="3D4C0C57" w14:textId="7509CF56" w:rsidR="0045779B" w:rsidRPr="0045779B" w:rsidRDefault="0045779B" w:rsidP="0045779B">
      <w:pPr>
        <w:rPr>
          <w:rFonts w:eastAsia="Times New Roman"/>
          <w:lang w:val="nl-NL"/>
        </w:rPr>
      </w:pPr>
      <w:r w:rsidRPr="0045779B">
        <w:rPr>
          <w:rFonts w:eastAsia="Times New Roman"/>
          <w:lang w:val="nl-NL"/>
        </w:rPr>
        <w:t xml:space="preserve">De drukte op de woningmarkt zorgt ervoor dat makelaarsbranche enorm in beweging is. De prijzen en de verkoopaantallen van huizen stijgen nog steeds en verwacht wordt dat deze curve zich in </w:t>
      </w:r>
      <w:r>
        <w:rPr>
          <w:rFonts w:eastAsia="Times New Roman"/>
          <w:lang w:val="nl-NL"/>
        </w:rPr>
        <w:t>2021</w:t>
      </w:r>
      <w:r w:rsidRPr="0045779B">
        <w:rPr>
          <w:rFonts w:eastAsia="Times New Roman"/>
          <w:lang w:val="nl-NL"/>
        </w:rPr>
        <w:t xml:space="preserve"> doorzet. De woningprijzen stijgen, maar hoe zit het anno </w:t>
      </w:r>
      <w:r>
        <w:rPr>
          <w:rFonts w:eastAsia="Times New Roman"/>
          <w:lang w:val="nl-NL"/>
        </w:rPr>
        <w:t>2021</w:t>
      </w:r>
      <w:r w:rsidRPr="0045779B">
        <w:rPr>
          <w:rFonts w:eastAsia="Times New Roman"/>
          <w:lang w:val="nl-NL"/>
        </w:rPr>
        <w:t xml:space="preserve"> met het salaris van een Nederlandse makelaar? 2B </w:t>
      </w:r>
      <w:proofErr w:type="spellStart"/>
      <w:r w:rsidRPr="0045779B">
        <w:rPr>
          <w:rFonts w:eastAsia="Times New Roman"/>
          <w:lang w:val="nl-NL"/>
        </w:rPr>
        <w:t>Connected</w:t>
      </w:r>
      <w:proofErr w:type="spellEnd"/>
      <w:r w:rsidRPr="0045779B">
        <w:rPr>
          <w:rFonts w:eastAsia="Times New Roman"/>
          <w:lang w:val="nl-NL"/>
        </w:rPr>
        <w:t xml:space="preserve"> heeft onderzoek gedaan naar het beloningsbeleid binnen de makelaardij sector. In deze blog bespreken we de resultaten op het gebied van salarisverschillen, maar ook voor welk bedrag een makelaar zou overstappen naar een ander kantoor en wat deze cijfers voor jou als makelaar kunnen betekenen.</w:t>
      </w:r>
    </w:p>
    <w:p w14:paraId="29822CF0" w14:textId="3D0D79FC" w:rsidR="0045779B" w:rsidRPr="0045779B" w:rsidRDefault="0045779B" w:rsidP="0045779B">
      <w:pPr>
        <w:rPr>
          <w:rFonts w:eastAsia="Times New Roman"/>
          <w:lang w:val="en-US"/>
        </w:rPr>
      </w:pPr>
      <w:r w:rsidRPr="0045779B">
        <w:rPr>
          <w:rFonts w:eastAsia="Times New Roman"/>
          <w:lang w:val="nl-NL"/>
        </w:rPr>
        <w:t>Het </w:t>
      </w:r>
      <w:hyperlink r:id="rId4" w:history="1">
        <w:r w:rsidRPr="0045779B">
          <w:rPr>
            <w:rFonts w:eastAsia="Times New Roman"/>
            <w:u w:val="single"/>
            <w:lang w:val="nl-NL"/>
          </w:rPr>
          <w:t>onderzoek</w:t>
        </w:r>
      </w:hyperlink>
      <w:r w:rsidRPr="0045779B">
        <w:rPr>
          <w:rFonts w:eastAsia="Times New Roman"/>
          <w:lang w:val="nl-NL"/>
        </w:rPr>
        <w:t xml:space="preserve"> van 2B </w:t>
      </w:r>
      <w:proofErr w:type="spellStart"/>
      <w:r w:rsidRPr="0045779B">
        <w:rPr>
          <w:rFonts w:eastAsia="Times New Roman"/>
          <w:lang w:val="nl-NL"/>
        </w:rPr>
        <w:t>Connected</w:t>
      </w:r>
      <w:proofErr w:type="spellEnd"/>
      <w:r w:rsidRPr="0045779B">
        <w:rPr>
          <w:rFonts w:eastAsia="Times New Roman"/>
          <w:lang w:val="nl-NL"/>
        </w:rPr>
        <w:t xml:space="preserve"> bestaat uit een vragenlijst die is ingevuld door </w:t>
      </w:r>
      <w:r>
        <w:rPr>
          <w:rFonts w:eastAsia="Times New Roman"/>
          <w:lang w:val="nl-NL"/>
        </w:rPr>
        <w:t>314</w:t>
      </w:r>
      <w:r w:rsidRPr="0045779B">
        <w:rPr>
          <w:rFonts w:eastAsia="Times New Roman"/>
          <w:lang w:val="nl-NL"/>
        </w:rPr>
        <w:t xml:space="preserve"> makelaars, actief in zowel woningmakelaardij als – in mindere mate – BOG. ‘Doel van het onderzoek is geweest om inzicht te krijgen in de verschillen in beloning die makelaars ontvangen voor hun diensten’, legt directeur </w:t>
      </w:r>
      <w:proofErr w:type="spellStart"/>
      <w:r w:rsidRPr="0045779B">
        <w:rPr>
          <w:rFonts w:eastAsia="Times New Roman"/>
          <w:lang w:val="nl-NL"/>
        </w:rPr>
        <w:t>Olof</w:t>
      </w:r>
      <w:proofErr w:type="spellEnd"/>
      <w:r w:rsidRPr="0045779B">
        <w:rPr>
          <w:rFonts w:eastAsia="Times New Roman"/>
          <w:lang w:val="nl-NL"/>
        </w:rPr>
        <w:t xml:space="preserve"> Raas uit. ‘We willen antwoord kunnen geven op de vraag wat de makelaar zelf nu precies belangrijk vindt binnen zijn werk. Dergelijk onderzoek is niet eerder uitgevoerd, dit is dus voor het eerst dat hier cijfers over naar voren komen.’ </w:t>
      </w:r>
      <w:r w:rsidRPr="0045779B">
        <w:rPr>
          <w:rFonts w:eastAsia="Times New Roman"/>
          <w:lang w:val="en-US"/>
        </w:rPr>
        <w:t xml:space="preserve">De </w:t>
      </w:r>
      <w:proofErr w:type="spellStart"/>
      <w:r w:rsidRPr="0045779B">
        <w:rPr>
          <w:rFonts w:eastAsia="Times New Roman"/>
          <w:lang w:val="en-US"/>
        </w:rPr>
        <w:t>functies</w:t>
      </w:r>
      <w:proofErr w:type="spellEnd"/>
      <w:r w:rsidRPr="0045779B">
        <w:rPr>
          <w:rFonts w:eastAsia="Times New Roman"/>
          <w:lang w:val="en-US"/>
        </w:rPr>
        <w:t xml:space="preserve"> van de </w:t>
      </w:r>
      <w:r>
        <w:rPr>
          <w:rFonts w:eastAsia="Times New Roman"/>
          <w:lang w:val="en-US"/>
        </w:rPr>
        <w:t>314</w:t>
      </w:r>
      <w:r w:rsidRPr="0045779B">
        <w:rPr>
          <w:rFonts w:eastAsia="Times New Roman"/>
          <w:lang w:val="en-US"/>
        </w:rPr>
        <w:t xml:space="preserve"> </w:t>
      </w:r>
      <w:proofErr w:type="spellStart"/>
      <w:r w:rsidRPr="0045779B">
        <w:rPr>
          <w:rFonts w:eastAsia="Times New Roman"/>
          <w:lang w:val="en-US"/>
        </w:rPr>
        <w:t>respondenten</w:t>
      </w:r>
      <w:proofErr w:type="spellEnd"/>
      <w:r w:rsidRPr="0045779B">
        <w:rPr>
          <w:rFonts w:eastAsia="Times New Roman"/>
          <w:lang w:val="en-US"/>
        </w:rPr>
        <w:t xml:space="preserve"> </w:t>
      </w:r>
      <w:proofErr w:type="spellStart"/>
      <w:r w:rsidRPr="0045779B">
        <w:rPr>
          <w:rFonts w:eastAsia="Times New Roman"/>
          <w:lang w:val="en-US"/>
        </w:rPr>
        <w:t>vind</w:t>
      </w:r>
      <w:proofErr w:type="spellEnd"/>
      <w:r w:rsidRPr="0045779B">
        <w:rPr>
          <w:rFonts w:eastAsia="Times New Roman"/>
          <w:lang w:val="en-US"/>
        </w:rPr>
        <w:t xml:space="preserve"> je </w:t>
      </w:r>
      <w:proofErr w:type="spellStart"/>
      <w:r w:rsidRPr="0045779B">
        <w:rPr>
          <w:rFonts w:eastAsia="Times New Roman"/>
          <w:lang w:val="en-US"/>
        </w:rPr>
        <w:t>hieronder</w:t>
      </w:r>
      <w:proofErr w:type="spellEnd"/>
      <w:r w:rsidRPr="0045779B">
        <w:rPr>
          <w:rFonts w:eastAsia="Times New Roman"/>
          <w:lang w:val="en-US"/>
        </w:rPr>
        <w:t>.</w:t>
      </w:r>
    </w:p>
    <w:p w14:paraId="08FD5464" w14:textId="77777777" w:rsidR="0045779B" w:rsidRPr="0045779B" w:rsidRDefault="0045779B" w:rsidP="0045779B">
      <w:pPr>
        <w:rPr>
          <w:lang w:val="nl-NL"/>
        </w:rPr>
      </w:pPr>
    </w:p>
    <w:p w14:paraId="287AD268" w14:textId="3440672B" w:rsidR="00796CA3" w:rsidRPr="0045779B" w:rsidRDefault="00796CA3" w:rsidP="0045779B">
      <w:pPr>
        <w:rPr>
          <w:i/>
          <w:iCs/>
          <w:lang w:val="nl-NL"/>
        </w:rPr>
      </w:pPr>
      <w:r w:rsidRPr="0045779B">
        <w:rPr>
          <w:i/>
          <w:iCs/>
          <w:lang w:val="nl-NL"/>
        </w:rPr>
        <w:t>Vraag 1: Functie</w:t>
      </w:r>
    </w:p>
    <w:p w14:paraId="25C2BA0F" w14:textId="19228E77" w:rsidR="00A8261F" w:rsidRPr="0045779B" w:rsidRDefault="00A8261F" w:rsidP="0045779B">
      <w:pPr>
        <w:rPr>
          <w:lang w:val="nl-NL"/>
        </w:rPr>
      </w:pPr>
      <w:r w:rsidRPr="0045779B">
        <w:rPr>
          <w:lang w:val="nl-NL"/>
        </w:rPr>
        <w:t>Verdeling functies binnen onderzoek</w:t>
      </w:r>
    </w:p>
    <w:p w14:paraId="77E08C30" w14:textId="77777777" w:rsidR="008C4844" w:rsidRPr="0045779B" w:rsidRDefault="00DD2B22" w:rsidP="0045779B">
      <w:pPr>
        <w:rPr>
          <w:i/>
          <w:iCs/>
          <w:lang w:val="nl-NL"/>
        </w:rPr>
      </w:pPr>
      <w:r w:rsidRPr="0045779B">
        <w:rPr>
          <w:noProof/>
          <w:lang w:val="en-GB"/>
        </w:rPr>
        <w:drawing>
          <wp:inline distT="0" distB="0" distL="0" distR="0" wp14:anchorId="2CA2899D" wp14:editId="6249DC06">
            <wp:extent cx="5731510" cy="3479165"/>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C4BCD8" w14:textId="464C7459" w:rsidR="008C4844" w:rsidRPr="0045779B" w:rsidRDefault="008C4844" w:rsidP="0045779B">
      <w:pPr>
        <w:rPr>
          <w:i/>
          <w:iCs/>
          <w:lang w:val="nl-NL"/>
        </w:rPr>
      </w:pPr>
    </w:p>
    <w:p w14:paraId="7E185B49" w14:textId="07730160" w:rsidR="0075528A" w:rsidRPr="0045779B" w:rsidRDefault="0075528A" w:rsidP="0045779B">
      <w:pPr>
        <w:rPr>
          <w:i/>
          <w:iCs/>
          <w:lang w:val="nl-NL"/>
        </w:rPr>
      </w:pPr>
      <w:r w:rsidRPr="0045779B">
        <w:rPr>
          <w:i/>
          <w:iCs/>
          <w:lang w:val="nl-NL"/>
        </w:rPr>
        <w:br w:type="page"/>
      </w:r>
    </w:p>
    <w:p w14:paraId="1F22A306" w14:textId="00E31F0F" w:rsidR="006A6A8B" w:rsidRPr="0045779B" w:rsidRDefault="00932DA6" w:rsidP="0045779B">
      <w:pPr>
        <w:rPr>
          <w:lang w:val="nl-NL"/>
        </w:rPr>
      </w:pPr>
      <w:r w:rsidRPr="0045779B">
        <w:rPr>
          <w:i/>
          <w:iCs/>
          <w:lang w:val="nl-NL"/>
        </w:rPr>
        <w:lastRenderedPageBreak/>
        <w:t xml:space="preserve">Vraag 2: </w:t>
      </w:r>
      <w:r w:rsidR="006A6A8B" w:rsidRPr="0045779B">
        <w:rPr>
          <w:i/>
          <w:iCs/>
          <w:lang w:val="nl-NL"/>
        </w:rPr>
        <w:t xml:space="preserve">Aantal werkuren per week </w:t>
      </w:r>
    </w:p>
    <w:p w14:paraId="4AA2B7A8" w14:textId="7EBAFC2A" w:rsidR="00932DA6" w:rsidRPr="0045779B" w:rsidRDefault="006A6A8B" w:rsidP="0045779B">
      <w:pPr>
        <w:rPr>
          <w:lang w:val="nl-NL"/>
        </w:rPr>
      </w:pPr>
      <w:r w:rsidRPr="0045779B">
        <w:rPr>
          <w:lang w:val="nl-NL"/>
        </w:rPr>
        <w:t>Het gemiddeld aantal werkuren per week</w:t>
      </w:r>
      <w:r w:rsidR="0045779B">
        <w:rPr>
          <w:lang w:val="nl-NL"/>
        </w:rPr>
        <w:t>,</w:t>
      </w:r>
      <w:r w:rsidRPr="0045779B">
        <w:rPr>
          <w:lang w:val="nl-NL"/>
        </w:rPr>
        <w:t xml:space="preserve"> </w:t>
      </w:r>
      <w:r w:rsidR="0045779B">
        <w:rPr>
          <w:lang w:val="nl-NL"/>
        </w:rPr>
        <w:t xml:space="preserve">van een makelaar professional, </w:t>
      </w:r>
      <w:r w:rsidRPr="0045779B">
        <w:rPr>
          <w:lang w:val="nl-NL"/>
        </w:rPr>
        <w:t>was 38,</w:t>
      </w:r>
      <w:r w:rsidR="009E1732" w:rsidRPr="0045779B">
        <w:rPr>
          <w:lang w:val="nl-NL"/>
        </w:rPr>
        <w:t>5</w:t>
      </w:r>
      <w:r w:rsidRPr="0045779B">
        <w:rPr>
          <w:lang w:val="nl-NL"/>
        </w:rPr>
        <w:t>6</w:t>
      </w:r>
      <w:r w:rsidR="0045779B">
        <w:rPr>
          <w:lang w:val="nl-NL"/>
        </w:rPr>
        <w:t xml:space="preserve"> uur.</w:t>
      </w:r>
    </w:p>
    <w:p w14:paraId="14143C4C" w14:textId="5BD46194" w:rsidR="007A13FA" w:rsidRPr="0045779B" w:rsidRDefault="00B31A9A" w:rsidP="0045779B">
      <w:pPr>
        <w:rPr>
          <w:lang w:val="nl-NL"/>
        </w:rPr>
      </w:pPr>
      <w:r w:rsidRPr="0045779B">
        <w:rPr>
          <w:lang w:val="nl-NL"/>
        </w:rPr>
        <w:t xml:space="preserve">Opvallend is dat </w:t>
      </w:r>
      <w:r w:rsidR="0045779B" w:rsidRPr="0045779B">
        <w:rPr>
          <w:lang w:val="nl-NL"/>
        </w:rPr>
        <w:t>liefst</w:t>
      </w:r>
      <w:r w:rsidRPr="0045779B">
        <w:rPr>
          <w:lang w:val="nl-NL"/>
        </w:rPr>
        <w:t xml:space="preserve"> 1</w:t>
      </w:r>
      <w:r w:rsidR="009E1732" w:rsidRPr="0045779B">
        <w:rPr>
          <w:lang w:val="nl-NL"/>
        </w:rPr>
        <w:t>9</w:t>
      </w:r>
      <w:r w:rsidRPr="0045779B">
        <w:rPr>
          <w:lang w:val="nl-NL"/>
        </w:rPr>
        <w:t>% aangeeft gemiddeld meer dan 40 uur per week te werken waarvan zelf 1</w:t>
      </w:r>
      <w:r w:rsidR="009E1732" w:rsidRPr="0045779B">
        <w:rPr>
          <w:lang w:val="nl-NL"/>
        </w:rPr>
        <w:t>1</w:t>
      </w:r>
      <w:r w:rsidRPr="0045779B">
        <w:rPr>
          <w:lang w:val="nl-NL"/>
        </w:rPr>
        <w:t xml:space="preserve">% gemiddeld meer dan 48 uur per week te werken. </w:t>
      </w:r>
      <w:r w:rsidR="009E1732" w:rsidRPr="0045779B">
        <w:rPr>
          <w:lang w:val="nl-NL"/>
        </w:rPr>
        <w:t xml:space="preserve"> </w:t>
      </w:r>
    </w:p>
    <w:p w14:paraId="7EF0AE95" w14:textId="7AF533FC" w:rsidR="007A13FA" w:rsidRPr="0045779B" w:rsidRDefault="007A13FA" w:rsidP="0045779B">
      <w:pPr>
        <w:rPr>
          <w:lang w:val="nl-NL"/>
        </w:rPr>
      </w:pPr>
      <w:r w:rsidRPr="0045779B">
        <w:rPr>
          <w:noProof/>
          <w:lang w:val="en-GB"/>
        </w:rPr>
        <w:drawing>
          <wp:inline distT="0" distB="0" distL="0" distR="0" wp14:anchorId="627C948F" wp14:editId="78BAB1C1">
            <wp:extent cx="5731510" cy="3052652"/>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8A5B90" w14:textId="7DB0644C" w:rsidR="00A04E9A" w:rsidRPr="0045779B" w:rsidRDefault="00A04E9A" w:rsidP="0045779B">
      <w:pPr>
        <w:rPr>
          <w:i/>
          <w:iCs/>
          <w:lang w:val="nl-NL"/>
        </w:rPr>
      </w:pPr>
      <w:r w:rsidRPr="0045779B">
        <w:rPr>
          <w:i/>
          <w:iCs/>
          <w:lang w:val="nl-NL"/>
        </w:rPr>
        <w:t>Vraag 3 aantal</w:t>
      </w:r>
      <w:r w:rsidR="0045779B">
        <w:rPr>
          <w:i/>
          <w:iCs/>
          <w:lang w:val="nl-NL"/>
        </w:rPr>
        <w:t xml:space="preserve"> </w:t>
      </w:r>
      <w:r w:rsidRPr="0045779B">
        <w:rPr>
          <w:i/>
          <w:iCs/>
          <w:lang w:val="nl-NL"/>
        </w:rPr>
        <w:t>jaren ervaring:</w:t>
      </w:r>
    </w:p>
    <w:p w14:paraId="7F22BDFF" w14:textId="4A5CB3CD" w:rsidR="00A04E9A" w:rsidRPr="0045779B" w:rsidRDefault="00A04E9A" w:rsidP="0045779B">
      <w:pPr>
        <w:rPr>
          <w:lang w:val="nl-NL"/>
        </w:rPr>
      </w:pPr>
      <w:r w:rsidRPr="0045779B">
        <w:rPr>
          <w:lang w:val="nl-NL"/>
        </w:rPr>
        <w:t xml:space="preserve">Gemiddeld hadden </w:t>
      </w:r>
      <w:r w:rsidR="0045779B" w:rsidRPr="0045779B">
        <w:rPr>
          <w:lang w:val="nl-NL"/>
        </w:rPr>
        <w:t xml:space="preserve">de </w:t>
      </w:r>
      <w:r w:rsidR="0045779B">
        <w:rPr>
          <w:lang w:val="nl-NL"/>
        </w:rPr>
        <w:t>deelnemers</w:t>
      </w:r>
      <w:r w:rsidR="0045779B" w:rsidRPr="0045779B">
        <w:rPr>
          <w:lang w:val="nl-NL"/>
        </w:rPr>
        <w:t xml:space="preserve"> </w:t>
      </w:r>
      <w:r w:rsidRPr="0045779B">
        <w:rPr>
          <w:lang w:val="nl-NL"/>
        </w:rPr>
        <w:t>6 jaar ervarin</w:t>
      </w:r>
      <w:r w:rsidR="0045779B">
        <w:rPr>
          <w:lang w:val="nl-NL"/>
        </w:rPr>
        <w:t>g</w:t>
      </w:r>
      <w:r w:rsidRPr="0045779B">
        <w:rPr>
          <w:lang w:val="nl-NL"/>
        </w:rPr>
        <w:t xml:space="preserve">. We zien dat he overgrote deel van de </w:t>
      </w:r>
      <w:r w:rsidR="0045779B">
        <w:rPr>
          <w:lang w:val="nl-NL"/>
        </w:rPr>
        <w:t>makelaar professionals</w:t>
      </w:r>
      <w:r w:rsidRPr="0045779B">
        <w:rPr>
          <w:lang w:val="nl-NL"/>
        </w:rPr>
        <w:t xml:space="preserve"> minder dan 5 jaar werkzaam </w:t>
      </w:r>
      <w:r w:rsidR="00B5216A" w:rsidRPr="0045779B">
        <w:rPr>
          <w:lang w:val="nl-NL"/>
        </w:rPr>
        <w:t>is</w:t>
      </w:r>
      <w:r w:rsidRPr="0045779B">
        <w:rPr>
          <w:lang w:val="nl-NL"/>
        </w:rPr>
        <w:t xml:space="preserve"> in de bran</w:t>
      </w:r>
      <w:r w:rsidR="002A415F" w:rsidRPr="0045779B">
        <w:rPr>
          <w:lang w:val="nl-NL"/>
        </w:rPr>
        <w:t>ch</w:t>
      </w:r>
      <w:r w:rsidRPr="0045779B">
        <w:rPr>
          <w:lang w:val="nl-NL"/>
        </w:rPr>
        <w:t xml:space="preserve">e terwijl ongeveer een kwart van </w:t>
      </w:r>
      <w:r w:rsidR="0045779B" w:rsidRPr="0045779B">
        <w:rPr>
          <w:lang w:val="nl-NL"/>
        </w:rPr>
        <w:t xml:space="preserve">de </w:t>
      </w:r>
      <w:r w:rsidR="0045779B">
        <w:rPr>
          <w:lang w:val="nl-NL"/>
        </w:rPr>
        <w:t>makelaar professionals</w:t>
      </w:r>
      <w:r w:rsidR="0045779B" w:rsidRPr="0045779B">
        <w:rPr>
          <w:lang w:val="nl-NL"/>
        </w:rPr>
        <w:t xml:space="preserve"> </w:t>
      </w:r>
      <w:r w:rsidRPr="0045779B">
        <w:rPr>
          <w:lang w:val="nl-NL"/>
        </w:rPr>
        <w:t xml:space="preserve">al meer dan 10 jaar in de branche werkte. </w:t>
      </w:r>
    </w:p>
    <w:p w14:paraId="526D42ED" w14:textId="44AD4CB3" w:rsidR="00A33B73" w:rsidRPr="0045779B" w:rsidRDefault="00A33B73" w:rsidP="0045779B">
      <w:pPr>
        <w:rPr>
          <w:lang w:val="nl-NL"/>
        </w:rPr>
      </w:pPr>
    </w:p>
    <w:p w14:paraId="639798DC" w14:textId="4C72AE2D" w:rsidR="00B31A9A" w:rsidRPr="0045779B" w:rsidRDefault="00981758" w:rsidP="0045779B">
      <w:pPr>
        <w:rPr>
          <w:lang w:val="nl-NL"/>
        </w:rPr>
      </w:pPr>
      <w:r w:rsidRPr="0045779B">
        <w:rPr>
          <w:noProof/>
          <w:lang w:val="en-GB"/>
        </w:rPr>
        <w:drawing>
          <wp:inline distT="0" distB="0" distL="0" distR="0" wp14:anchorId="339AB1B5" wp14:editId="19BEEC0F">
            <wp:extent cx="5731510" cy="3052445"/>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B43991" w14:textId="75402AB1" w:rsidR="00B31A9A" w:rsidRPr="0045779B" w:rsidRDefault="00B31A9A" w:rsidP="0045779B">
      <w:pPr>
        <w:rPr>
          <w:lang w:val="nl-NL"/>
        </w:rPr>
      </w:pPr>
    </w:p>
    <w:p w14:paraId="0527A681" w14:textId="237B244E" w:rsidR="006A6A8B" w:rsidRPr="0045779B" w:rsidRDefault="00A04E9A" w:rsidP="0045779B">
      <w:pPr>
        <w:rPr>
          <w:i/>
          <w:iCs/>
          <w:lang w:val="nl-NL"/>
        </w:rPr>
      </w:pPr>
      <w:r w:rsidRPr="0045779B">
        <w:rPr>
          <w:i/>
          <w:iCs/>
          <w:lang w:val="nl-NL"/>
        </w:rPr>
        <w:lastRenderedPageBreak/>
        <w:t>Vraag 4: Bruto salaris</w:t>
      </w:r>
    </w:p>
    <w:p w14:paraId="462C86A6" w14:textId="3B0FB1A5" w:rsidR="00A04E9A" w:rsidRPr="0045779B" w:rsidRDefault="0075457B" w:rsidP="0045779B">
      <w:pPr>
        <w:rPr>
          <w:lang w:val="nl-NL"/>
        </w:rPr>
      </w:pPr>
      <w:r>
        <w:rPr>
          <w:lang w:val="nl-NL"/>
        </w:rPr>
        <w:t>Het g</w:t>
      </w:r>
      <w:r w:rsidR="00A04E9A" w:rsidRPr="0045779B">
        <w:rPr>
          <w:lang w:val="nl-NL"/>
        </w:rPr>
        <w:t xml:space="preserve">emiddelde </w:t>
      </w:r>
      <w:r>
        <w:rPr>
          <w:lang w:val="nl-NL"/>
        </w:rPr>
        <w:t>b</w:t>
      </w:r>
      <w:r w:rsidR="00A04E9A" w:rsidRPr="0045779B">
        <w:rPr>
          <w:lang w:val="nl-NL"/>
        </w:rPr>
        <w:t xml:space="preserve">ruto salaris </w:t>
      </w:r>
      <w:r>
        <w:rPr>
          <w:lang w:val="nl-NL"/>
        </w:rPr>
        <w:t xml:space="preserve"> van een makelaar professional in 2021 </w:t>
      </w:r>
      <w:r w:rsidR="00A04E9A" w:rsidRPr="0045779B">
        <w:rPr>
          <w:lang w:val="nl-NL"/>
        </w:rPr>
        <w:t xml:space="preserve">was </w:t>
      </w:r>
      <w:r w:rsidR="00C85090" w:rsidRPr="0045779B">
        <w:rPr>
          <w:lang w:val="nl-NL"/>
        </w:rPr>
        <w:t>3524,68</w:t>
      </w:r>
      <w:r w:rsidR="00A04E9A" w:rsidRPr="0045779B">
        <w:rPr>
          <w:lang w:val="nl-NL"/>
        </w:rPr>
        <w:t xml:space="preserve"> euro. </w:t>
      </w:r>
    </w:p>
    <w:p w14:paraId="557493ED" w14:textId="3DBB0894" w:rsidR="0069452A" w:rsidRPr="0045779B" w:rsidRDefault="0069452A" w:rsidP="0045779B">
      <w:pPr>
        <w:rPr>
          <w:lang w:val="nl-NL"/>
        </w:rPr>
      </w:pPr>
    </w:p>
    <w:tbl>
      <w:tblPr>
        <w:tblStyle w:val="PlainTable2"/>
        <w:tblW w:w="4869" w:type="pct"/>
        <w:tblLook w:val="04A0" w:firstRow="1" w:lastRow="0" w:firstColumn="1" w:lastColumn="0" w:noHBand="0" w:noVBand="1"/>
      </w:tblPr>
      <w:tblGrid>
        <w:gridCol w:w="2589"/>
        <w:gridCol w:w="996"/>
        <w:gridCol w:w="996"/>
        <w:gridCol w:w="996"/>
        <w:gridCol w:w="997"/>
        <w:gridCol w:w="997"/>
        <w:gridCol w:w="1219"/>
      </w:tblGrid>
      <w:tr w:rsidR="0045779B" w:rsidRPr="0045779B" w14:paraId="54AAB6B8" w14:textId="77777777" w:rsidTr="00981758">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473" w:type="pct"/>
            <w:tcBorders>
              <w:top w:val="single" w:sz="4" w:space="0" w:color="7F7F7F" w:themeColor="text1" w:themeTint="80"/>
              <w:bottom w:val="single" w:sz="4" w:space="0" w:color="auto"/>
            </w:tcBorders>
          </w:tcPr>
          <w:p w14:paraId="2E472361" w14:textId="5CA3B056" w:rsidR="0069452A" w:rsidRPr="0045779B" w:rsidRDefault="0069452A" w:rsidP="0045779B">
            <w:pPr>
              <w:rPr>
                <w:lang w:val="nl-NL"/>
              </w:rPr>
            </w:pPr>
            <w:r w:rsidRPr="0045779B">
              <w:rPr>
                <w:lang w:val="nl-NL"/>
              </w:rPr>
              <w:t> </w:t>
            </w:r>
          </w:p>
        </w:tc>
        <w:tc>
          <w:tcPr>
            <w:tcW w:w="567" w:type="pct"/>
            <w:tcBorders>
              <w:top w:val="single" w:sz="4" w:space="0" w:color="7F7F7F" w:themeColor="text1" w:themeTint="80"/>
              <w:bottom w:val="single" w:sz="4" w:space="0" w:color="auto"/>
            </w:tcBorders>
          </w:tcPr>
          <w:p w14:paraId="7A250C4A" w14:textId="2B34AD12"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lang w:val="nl-NL"/>
              </w:rPr>
            </w:pPr>
            <w:r w:rsidRPr="0045779B">
              <w:rPr>
                <w:lang w:val="nl-NL"/>
              </w:rPr>
              <w:t>0 t/m 2 jaar</w:t>
            </w:r>
          </w:p>
        </w:tc>
        <w:tc>
          <w:tcPr>
            <w:tcW w:w="567" w:type="pct"/>
            <w:tcBorders>
              <w:top w:val="single" w:sz="4" w:space="0" w:color="7F7F7F" w:themeColor="text1" w:themeTint="80"/>
              <w:bottom w:val="single" w:sz="4" w:space="0" w:color="auto"/>
            </w:tcBorders>
          </w:tcPr>
          <w:p w14:paraId="7A555ABB" w14:textId="1D9BDA15"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lang w:val="nl-NL"/>
              </w:rPr>
            </w:pPr>
            <w:r w:rsidRPr="0045779B">
              <w:rPr>
                <w:lang w:val="nl-NL"/>
              </w:rPr>
              <w:t>2 t/m 4 jaar</w:t>
            </w:r>
          </w:p>
        </w:tc>
        <w:tc>
          <w:tcPr>
            <w:tcW w:w="567" w:type="pct"/>
            <w:tcBorders>
              <w:top w:val="single" w:sz="4" w:space="0" w:color="7F7F7F" w:themeColor="text1" w:themeTint="80"/>
              <w:bottom w:val="single" w:sz="4" w:space="0" w:color="auto"/>
            </w:tcBorders>
          </w:tcPr>
          <w:p w14:paraId="3786AED8" w14:textId="414A261B"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lang w:val="nl-NL"/>
              </w:rPr>
            </w:pPr>
            <w:r w:rsidRPr="0045779B">
              <w:rPr>
                <w:lang w:val="nl-NL"/>
              </w:rPr>
              <w:t>4 t/m 6 jaar</w:t>
            </w:r>
          </w:p>
        </w:tc>
        <w:tc>
          <w:tcPr>
            <w:tcW w:w="567" w:type="pct"/>
            <w:tcBorders>
              <w:top w:val="single" w:sz="4" w:space="0" w:color="7F7F7F" w:themeColor="text1" w:themeTint="80"/>
              <w:bottom w:val="single" w:sz="4" w:space="0" w:color="auto"/>
            </w:tcBorders>
          </w:tcPr>
          <w:p w14:paraId="44EE787F" w14:textId="4FE29E13"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lang w:val="nl-NL"/>
              </w:rPr>
            </w:pPr>
            <w:r w:rsidRPr="0045779B">
              <w:rPr>
                <w:lang w:val="nl-NL"/>
              </w:rPr>
              <w:t>6 t/m 8 jaar</w:t>
            </w:r>
          </w:p>
        </w:tc>
        <w:tc>
          <w:tcPr>
            <w:tcW w:w="567" w:type="pct"/>
            <w:tcBorders>
              <w:top w:val="single" w:sz="4" w:space="0" w:color="7F7F7F" w:themeColor="text1" w:themeTint="80"/>
              <w:bottom w:val="single" w:sz="4" w:space="0" w:color="auto"/>
            </w:tcBorders>
          </w:tcPr>
          <w:p w14:paraId="0B918CC9" w14:textId="31919805"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lang w:val="nl-NL"/>
              </w:rPr>
            </w:pPr>
            <w:r w:rsidRPr="0045779B">
              <w:rPr>
                <w:lang w:val="nl-NL"/>
              </w:rPr>
              <w:t>8 of meer</w:t>
            </w:r>
          </w:p>
        </w:tc>
        <w:tc>
          <w:tcPr>
            <w:tcW w:w="692" w:type="pct"/>
            <w:tcBorders>
              <w:top w:val="single" w:sz="4" w:space="0" w:color="7F7F7F" w:themeColor="text1" w:themeTint="80"/>
              <w:bottom w:val="single" w:sz="4" w:space="0" w:color="auto"/>
            </w:tcBorders>
          </w:tcPr>
          <w:p w14:paraId="69D2BD07" w14:textId="41AE8A39"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lang w:val="nl-NL"/>
              </w:rPr>
            </w:pPr>
            <w:proofErr w:type="spellStart"/>
            <w:r w:rsidRPr="0045779B">
              <w:t>Gemiddeld</w:t>
            </w:r>
            <w:proofErr w:type="spellEnd"/>
            <w:r w:rsidRPr="0045779B">
              <w:t xml:space="preserve"> </w:t>
            </w:r>
          </w:p>
        </w:tc>
      </w:tr>
      <w:tr w:rsidR="0045779B" w:rsidRPr="0045779B" w14:paraId="43DEE4EB" w14:textId="77777777" w:rsidTr="009817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73" w:type="pct"/>
            <w:tcBorders>
              <w:top w:val="single" w:sz="4" w:space="0" w:color="auto"/>
            </w:tcBorders>
          </w:tcPr>
          <w:p w14:paraId="34309061" w14:textId="049FA408" w:rsidR="0069452A" w:rsidRPr="0045779B" w:rsidRDefault="0069452A" w:rsidP="0045779B">
            <w:pPr>
              <w:rPr>
                <w:lang w:val="nl-NL"/>
              </w:rPr>
            </w:pPr>
            <w:proofErr w:type="spellStart"/>
            <w:r w:rsidRPr="0045779B">
              <w:t>Binnendienst</w:t>
            </w:r>
            <w:proofErr w:type="spellEnd"/>
          </w:p>
        </w:tc>
        <w:tc>
          <w:tcPr>
            <w:tcW w:w="567" w:type="pct"/>
            <w:tcBorders>
              <w:top w:val="single" w:sz="4" w:space="0" w:color="auto"/>
            </w:tcBorders>
          </w:tcPr>
          <w:p w14:paraId="461FA36B" w14:textId="19FAFB13"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t>2.359</w:t>
            </w:r>
          </w:p>
        </w:tc>
        <w:tc>
          <w:tcPr>
            <w:tcW w:w="567" w:type="pct"/>
            <w:tcBorders>
              <w:top w:val="single" w:sz="4" w:space="0" w:color="auto"/>
            </w:tcBorders>
          </w:tcPr>
          <w:p w14:paraId="46CD12F7" w14:textId="7301E5D9"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2.362</w:t>
            </w:r>
          </w:p>
        </w:tc>
        <w:tc>
          <w:tcPr>
            <w:tcW w:w="567" w:type="pct"/>
            <w:tcBorders>
              <w:top w:val="single" w:sz="4" w:space="0" w:color="auto"/>
            </w:tcBorders>
          </w:tcPr>
          <w:p w14:paraId="445D786E" w14:textId="12565DF8"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2.587</w:t>
            </w:r>
          </w:p>
        </w:tc>
        <w:tc>
          <w:tcPr>
            <w:tcW w:w="567" w:type="pct"/>
            <w:tcBorders>
              <w:top w:val="single" w:sz="4" w:space="0" w:color="auto"/>
            </w:tcBorders>
          </w:tcPr>
          <w:p w14:paraId="50E1E09D" w14:textId="77D17514" w:rsidR="0069452A" w:rsidRPr="0045779B" w:rsidRDefault="00707966" w:rsidP="0045779B">
            <w:pPr>
              <w:cnfStyle w:val="000000100000" w:firstRow="0" w:lastRow="0" w:firstColumn="0" w:lastColumn="0" w:oddVBand="0" w:evenVBand="0" w:oddHBand="1" w:evenHBand="0" w:firstRowFirstColumn="0" w:firstRowLastColumn="0" w:lastRowFirstColumn="0" w:lastRowLastColumn="0"/>
              <w:rPr>
                <w:lang w:val="en-GB"/>
              </w:rPr>
            </w:pPr>
            <w:r w:rsidRPr="0045779B">
              <w:t>€ 3.250</w:t>
            </w:r>
            <w:r w:rsidR="00F260B7" w:rsidRPr="0045779B">
              <w:rPr>
                <w:lang w:val="en-GB"/>
              </w:rPr>
              <w:t>*</w:t>
            </w:r>
          </w:p>
        </w:tc>
        <w:tc>
          <w:tcPr>
            <w:tcW w:w="567" w:type="pct"/>
            <w:tcBorders>
              <w:top w:val="single" w:sz="4" w:space="0" w:color="auto"/>
            </w:tcBorders>
          </w:tcPr>
          <w:p w14:paraId="0472B9E9" w14:textId="362BF987"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2.682</w:t>
            </w:r>
          </w:p>
        </w:tc>
        <w:tc>
          <w:tcPr>
            <w:tcW w:w="692" w:type="pct"/>
            <w:tcBorders>
              <w:top w:val="single" w:sz="4" w:space="0" w:color="auto"/>
            </w:tcBorders>
          </w:tcPr>
          <w:p w14:paraId="4052CF13" w14:textId="71B741D7"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2.491</w:t>
            </w:r>
          </w:p>
        </w:tc>
      </w:tr>
      <w:tr w:rsidR="0045779B" w:rsidRPr="0045779B" w14:paraId="0421B125" w14:textId="77777777" w:rsidTr="00981758">
        <w:trPr>
          <w:trHeight w:val="264"/>
        </w:trPr>
        <w:tc>
          <w:tcPr>
            <w:cnfStyle w:val="001000000000" w:firstRow="0" w:lastRow="0" w:firstColumn="1" w:lastColumn="0" w:oddVBand="0" w:evenVBand="0" w:oddHBand="0" w:evenHBand="0" w:firstRowFirstColumn="0" w:firstRowLastColumn="0" w:lastRowFirstColumn="0" w:lastRowLastColumn="0"/>
            <w:tcW w:w="1473" w:type="pct"/>
          </w:tcPr>
          <w:p w14:paraId="5900DD1E" w14:textId="371887A8" w:rsidR="0069452A" w:rsidRPr="0045779B" w:rsidRDefault="0069452A" w:rsidP="0045779B">
            <w:pPr>
              <w:rPr>
                <w:lang w:val="nl-NL"/>
              </w:rPr>
            </w:pPr>
            <w:r w:rsidRPr="0045779B">
              <w:t xml:space="preserve">ARMT </w:t>
            </w:r>
            <w:proofErr w:type="spellStart"/>
            <w:r w:rsidRPr="0045779B">
              <w:t>makelaar</w:t>
            </w:r>
            <w:proofErr w:type="spellEnd"/>
            <w:r w:rsidRPr="0045779B">
              <w:t xml:space="preserve"> </w:t>
            </w:r>
            <w:proofErr w:type="spellStart"/>
            <w:r w:rsidRPr="0045779B">
              <w:t>wonen</w:t>
            </w:r>
            <w:proofErr w:type="spellEnd"/>
          </w:p>
        </w:tc>
        <w:tc>
          <w:tcPr>
            <w:tcW w:w="567" w:type="pct"/>
          </w:tcPr>
          <w:p w14:paraId="112FA842" w14:textId="354AE413"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w:t>
            </w:r>
            <w:r w:rsidR="00707966" w:rsidRPr="0045779B">
              <w:rPr>
                <w:lang w:val="en-GB"/>
              </w:rPr>
              <w:t>2.656</w:t>
            </w:r>
          </w:p>
        </w:tc>
        <w:tc>
          <w:tcPr>
            <w:tcW w:w="567" w:type="pct"/>
          </w:tcPr>
          <w:p w14:paraId="6C56B614" w14:textId="6D2FC4DB"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2.652</w:t>
            </w:r>
          </w:p>
        </w:tc>
        <w:tc>
          <w:tcPr>
            <w:tcW w:w="567" w:type="pct"/>
          </w:tcPr>
          <w:p w14:paraId="55940FC1" w14:textId="40F9B8A4"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2.949</w:t>
            </w:r>
          </w:p>
        </w:tc>
        <w:tc>
          <w:tcPr>
            <w:tcW w:w="567" w:type="pct"/>
          </w:tcPr>
          <w:p w14:paraId="2C2D4DEF" w14:textId="37612810" w:rsidR="0069452A" w:rsidRPr="0045779B" w:rsidRDefault="00707966" w:rsidP="0045779B">
            <w:pPr>
              <w:cnfStyle w:val="000000000000" w:firstRow="0" w:lastRow="0" w:firstColumn="0" w:lastColumn="0" w:oddVBand="0" w:evenVBand="0" w:oddHBand="0" w:evenHBand="0" w:firstRowFirstColumn="0" w:firstRowLastColumn="0" w:lastRowFirstColumn="0" w:lastRowLastColumn="0"/>
              <w:rPr>
                <w:lang w:val="nl-NL"/>
              </w:rPr>
            </w:pPr>
            <w:r w:rsidRPr="0045779B">
              <w:t xml:space="preserve">€ </w:t>
            </w:r>
            <w:r w:rsidRPr="0045779B">
              <w:rPr>
                <w:lang w:val="nl-NL"/>
              </w:rPr>
              <w:t>3.047</w:t>
            </w:r>
          </w:p>
        </w:tc>
        <w:tc>
          <w:tcPr>
            <w:tcW w:w="567" w:type="pct"/>
          </w:tcPr>
          <w:p w14:paraId="61139619" w14:textId="6E17F834"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3.093</w:t>
            </w:r>
          </w:p>
        </w:tc>
        <w:tc>
          <w:tcPr>
            <w:tcW w:w="692" w:type="pct"/>
          </w:tcPr>
          <w:p w14:paraId="477239D6" w14:textId="46CA9BE4"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2.835</w:t>
            </w:r>
          </w:p>
        </w:tc>
      </w:tr>
      <w:tr w:rsidR="0045779B" w:rsidRPr="0045779B" w14:paraId="4DADDB73" w14:textId="77777777" w:rsidTr="009817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73" w:type="pct"/>
          </w:tcPr>
          <w:p w14:paraId="1B958939" w14:textId="098F5091" w:rsidR="0069452A" w:rsidRPr="0045779B" w:rsidRDefault="0069452A" w:rsidP="0045779B">
            <w:pPr>
              <w:rPr>
                <w:lang w:val="nl-NL"/>
              </w:rPr>
            </w:pPr>
            <w:r w:rsidRPr="0045779B">
              <w:t xml:space="preserve">KRMT </w:t>
            </w:r>
            <w:proofErr w:type="spellStart"/>
            <w:r w:rsidRPr="0045779B">
              <w:t>makelaar</w:t>
            </w:r>
            <w:proofErr w:type="spellEnd"/>
            <w:r w:rsidRPr="0045779B">
              <w:t xml:space="preserve"> </w:t>
            </w:r>
            <w:proofErr w:type="spellStart"/>
            <w:r w:rsidRPr="0045779B">
              <w:t>wonen</w:t>
            </w:r>
            <w:proofErr w:type="spellEnd"/>
          </w:p>
        </w:tc>
        <w:tc>
          <w:tcPr>
            <w:tcW w:w="567" w:type="pct"/>
          </w:tcPr>
          <w:p w14:paraId="52BE0CB3" w14:textId="2B78F001"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3.091</w:t>
            </w:r>
          </w:p>
        </w:tc>
        <w:tc>
          <w:tcPr>
            <w:tcW w:w="567" w:type="pct"/>
          </w:tcPr>
          <w:p w14:paraId="5FFA0352" w14:textId="368244D4"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3.205</w:t>
            </w:r>
          </w:p>
        </w:tc>
        <w:tc>
          <w:tcPr>
            <w:tcW w:w="567" w:type="pct"/>
          </w:tcPr>
          <w:p w14:paraId="155E47E5" w14:textId="14F03DB2"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3.320</w:t>
            </w:r>
          </w:p>
        </w:tc>
        <w:tc>
          <w:tcPr>
            <w:tcW w:w="567" w:type="pct"/>
          </w:tcPr>
          <w:p w14:paraId="5CF8CD45" w14:textId="2AA2DAFC"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3.763</w:t>
            </w:r>
          </w:p>
        </w:tc>
        <w:tc>
          <w:tcPr>
            <w:tcW w:w="567" w:type="pct"/>
          </w:tcPr>
          <w:p w14:paraId="4FE7A8EE" w14:textId="5437FF6F"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3.891</w:t>
            </w:r>
          </w:p>
        </w:tc>
        <w:tc>
          <w:tcPr>
            <w:tcW w:w="692" w:type="pct"/>
          </w:tcPr>
          <w:p w14:paraId="05489CA3" w14:textId="300FD2A9"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€ 3.</w:t>
            </w:r>
            <w:r w:rsidR="00707966" w:rsidRPr="0045779B">
              <w:rPr>
                <w:lang w:val="en-GB"/>
              </w:rPr>
              <w:t>326</w:t>
            </w:r>
          </w:p>
        </w:tc>
      </w:tr>
      <w:tr w:rsidR="0045779B" w:rsidRPr="0045779B" w14:paraId="4513ADEA" w14:textId="77777777" w:rsidTr="00981758">
        <w:trPr>
          <w:trHeight w:val="308"/>
        </w:trPr>
        <w:tc>
          <w:tcPr>
            <w:cnfStyle w:val="001000000000" w:firstRow="0" w:lastRow="0" w:firstColumn="1" w:lastColumn="0" w:oddVBand="0" w:evenVBand="0" w:oddHBand="0" w:evenHBand="0" w:firstRowFirstColumn="0" w:firstRowLastColumn="0" w:lastRowFirstColumn="0" w:lastRowLastColumn="0"/>
            <w:tcW w:w="1473" w:type="pct"/>
          </w:tcPr>
          <w:p w14:paraId="21C8BA7F" w14:textId="6A525591" w:rsidR="0069452A" w:rsidRPr="0045779B" w:rsidRDefault="0069452A" w:rsidP="0045779B">
            <w:pPr>
              <w:rPr>
                <w:lang w:val="nl-NL"/>
              </w:rPr>
            </w:pPr>
            <w:r w:rsidRPr="0045779B">
              <w:t xml:space="preserve">RM/RT </w:t>
            </w:r>
            <w:proofErr w:type="spellStart"/>
            <w:r w:rsidRPr="0045779B">
              <w:t>wonen</w:t>
            </w:r>
            <w:proofErr w:type="spellEnd"/>
          </w:p>
        </w:tc>
        <w:tc>
          <w:tcPr>
            <w:tcW w:w="567" w:type="pct"/>
          </w:tcPr>
          <w:p w14:paraId="2CA76D4F" w14:textId="7E85369F"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3.561</w:t>
            </w:r>
          </w:p>
        </w:tc>
        <w:tc>
          <w:tcPr>
            <w:tcW w:w="567" w:type="pct"/>
          </w:tcPr>
          <w:p w14:paraId="2E193B01" w14:textId="0D26A98F"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3.989</w:t>
            </w:r>
          </w:p>
        </w:tc>
        <w:tc>
          <w:tcPr>
            <w:tcW w:w="567" w:type="pct"/>
          </w:tcPr>
          <w:p w14:paraId="18F95DE6" w14:textId="3B5C9311"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F260B7" w:rsidRPr="0045779B">
              <w:rPr>
                <w:lang w:val="en-GB"/>
              </w:rPr>
              <w:t>4.031</w:t>
            </w:r>
          </w:p>
        </w:tc>
        <w:tc>
          <w:tcPr>
            <w:tcW w:w="567" w:type="pct"/>
          </w:tcPr>
          <w:p w14:paraId="3193ED70" w14:textId="6A463CC2"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4.425</w:t>
            </w:r>
          </w:p>
        </w:tc>
        <w:tc>
          <w:tcPr>
            <w:tcW w:w="567" w:type="pct"/>
          </w:tcPr>
          <w:p w14:paraId="1308B3F6" w14:textId="4CF82272"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4.696</w:t>
            </w:r>
          </w:p>
        </w:tc>
        <w:tc>
          <w:tcPr>
            <w:tcW w:w="692" w:type="pct"/>
          </w:tcPr>
          <w:p w14:paraId="4FECA8C7" w14:textId="1CCEE647"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F260B7" w:rsidRPr="0045779B">
              <w:rPr>
                <w:lang w:val="en-GB"/>
              </w:rPr>
              <w:t>4.283</w:t>
            </w:r>
          </w:p>
        </w:tc>
      </w:tr>
      <w:tr w:rsidR="0045779B" w:rsidRPr="0045779B" w14:paraId="5DC013F4" w14:textId="77777777" w:rsidTr="009817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73" w:type="pct"/>
          </w:tcPr>
          <w:p w14:paraId="1F03B8C3" w14:textId="6B5BB8E6" w:rsidR="0069452A" w:rsidRPr="0045779B" w:rsidRDefault="0069452A" w:rsidP="0045779B">
            <w:pPr>
              <w:rPr>
                <w:lang w:val="nl-NL"/>
              </w:rPr>
            </w:pPr>
            <w:r w:rsidRPr="0045779B">
              <w:t xml:space="preserve">RT </w:t>
            </w:r>
            <w:proofErr w:type="spellStart"/>
            <w:r w:rsidRPr="0045779B">
              <w:t>makelaar</w:t>
            </w:r>
            <w:proofErr w:type="spellEnd"/>
            <w:r w:rsidRPr="0045779B">
              <w:t xml:space="preserve"> (BOG)</w:t>
            </w:r>
          </w:p>
        </w:tc>
        <w:tc>
          <w:tcPr>
            <w:tcW w:w="567" w:type="pct"/>
          </w:tcPr>
          <w:p w14:paraId="6CD3C0A4" w14:textId="2665C7F0"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3.258</w:t>
            </w:r>
          </w:p>
        </w:tc>
        <w:tc>
          <w:tcPr>
            <w:tcW w:w="567" w:type="pct"/>
          </w:tcPr>
          <w:p w14:paraId="12924F70" w14:textId="2BE8161F"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4.230</w:t>
            </w:r>
          </w:p>
        </w:tc>
        <w:tc>
          <w:tcPr>
            <w:tcW w:w="567" w:type="pct"/>
          </w:tcPr>
          <w:p w14:paraId="11FE38E8" w14:textId="2063B913"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4.814</w:t>
            </w:r>
          </w:p>
        </w:tc>
        <w:tc>
          <w:tcPr>
            <w:tcW w:w="567" w:type="pct"/>
          </w:tcPr>
          <w:p w14:paraId="60D9DF1E" w14:textId="39857CCC"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6.750</w:t>
            </w:r>
            <w:r w:rsidR="00F260B7" w:rsidRPr="0045779B">
              <w:rPr>
                <w:lang w:val="en-GB"/>
              </w:rPr>
              <w:t>*</w:t>
            </w:r>
          </w:p>
        </w:tc>
        <w:tc>
          <w:tcPr>
            <w:tcW w:w="567" w:type="pct"/>
          </w:tcPr>
          <w:p w14:paraId="21515CA4" w14:textId="4C3758DA"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4.729</w:t>
            </w:r>
          </w:p>
        </w:tc>
        <w:tc>
          <w:tcPr>
            <w:tcW w:w="692" w:type="pct"/>
          </w:tcPr>
          <w:p w14:paraId="495BB1C8" w14:textId="394E3EA6"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lang w:val="en-GB"/>
              </w:rPr>
            </w:pPr>
            <w:r w:rsidRPr="0045779B">
              <w:t xml:space="preserve">€ </w:t>
            </w:r>
            <w:r w:rsidR="00707966" w:rsidRPr="0045779B">
              <w:rPr>
                <w:lang w:val="en-GB"/>
              </w:rPr>
              <w:t>4.418</w:t>
            </w:r>
          </w:p>
        </w:tc>
      </w:tr>
      <w:tr w:rsidR="0045779B" w:rsidRPr="0045779B" w14:paraId="37F82D2B" w14:textId="77777777" w:rsidTr="00981758">
        <w:trPr>
          <w:trHeight w:val="249"/>
        </w:trPr>
        <w:tc>
          <w:tcPr>
            <w:cnfStyle w:val="001000000000" w:firstRow="0" w:lastRow="0" w:firstColumn="1" w:lastColumn="0" w:oddVBand="0" w:evenVBand="0" w:oddHBand="0" w:evenHBand="0" w:firstRowFirstColumn="0" w:firstRowLastColumn="0" w:lastRowFirstColumn="0" w:lastRowLastColumn="0"/>
            <w:tcW w:w="1473" w:type="pct"/>
          </w:tcPr>
          <w:p w14:paraId="2CCA70BA" w14:textId="6B5E7873" w:rsidR="0069452A" w:rsidRPr="0045779B" w:rsidRDefault="0069452A" w:rsidP="0045779B">
            <w:pPr>
              <w:rPr>
                <w:lang w:val="nl-NL"/>
              </w:rPr>
            </w:pPr>
            <w:proofErr w:type="spellStart"/>
            <w:r w:rsidRPr="0045779B">
              <w:t>Verhuurmakelaar</w:t>
            </w:r>
            <w:proofErr w:type="spellEnd"/>
          </w:p>
        </w:tc>
        <w:tc>
          <w:tcPr>
            <w:tcW w:w="567" w:type="pct"/>
          </w:tcPr>
          <w:p w14:paraId="6D53576D" w14:textId="51D13401"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3.275</w:t>
            </w:r>
          </w:p>
        </w:tc>
        <w:tc>
          <w:tcPr>
            <w:tcW w:w="567" w:type="pct"/>
          </w:tcPr>
          <w:p w14:paraId="314DD1DB" w14:textId="0BB5AE50"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t>3.509</w:t>
            </w:r>
            <w:r w:rsidR="00FE19D1" w:rsidRPr="0045779B">
              <w:rPr>
                <w:lang w:val="en-GB"/>
              </w:rPr>
              <w:t>*</w:t>
            </w:r>
          </w:p>
        </w:tc>
        <w:tc>
          <w:tcPr>
            <w:tcW w:w="567" w:type="pct"/>
          </w:tcPr>
          <w:p w14:paraId="11788FB6" w14:textId="53ECF872"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3.650</w:t>
            </w:r>
            <w:r w:rsidR="00FE19D1" w:rsidRPr="0045779B">
              <w:rPr>
                <w:lang w:val="en-GB"/>
              </w:rPr>
              <w:t>*</w:t>
            </w:r>
          </w:p>
        </w:tc>
        <w:tc>
          <w:tcPr>
            <w:tcW w:w="567" w:type="pct"/>
          </w:tcPr>
          <w:p w14:paraId="592DE1BA" w14:textId="114065AE"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45779B">
              <w:rPr>
                <w:lang w:val="nl-NL"/>
              </w:rPr>
              <w:t>n.b</w:t>
            </w:r>
            <w:proofErr w:type="spellEnd"/>
          </w:p>
        </w:tc>
        <w:tc>
          <w:tcPr>
            <w:tcW w:w="567" w:type="pct"/>
          </w:tcPr>
          <w:p w14:paraId="503987A4" w14:textId="45040EE5"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707966" w:rsidRPr="0045779B">
              <w:rPr>
                <w:lang w:val="en-GB"/>
              </w:rPr>
              <w:t>5.009</w:t>
            </w:r>
            <w:r w:rsidR="00FE19D1" w:rsidRPr="0045779B">
              <w:rPr>
                <w:lang w:val="en-GB"/>
              </w:rPr>
              <w:t>*</w:t>
            </w:r>
          </w:p>
        </w:tc>
        <w:tc>
          <w:tcPr>
            <w:tcW w:w="692" w:type="pct"/>
          </w:tcPr>
          <w:p w14:paraId="4A158E12" w14:textId="714087EA"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lang w:val="en-GB"/>
              </w:rPr>
            </w:pPr>
            <w:r w:rsidRPr="0045779B">
              <w:t xml:space="preserve">€ </w:t>
            </w:r>
            <w:r w:rsidR="00F260B7" w:rsidRPr="0045779B">
              <w:rPr>
                <w:lang w:val="en-GB"/>
              </w:rPr>
              <w:t>3.816</w:t>
            </w:r>
          </w:p>
        </w:tc>
      </w:tr>
    </w:tbl>
    <w:p w14:paraId="21FA52EA" w14:textId="41D02816" w:rsidR="000B784B" w:rsidRPr="0045779B" w:rsidRDefault="00FE19D1" w:rsidP="0045779B">
      <w:pPr>
        <w:rPr>
          <w:i/>
          <w:iCs/>
          <w:lang w:val="nl-NL"/>
        </w:rPr>
      </w:pPr>
      <w:r w:rsidRPr="0045779B">
        <w:rPr>
          <w:i/>
          <w:iCs/>
          <w:lang w:val="nl-NL"/>
        </w:rPr>
        <w:t>*zeer weinig waarnemingen</w:t>
      </w:r>
    </w:p>
    <w:p w14:paraId="6E4E9C2C" w14:textId="58CA4802" w:rsidR="00EF3D58" w:rsidRPr="0045779B" w:rsidRDefault="00EF3D58" w:rsidP="0045779B">
      <w:pPr>
        <w:rPr>
          <w:lang w:val="nl-NL"/>
        </w:rPr>
      </w:pPr>
    </w:p>
    <w:p w14:paraId="633950A9" w14:textId="5BB017AE" w:rsidR="00EF3D58" w:rsidRPr="0045779B" w:rsidRDefault="00EF3D58" w:rsidP="0045779B">
      <w:pPr>
        <w:rPr>
          <w:lang w:val="nl-NL"/>
        </w:rPr>
      </w:pPr>
      <w:r w:rsidRPr="0045779B">
        <w:rPr>
          <w:lang w:val="nl-NL"/>
        </w:rPr>
        <w:t>Ver</w:t>
      </w:r>
      <w:r w:rsidR="00835903">
        <w:rPr>
          <w:lang w:val="nl-NL"/>
        </w:rPr>
        <w:t>g</w:t>
      </w:r>
      <w:r w:rsidRPr="0045779B">
        <w:rPr>
          <w:lang w:val="nl-NL"/>
        </w:rPr>
        <w:t xml:space="preserve">elijking </w:t>
      </w:r>
      <w:r w:rsidR="00FA4040" w:rsidRPr="0045779B">
        <w:rPr>
          <w:lang w:val="nl-NL"/>
        </w:rPr>
        <w:t xml:space="preserve">salaris </w:t>
      </w:r>
      <w:r w:rsidRPr="0045779B">
        <w:rPr>
          <w:lang w:val="nl-NL"/>
        </w:rPr>
        <w:t>onderzoek</w:t>
      </w:r>
      <w:r w:rsidR="00FE19D1" w:rsidRPr="0045779B">
        <w:rPr>
          <w:lang w:val="nl-NL"/>
        </w:rPr>
        <w:t xml:space="preserve"> 2018, 2020 en 2021</w:t>
      </w:r>
    </w:p>
    <w:tbl>
      <w:tblPr>
        <w:tblW w:w="10550" w:type="dxa"/>
        <w:tblInd w:w="-426" w:type="dxa"/>
        <w:tblLayout w:type="fixed"/>
        <w:tblLook w:val="04A0" w:firstRow="1" w:lastRow="0" w:firstColumn="1" w:lastColumn="0" w:noHBand="0" w:noVBand="1"/>
      </w:tblPr>
      <w:tblGrid>
        <w:gridCol w:w="1497"/>
        <w:gridCol w:w="772"/>
        <w:gridCol w:w="992"/>
        <w:gridCol w:w="993"/>
        <w:gridCol w:w="992"/>
        <w:gridCol w:w="992"/>
        <w:gridCol w:w="992"/>
        <w:gridCol w:w="1276"/>
        <w:gridCol w:w="1418"/>
        <w:gridCol w:w="626"/>
      </w:tblGrid>
      <w:tr w:rsidR="0045779B" w:rsidRPr="0045779B" w14:paraId="74E6970B" w14:textId="345B2D17" w:rsidTr="0045779B">
        <w:trPr>
          <w:trHeight w:val="324"/>
        </w:trPr>
        <w:tc>
          <w:tcPr>
            <w:tcW w:w="1497" w:type="dxa"/>
            <w:tcBorders>
              <w:top w:val="single" w:sz="8" w:space="0" w:color="7F7F7F"/>
              <w:left w:val="nil"/>
              <w:bottom w:val="single" w:sz="8" w:space="0" w:color="7F7F7F"/>
              <w:right w:val="nil"/>
            </w:tcBorders>
            <w:shd w:val="clear" w:color="auto" w:fill="auto"/>
            <w:noWrap/>
            <w:vAlign w:val="center"/>
            <w:hideMark/>
          </w:tcPr>
          <w:p w14:paraId="7200B905" w14:textId="77777777" w:rsidR="0075528A" w:rsidRPr="0045779B" w:rsidRDefault="0075528A" w:rsidP="0045779B">
            <w:pPr>
              <w:rPr>
                <w:rFonts w:eastAsia="Times New Roman"/>
              </w:rPr>
            </w:pPr>
            <w:r w:rsidRPr="0045779B">
              <w:rPr>
                <w:rFonts w:eastAsia="Times New Roman"/>
                <w:lang w:val="nl-NL"/>
              </w:rPr>
              <w:t> </w:t>
            </w:r>
          </w:p>
        </w:tc>
        <w:tc>
          <w:tcPr>
            <w:tcW w:w="772" w:type="dxa"/>
            <w:tcBorders>
              <w:top w:val="single" w:sz="8" w:space="0" w:color="7F7F7F"/>
              <w:left w:val="nil"/>
              <w:bottom w:val="single" w:sz="8" w:space="0" w:color="7F7F7F"/>
              <w:right w:val="nil"/>
            </w:tcBorders>
            <w:shd w:val="clear" w:color="auto" w:fill="auto"/>
            <w:noWrap/>
            <w:vAlign w:val="center"/>
            <w:hideMark/>
          </w:tcPr>
          <w:p w14:paraId="20C6F805" w14:textId="77777777" w:rsidR="0075528A" w:rsidRPr="0045779B" w:rsidRDefault="0075528A" w:rsidP="0045779B">
            <w:pPr>
              <w:rPr>
                <w:rFonts w:eastAsia="Times New Roman"/>
              </w:rPr>
            </w:pPr>
            <w:r w:rsidRPr="0045779B">
              <w:rPr>
                <w:rFonts w:eastAsia="Times New Roman"/>
              </w:rPr>
              <w:t>Jaar</w:t>
            </w:r>
          </w:p>
        </w:tc>
        <w:tc>
          <w:tcPr>
            <w:tcW w:w="992" w:type="dxa"/>
            <w:tcBorders>
              <w:top w:val="single" w:sz="8" w:space="0" w:color="7F7F7F"/>
              <w:left w:val="nil"/>
              <w:bottom w:val="single" w:sz="8" w:space="0" w:color="7F7F7F"/>
              <w:right w:val="nil"/>
            </w:tcBorders>
            <w:shd w:val="clear" w:color="auto" w:fill="auto"/>
            <w:noWrap/>
            <w:vAlign w:val="center"/>
            <w:hideMark/>
          </w:tcPr>
          <w:p w14:paraId="0C258D65" w14:textId="77777777" w:rsidR="0075528A" w:rsidRPr="0045779B" w:rsidRDefault="0075528A" w:rsidP="0045779B">
            <w:pPr>
              <w:rPr>
                <w:rFonts w:eastAsia="Times New Roman"/>
              </w:rPr>
            </w:pPr>
            <w:r w:rsidRPr="0045779B">
              <w:rPr>
                <w:rFonts w:eastAsia="Times New Roman"/>
                <w:lang w:val="nl-NL"/>
              </w:rPr>
              <w:t>0 t/m 2 jaar</w:t>
            </w:r>
          </w:p>
        </w:tc>
        <w:tc>
          <w:tcPr>
            <w:tcW w:w="993" w:type="dxa"/>
            <w:tcBorders>
              <w:top w:val="single" w:sz="8" w:space="0" w:color="7F7F7F"/>
              <w:left w:val="nil"/>
              <w:bottom w:val="single" w:sz="8" w:space="0" w:color="7F7F7F"/>
              <w:right w:val="nil"/>
            </w:tcBorders>
            <w:shd w:val="clear" w:color="auto" w:fill="auto"/>
            <w:noWrap/>
            <w:vAlign w:val="center"/>
            <w:hideMark/>
          </w:tcPr>
          <w:p w14:paraId="17AE0A4D" w14:textId="77777777" w:rsidR="0075528A" w:rsidRPr="0045779B" w:rsidRDefault="0075528A" w:rsidP="0045779B">
            <w:pPr>
              <w:rPr>
                <w:rFonts w:eastAsia="Times New Roman"/>
              </w:rPr>
            </w:pPr>
            <w:r w:rsidRPr="0045779B">
              <w:rPr>
                <w:rFonts w:eastAsia="Times New Roman"/>
                <w:lang w:val="nl-NL"/>
              </w:rPr>
              <w:t>2 t/m 4 jaar</w:t>
            </w:r>
          </w:p>
        </w:tc>
        <w:tc>
          <w:tcPr>
            <w:tcW w:w="992" w:type="dxa"/>
            <w:tcBorders>
              <w:top w:val="single" w:sz="8" w:space="0" w:color="7F7F7F"/>
              <w:left w:val="nil"/>
              <w:bottom w:val="single" w:sz="8" w:space="0" w:color="7F7F7F"/>
              <w:right w:val="nil"/>
            </w:tcBorders>
            <w:shd w:val="clear" w:color="auto" w:fill="auto"/>
            <w:noWrap/>
            <w:vAlign w:val="center"/>
            <w:hideMark/>
          </w:tcPr>
          <w:p w14:paraId="0ACDDEB4" w14:textId="77777777" w:rsidR="0075528A" w:rsidRPr="0045779B" w:rsidRDefault="0075528A" w:rsidP="0045779B">
            <w:pPr>
              <w:rPr>
                <w:rFonts w:eastAsia="Times New Roman"/>
              </w:rPr>
            </w:pPr>
            <w:r w:rsidRPr="0045779B">
              <w:rPr>
                <w:rFonts w:eastAsia="Times New Roman"/>
                <w:lang w:val="nl-NL"/>
              </w:rPr>
              <w:t>4 t/m 6 jaar</w:t>
            </w:r>
          </w:p>
        </w:tc>
        <w:tc>
          <w:tcPr>
            <w:tcW w:w="992" w:type="dxa"/>
            <w:tcBorders>
              <w:top w:val="single" w:sz="8" w:space="0" w:color="7F7F7F"/>
              <w:left w:val="nil"/>
              <w:bottom w:val="single" w:sz="8" w:space="0" w:color="7F7F7F"/>
              <w:right w:val="nil"/>
            </w:tcBorders>
            <w:shd w:val="clear" w:color="auto" w:fill="auto"/>
            <w:noWrap/>
            <w:vAlign w:val="center"/>
            <w:hideMark/>
          </w:tcPr>
          <w:p w14:paraId="16E551BF" w14:textId="77777777" w:rsidR="0075528A" w:rsidRPr="0045779B" w:rsidRDefault="0075528A" w:rsidP="0045779B">
            <w:pPr>
              <w:rPr>
                <w:rFonts w:eastAsia="Times New Roman"/>
              </w:rPr>
            </w:pPr>
            <w:r w:rsidRPr="0045779B">
              <w:rPr>
                <w:rFonts w:eastAsia="Times New Roman"/>
                <w:lang w:val="nl-NL"/>
              </w:rPr>
              <w:t>6 t/m 8 jaar</w:t>
            </w:r>
          </w:p>
        </w:tc>
        <w:tc>
          <w:tcPr>
            <w:tcW w:w="992" w:type="dxa"/>
            <w:tcBorders>
              <w:top w:val="single" w:sz="8" w:space="0" w:color="7F7F7F"/>
              <w:left w:val="nil"/>
              <w:bottom w:val="single" w:sz="8" w:space="0" w:color="7F7F7F"/>
              <w:right w:val="nil"/>
            </w:tcBorders>
            <w:shd w:val="clear" w:color="auto" w:fill="auto"/>
            <w:noWrap/>
            <w:vAlign w:val="center"/>
            <w:hideMark/>
          </w:tcPr>
          <w:p w14:paraId="767DC242" w14:textId="77777777" w:rsidR="0075528A" w:rsidRPr="0045779B" w:rsidRDefault="0075528A" w:rsidP="0045779B">
            <w:pPr>
              <w:rPr>
                <w:rFonts w:eastAsia="Times New Roman"/>
              </w:rPr>
            </w:pPr>
            <w:r w:rsidRPr="0045779B">
              <w:rPr>
                <w:rFonts w:eastAsia="Times New Roman"/>
                <w:lang w:val="nl-NL"/>
              </w:rPr>
              <w:t>8 of meer</w:t>
            </w:r>
          </w:p>
        </w:tc>
        <w:tc>
          <w:tcPr>
            <w:tcW w:w="1276" w:type="dxa"/>
            <w:tcBorders>
              <w:top w:val="single" w:sz="8" w:space="0" w:color="7F7F7F"/>
              <w:left w:val="nil"/>
              <w:bottom w:val="single" w:sz="8" w:space="0" w:color="7F7F7F"/>
              <w:right w:val="nil"/>
            </w:tcBorders>
            <w:shd w:val="clear" w:color="auto" w:fill="auto"/>
            <w:noWrap/>
            <w:vAlign w:val="center"/>
            <w:hideMark/>
          </w:tcPr>
          <w:p w14:paraId="51924ED1" w14:textId="77777777" w:rsidR="0075528A" w:rsidRPr="0045779B" w:rsidRDefault="0075528A" w:rsidP="0045779B">
            <w:pPr>
              <w:rPr>
                <w:rFonts w:eastAsia="Times New Roman"/>
              </w:rPr>
            </w:pPr>
            <w:proofErr w:type="spellStart"/>
            <w:r w:rsidRPr="0045779B">
              <w:rPr>
                <w:rFonts w:eastAsia="Times New Roman"/>
              </w:rPr>
              <w:t>Gemiddeld</w:t>
            </w:r>
            <w:proofErr w:type="spellEnd"/>
            <w:r w:rsidRPr="0045779B">
              <w:rPr>
                <w:rFonts w:eastAsia="Times New Roman"/>
              </w:rPr>
              <w:t xml:space="preserve"> </w:t>
            </w:r>
          </w:p>
        </w:tc>
        <w:tc>
          <w:tcPr>
            <w:tcW w:w="1418" w:type="dxa"/>
            <w:tcBorders>
              <w:top w:val="single" w:sz="8" w:space="0" w:color="7F7F7F"/>
              <w:left w:val="nil"/>
              <w:bottom w:val="single" w:sz="8" w:space="0" w:color="7F7F7F"/>
              <w:right w:val="nil"/>
            </w:tcBorders>
          </w:tcPr>
          <w:p w14:paraId="3F26FF6E" w14:textId="7265776D" w:rsidR="0075528A" w:rsidRPr="0045779B" w:rsidRDefault="0075528A" w:rsidP="0045779B">
            <w:pPr>
              <w:rPr>
                <w:rFonts w:eastAsia="Times New Roman"/>
              </w:rPr>
            </w:pPr>
            <w:proofErr w:type="spellStart"/>
            <w:r w:rsidRPr="0045779B">
              <w:rPr>
                <w:rFonts w:eastAsia="Times New Roman"/>
                <w:lang w:val="en-GB"/>
              </w:rPr>
              <w:t>Procentuele</w:t>
            </w:r>
            <w:proofErr w:type="spellEnd"/>
            <w:r w:rsidRPr="0045779B">
              <w:rPr>
                <w:rFonts w:eastAsia="Times New Roman"/>
                <w:lang w:val="en-GB"/>
              </w:rPr>
              <w:t xml:space="preserve"> </w:t>
            </w:r>
            <w:proofErr w:type="spellStart"/>
            <w:r w:rsidR="00937CBB">
              <w:rPr>
                <w:rFonts w:eastAsia="Times New Roman"/>
                <w:lang w:val="en-GB"/>
              </w:rPr>
              <w:t>groei</w:t>
            </w:r>
            <w:proofErr w:type="spellEnd"/>
          </w:p>
        </w:tc>
        <w:tc>
          <w:tcPr>
            <w:tcW w:w="626" w:type="dxa"/>
          </w:tcPr>
          <w:p w14:paraId="28DD9683" w14:textId="77777777" w:rsidR="0075528A" w:rsidRPr="0045779B" w:rsidRDefault="0075528A" w:rsidP="0045779B"/>
        </w:tc>
      </w:tr>
      <w:tr w:rsidR="00937CBB" w:rsidRPr="0045779B" w14:paraId="198249BA" w14:textId="5057985B" w:rsidTr="00937CBB">
        <w:trPr>
          <w:gridAfter w:val="1"/>
          <w:wAfter w:w="626" w:type="dxa"/>
          <w:trHeight w:val="300"/>
        </w:trPr>
        <w:tc>
          <w:tcPr>
            <w:tcW w:w="1497" w:type="dxa"/>
            <w:vMerge w:val="restart"/>
            <w:tcBorders>
              <w:top w:val="single" w:sz="8" w:space="0" w:color="7F7F7F"/>
              <w:left w:val="nil"/>
              <w:right w:val="nil"/>
            </w:tcBorders>
            <w:shd w:val="clear" w:color="auto" w:fill="auto"/>
            <w:noWrap/>
            <w:vAlign w:val="center"/>
            <w:hideMark/>
          </w:tcPr>
          <w:p w14:paraId="4D3D6925" w14:textId="03A86C37" w:rsidR="00937CBB" w:rsidRPr="0045779B" w:rsidRDefault="00937CBB" w:rsidP="0045779B">
            <w:pPr>
              <w:rPr>
                <w:rFonts w:eastAsia="Times New Roman"/>
              </w:rPr>
            </w:pPr>
            <w:proofErr w:type="spellStart"/>
            <w:r w:rsidRPr="0045779B">
              <w:rPr>
                <w:rFonts w:eastAsia="Times New Roman"/>
              </w:rPr>
              <w:t>Binnendienst</w:t>
            </w:r>
            <w:proofErr w:type="spellEnd"/>
          </w:p>
        </w:tc>
        <w:tc>
          <w:tcPr>
            <w:tcW w:w="772" w:type="dxa"/>
            <w:tcBorders>
              <w:top w:val="single" w:sz="8" w:space="0" w:color="7F7F7F"/>
              <w:left w:val="nil"/>
              <w:bottom w:val="single" w:sz="4" w:space="0" w:color="7F7F7F" w:themeColor="text1" w:themeTint="80"/>
              <w:right w:val="single" w:sz="4" w:space="0" w:color="FFFFFF" w:themeColor="background1"/>
            </w:tcBorders>
            <w:shd w:val="clear" w:color="auto" w:fill="auto"/>
            <w:noWrap/>
            <w:vAlign w:val="center"/>
            <w:hideMark/>
          </w:tcPr>
          <w:p w14:paraId="47F79CDD" w14:textId="63350855" w:rsidR="00937CBB" w:rsidRPr="0045779B" w:rsidRDefault="00937CBB" w:rsidP="0045779B">
            <w:pPr>
              <w:rPr>
                <w:rFonts w:eastAsia="Times New Roman"/>
                <w:lang w:val="en-GB"/>
              </w:rPr>
            </w:pPr>
            <w:r w:rsidRPr="0045779B">
              <w:rPr>
                <w:rFonts w:eastAsia="Times New Roman"/>
              </w:rPr>
              <w:t>202</w:t>
            </w:r>
            <w:r w:rsidRPr="0045779B">
              <w:rPr>
                <w:rFonts w:eastAsia="Times New Roman"/>
                <w:lang w:val="en-GB"/>
              </w:rPr>
              <w:t>0</w:t>
            </w:r>
          </w:p>
        </w:tc>
        <w:tc>
          <w:tcPr>
            <w:tcW w:w="992" w:type="dxa"/>
            <w:tcBorders>
              <w:top w:val="single" w:sz="8" w:space="0" w:color="7F7F7F"/>
              <w:left w:val="single" w:sz="4" w:space="0" w:color="FFFFFF" w:themeColor="background1"/>
              <w:bottom w:val="single" w:sz="4" w:space="0" w:color="7F7F7F" w:themeColor="text1" w:themeTint="80"/>
              <w:right w:val="nil"/>
            </w:tcBorders>
            <w:shd w:val="clear" w:color="auto" w:fill="auto"/>
            <w:noWrap/>
            <w:vAlign w:val="center"/>
            <w:hideMark/>
          </w:tcPr>
          <w:p w14:paraId="01499DC2" w14:textId="47621B0E" w:rsidR="00937CBB" w:rsidRPr="0045779B" w:rsidRDefault="00937CBB" w:rsidP="0045779B">
            <w:pPr>
              <w:rPr>
                <w:rFonts w:eastAsia="Times New Roman"/>
              </w:rPr>
            </w:pPr>
            <w:r w:rsidRPr="0045779B">
              <w:rPr>
                <w:rFonts w:eastAsia="Times New Roman"/>
              </w:rPr>
              <w:t>€ 2.407</w:t>
            </w:r>
          </w:p>
        </w:tc>
        <w:tc>
          <w:tcPr>
            <w:tcW w:w="993" w:type="dxa"/>
            <w:tcBorders>
              <w:top w:val="single" w:sz="8" w:space="0" w:color="7F7F7F"/>
              <w:left w:val="nil"/>
              <w:bottom w:val="single" w:sz="4" w:space="0" w:color="7F7F7F" w:themeColor="text1" w:themeTint="80"/>
              <w:right w:val="nil"/>
            </w:tcBorders>
            <w:shd w:val="clear" w:color="auto" w:fill="auto"/>
            <w:noWrap/>
            <w:vAlign w:val="center"/>
            <w:hideMark/>
          </w:tcPr>
          <w:p w14:paraId="0035DC4B" w14:textId="43FF6F9C" w:rsidR="00937CBB" w:rsidRPr="0045779B" w:rsidRDefault="00937CBB" w:rsidP="0045779B">
            <w:pPr>
              <w:rPr>
                <w:rFonts w:eastAsia="Times New Roman"/>
              </w:rPr>
            </w:pPr>
            <w:r w:rsidRPr="0045779B">
              <w:rPr>
                <w:rFonts w:eastAsia="Times New Roman"/>
              </w:rPr>
              <w:t>€ 2.588</w:t>
            </w:r>
          </w:p>
        </w:tc>
        <w:tc>
          <w:tcPr>
            <w:tcW w:w="992" w:type="dxa"/>
            <w:tcBorders>
              <w:top w:val="single" w:sz="8" w:space="0" w:color="7F7F7F"/>
              <w:left w:val="nil"/>
              <w:bottom w:val="single" w:sz="4" w:space="0" w:color="7F7F7F" w:themeColor="text1" w:themeTint="80"/>
              <w:right w:val="nil"/>
            </w:tcBorders>
            <w:shd w:val="clear" w:color="auto" w:fill="auto"/>
            <w:noWrap/>
            <w:vAlign w:val="center"/>
            <w:hideMark/>
          </w:tcPr>
          <w:p w14:paraId="2D50E14C" w14:textId="21135004" w:rsidR="00937CBB" w:rsidRPr="0045779B" w:rsidRDefault="00937CBB" w:rsidP="0045779B">
            <w:pPr>
              <w:rPr>
                <w:rFonts w:eastAsia="Times New Roman"/>
              </w:rPr>
            </w:pPr>
            <w:r w:rsidRPr="0045779B">
              <w:rPr>
                <w:rFonts w:eastAsia="Times New Roman"/>
              </w:rPr>
              <w:t>€ 2.619</w:t>
            </w:r>
          </w:p>
        </w:tc>
        <w:tc>
          <w:tcPr>
            <w:tcW w:w="992" w:type="dxa"/>
            <w:tcBorders>
              <w:top w:val="single" w:sz="8" w:space="0" w:color="7F7F7F"/>
              <w:left w:val="nil"/>
              <w:bottom w:val="single" w:sz="4" w:space="0" w:color="7F7F7F" w:themeColor="text1" w:themeTint="80"/>
              <w:right w:val="nil"/>
            </w:tcBorders>
            <w:shd w:val="clear" w:color="auto" w:fill="auto"/>
            <w:noWrap/>
            <w:vAlign w:val="center"/>
            <w:hideMark/>
          </w:tcPr>
          <w:p w14:paraId="12DFDA7E" w14:textId="531F4147" w:rsidR="00937CBB" w:rsidRPr="0045779B" w:rsidRDefault="00937CBB" w:rsidP="0045779B">
            <w:pPr>
              <w:rPr>
                <w:rFonts w:eastAsia="Times New Roman"/>
              </w:rPr>
            </w:pPr>
            <w:proofErr w:type="spellStart"/>
            <w:r w:rsidRPr="0045779B">
              <w:rPr>
                <w:rFonts w:eastAsia="Times New Roman"/>
                <w:lang w:val="nl-NL"/>
              </w:rPr>
              <w:t>n.b</w:t>
            </w:r>
            <w:proofErr w:type="spellEnd"/>
            <w:r w:rsidRPr="0045779B">
              <w:rPr>
                <w:rFonts w:eastAsia="Times New Roman"/>
                <w:lang w:val="nl-NL"/>
              </w:rPr>
              <w:t xml:space="preserve"> </w:t>
            </w:r>
          </w:p>
        </w:tc>
        <w:tc>
          <w:tcPr>
            <w:tcW w:w="992" w:type="dxa"/>
            <w:tcBorders>
              <w:top w:val="single" w:sz="8" w:space="0" w:color="7F7F7F"/>
              <w:left w:val="nil"/>
              <w:bottom w:val="single" w:sz="4" w:space="0" w:color="7F7F7F" w:themeColor="text1" w:themeTint="80"/>
              <w:right w:val="nil"/>
            </w:tcBorders>
            <w:shd w:val="clear" w:color="auto" w:fill="auto"/>
            <w:noWrap/>
            <w:vAlign w:val="center"/>
            <w:hideMark/>
          </w:tcPr>
          <w:p w14:paraId="30CDD27D" w14:textId="467776DE" w:rsidR="00937CBB" w:rsidRPr="0045779B" w:rsidRDefault="00937CBB" w:rsidP="0045779B">
            <w:pPr>
              <w:rPr>
                <w:rFonts w:eastAsia="Times New Roman"/>
              </w:rPr>
            </w:pPr>
            <w:r w:rsidRPr="0045779B">
              <w:rPr>
                <w:rFonts w:eastAsia="Times New Roman"/>
              </w:rPr>
              <w:t>€ 2.852</w:t>
            </w:r>
          </w:p>
        </w:tc>
        <w:tc>
          <w:tcPr>
            <w:tcW w:w="1276" w:type="dxa"/>
            <w:tcBorders>
              <w:top w:val="single" w:sz="8" w:space="0" w:color="7F7F7F"/>
              <w:left w:val="nil"/>
              <w:bottom w:val="single" w:sz="4" w:space="0" w:color="7F7F7F" w:themeColor="text1" w:themeTint="80"/>
              <w:right w:val="nil"/>
            </w:tcBorders>
            <w:shd w:val="clear" w:color="auto" w:fill="auto"/>
            <w:noWrap/>
            <w:vAlign w:val="center"/>
            <w:hideMark/>
          </w:tcPr>
          <w:p w14:paraId="6310E085" w14:textId="614FAF53" w:rsidR="00937CBB" w:rsidRPr="0045779B" w:rsidRDefault="00937CBB" w:rsidP="0045779B">
            <w:pPr>
              <w:rPr>
                <w:rFonts w:eastAsia="Times New Roman"/>
              </w:rPr>
            </w:pPr>
            <w:r w:rsidRPr="0045779B">
              <w:rPr>
                <w:rFonts w:eastAsia="Times New Roman"/>
              </w:rPr>
              <w:t>€ 2.504</w:t>
            </w:r>
          </w:p>
        </w:tc>
        <w:tc>
          <w:tcPr>
            <w:tcW w:w="1418" w:type="dxa"/>
            <w:vMerge w:val="restart"/>
            <w:tcBorders>
              <w:top w:val="single" w:sz="8" w:space="0" w:color="7F7F7F"/>
              <w:left w:val="nil"/>
              <w:right w:val="nil"/>
            </w:tcBorders>
            <w:vAlign w:val="center"/>
          </w:tcPr>
          <w:p w14:paraId="0BF5190E" w14:textId="35405DD3" w:rsidR="00937CBB" w:rsidRPr="0045779B" w:rsidRDefault="00937CBB" w:rsidP="00937CBB">
            <w:pPr>
              <w:rPr>
                <w:rFonts w:eastAsia="Times New Roman"/>
              </w:rPr>
            </w:pPr>
            <w:r>
              <w:rPr>
                <w:rFonts w:eastAsia="Times New Roman"/>
                <w:lang w:val="en-GB"/>
              </w:rPr>
              <w:t>-0,52</w:t>
            </w:r>
            <w:r w:rsidRPr="0045779B">
              <w:rPr>
                <w:rFonts w:eastAsia="Times New Roman"/>
                <w:lang w:val="en-GB"/>
              </w:rPr>
              <w:t>%</w:t>
            </w:r>
          </w:p>
        </w:tc>
      </w:tr>
      <w:tr w:rsidR="00937CBB" w:rsidRPr="0045779B" w14:paraId="6AE18543" w14:textId="36ACA189" w:rsidTr="00937CBB">
        <w:trPr>
          <w:gridAfter w:val="1"/>
          <w:wAfter w:w="626" w:type="dxa"/>
          <w:trHeight w:val="324"/>
        </w:trPr>
        <w:tc>
          <w:tcPr>
            <w:tcW w:w="1497" w:type="dxa"/>
            <w:vMerge/>
            <w:tcBorders>
              <w:left w:val="nil"/>
              <w:bottom w:val="single" w:sz="4" w:space="0" w:color="auto"/>
              <w:right w:val="nil"/>
            </w:tcBorders>
            <w:shd w:val="clear" w:color="auto" w:fill="auto"/>
            <w:noWrap/>
            <w:vAlign w:val="center"/>
            <w:hideMark/>
          </w:tcPr>
          <w:p w14:paraId="36531E44" w14:textId="0C8B1334" w:rsidR="00937CBB" w:rsidRPr="0045779B" w:rsidRDefault="00937CBB" w:rsidP="0045779B">
            <w:pPr>
              <w:rPr>
                <w:rFonts w:eastAsia="Times New Roman"/>
              </w:rPr>
            </w:pPr>
          </w:p>
        </w:tc>
        <w:tc>
          <w:tcPr>
            <w:tcW w:w="772" w:type="dxa"/>
            <w:tcBorders>
              <w:top w:val="single" w:sz="4" w:space="0" w:color="7F7F7F" w:themeColor="text1" w:themeTint="80"/>
              <w:left w:val="nil"/>
              <w:bottom w:val="single" w:sz="4" w:space="0" w:color="auto"/>
              <w:right w:val="nil"/>
            </w:tcBorders>
            <w:shd w:val="clear" w:color="auto" w:fill="auto"/>
            <w:noWrap/>
            <w:vAlign w:val="center"/>
            <w:hideMark/>
          </w:tcPr>
          <w:p w14:paraId="2DBCEB4C" w14:textId="7CD62D39" w:rsidR="00937CBB" w:rsidRPr="0045779B" w:rsidRDefault="00937CBB" w:rsidP="0045779B">
            <w:pPr>
              <w:rPr>
                <w:rFonts w:eastAsia="Times New Roman"/>
                <w:lang w:val="en-GB"/>
              </w:rPr>
            </w:pPr>
            <w:r w:rsidRPr="0045779B">
              <w:rPr>
                <w:rFonts w:eastAsia="Times New Roman"/>
                <w:lang w:val="en-GB"/>
              </w:rPr>
              <w:t>2021</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439B9F39" w14:textId="5896CDC6" w:rsidR="00937CBB" w:rsidRPr="0045779B" w:rsidRDefault="00937CBB" w:rsidP="0045779B">
            <w:pPr>
              <w:rPr>
                <w:rFonts w:eastAsia="Times New Roman"/>
              </w:rPr>
            </w:pPr>
            <w:r w:rsidRPr="0045779B">
              <w:t>€ 2.359</w:t>
            </w:r>
          </w:p>
        </w:tc>
        <w:tc>
          <w:tcPr>
            <w:tcW w:w="993" w:type="dxa"/>
            <w:tcBorders>
              <w:top w:val="single" w:sz="4" w:space="0" w:color="7F7F7F" w:themeColor="text1" w:themeTint="80"/>
              <w:left w:val="nil"/>
              <w:bottom w:val="single" w:sz="4" w:space="0" w:color="auto"/>
              <w:right w:val="nil"/>
            </w:tcBorders>
            <w:shd w:val="clear" w:color="auto" w:fill="auto"/>
            <w:noWrap/>
            <w:hideMark/>
          </w:tcPr>
          <w:p w14:paraId="443814AA" w14:textId="209637AE" w:rsidR="00937CBB" w:rsidRPr="0045779B" w:rsidRDefault="00937CBB" w:rsidP="0045779B">
            <w:pPr>
              <w:rPr>
                <w:rFonts w:eastAsia="Times New Roman"/>
              </w:rPr>
            </w:pPr>
            <w:r w:rsidRPr="0045779B">
              <w:t xml:space="preserve">€ </w:t>
            </w:r>
            <w:r w:rsidRPr="0045779B">
              <w:rPr>
                <w:lang w:val="en-GB"/>
              </w:rPr>
              <w:t>2.362</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367D981F" w14:textId="414C962B" w:rsidR="00937CBB" w:rsidRPr="0045779B" w:rsidRDefault="00937CBB" w:rsidP="0045779B">
            <w:pPr>
              <w:rPr>
                <w:rFonts w:eastAsia="Times New Roman"/>
              </w:rPr>
            </w:pPr>
            <w:r w:rsidRPr="0045779B">
              <w:t xml:space="preserve">€ </w:t>
            </w:r>
            <w:r w:rsidRPr="0045779B">
              <w:rPr>
                <w:lang w:val="en-GB"/>
              </w:rPr>
              <w:t>2.587</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0B41B95A" w14:textId="0653BA5D" w:rsidR="00937CBB" w:rsidRPr="0045779B" w:rsidRDefault="00937CBB" w:rsidP="0045779B">
            <w:pPr>
              <w:rPr>
                <w:rFonts w:eastAsia="Times New Roman"/>
              </w:rPr>
            </w:pPr>
            <w:r w:rsidRPr="0045779B">
              <w:t>€ 3.250</w:t>
            </w:r>
            <w:r w:rsidRPr="0045779B">
              <w:rPr>
                <w:lang w:val="en-GB"/>
              </w:rPr>
              <w:t>*</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73706E3C" w14:textId="77A5EA42" w:rsidR="00937CBB" w:rsidRPr="0045779B" w:rsidRDefault="00937CBB" w:rsidP="0045779B">
            <w:pPr>
              <w:rPr>
                <w:rFonts w:eastAsia="Times New Roman"/>
              </w:rPr>
            </w:pPr>
            <w:r w:rsidRPr="0045779B">
              <w:t xml:space="preserve">€ </w:t>
            </w:r>
            <w:r w:rsidRPr="0045779B">
              <w:rPr>
                <w:lang w:val="en-GB"/>
              </w:rPr>
              <w:t>2.682</w:t>
            </w:r>
          </w:p>
        </w:tc>
        <w:tc>
          <w:tcPr>
            <w:tcW w:w="1276" w:type="dxa"/>
            <w:tcBorders>
              <w:top w:val="single" w:sz="4" w:space="0" w:color="7F7F7F" w:themeColor="text1" w:themeTint="80"/>
              <w:left w:val="nil"/>
              <w:bottom w:val="single" w:sz="4" w:space="0" w:color="auto"/>
              <w:right w:val="nil"/>
            </w:tcBorders>
            <w:shd w:val="clear" w:color="auto" w:fill="auto"/>
            <w:noWrap/>
            <w:hideMark/>
          </w:tcPr>
          <w:p w14:paraId="3B41EB02" w14:textId="59E20B75" w:rsidR="00937CBB" w:rsidRPr="0045779B" w:rsidRDefault="00937CBB" w:rsidP="0045779B">
            <w:pPr>
              <w:rPr>
                <w:rFonts w:eastAsia="Times New Roman"/>
              </w:rPr>
            </w:pPr>
            <w:r w:rsidRPr="0045779B">
              <w:t xml:space="preserve">€ </w:t>
            </w:r>
            <w:r w:rsidRPr="0045779B">
              <w:rPr>
                <w:lang w:val="en-GB"/>
              </w:rPr>
              <w:t>2.491</w:t>
            </w:r>
          </w:p>
        </w:tc>
        <w:tc>
          <w:tcPr>
            <w:tcW w:w="1418" w:type="dxa"/>
            <w:vMerge/>
            <w:tcBorders>
              <w:left w:val="nil"/>
              <w:bottom w:val="single" w:sz="4" w:space="0" w:color="auto"/>
              <w:right w:val="nil"/>
            </w:tcBorders>
            <w:vAlign w:val="center"/>
          </w:tcPr>
          <w:p w14:paraId="685A0C21" w14:textId="5CEE18F5" w:rsidR="00937CBB" w:rsidRPr="0045779B" w:rsidRDefault="00937CBB" w:rsidP="00937CBB">
            <w:pPr>
              <w:rPr>
                <w:rFonts w:eastAsia="Times New Roman"/>
                <w:vertAlign w:val="subscript"/>
                <w:lang w:val="en-GB"/>
              </w:rPr>
            </w:pPr>
          </w:p>
        </w:tc>
      </w:tr>
      <w:tr w:rsidR="00937CBB" w:rsidRPr="0045779B" w14:paraId="582283DE" w14:textId="77777777" w:rsidTr="00937CBB">
        <w:trPr>
          <w:gridAfter w:val="1"/>
          <w:wAfter w:w="626" w:type="dxa"/>
          <w:trHeight w:val="324"/>
        </w:trPr>
        <w:tc>
          <w:tcPr>
            <w:tcW w:w="1497" w:type="dxa"/>
            <w:vMerge w:val="restart"/>
            <w:tcBorders>
              <w:top w:val="single" w:sz="4" w:space="0" w:color="auto"/>
              <w:left w:val="nil"/>
              <w:right w:val="nil"/>
            </w:tcBorders>
            <w:shd w:val="clear" w:color="auto" w:fill="auto"/>
            <w:noWrap/>
            <w:vAlign w:val="center"/>
          </w:tcPr>
          <w:p w14:paraId="08793F11" w14:textId="3AA307F3" w:rsidR="00937CBB" w:rsidRPr="0045779B" w:rsidRDefault="00937CBB" w:rsidP="0045779B">
            <w:pPr>
              <w:rPr>
                <w:rFonts w:eastAsia="Times New Roman"/>
              </w:rPr>
            </w:pPr>
            <w:r w:rsidRPr="0045779B">
              <w:rPr>
                <w:rFonts w:eastAsia="Times New Roman"/>
              </w:rPr>
              <w:t>ARMT</w:t>
            </w:r>
          </w:p>
        </w:tc>
        <w:tc>
          <w:tcPr>
            <w:tcW w:w="772" w:type="dxa"/>
            <w:tcBorders>
              <w:top w:val="single" w:sz="4" w:space="0" w:color="auto"/>
              <w:left w:val="nil"/>
              <w:bottom w:val="single" w:sz="4" w:space="0" w:color="7F7F7F" w:themeColor="text1" w:themeTint="80"/>
              <w:right w:val="nil"/>
            </w:tcBorders>
            <w:shd w:val="clear" w:color="auto" w:fill="auto"/>
            <w:noWrap/>
            <w:vAlign w:val="center"/>
          </w:tcPr>
          <w:p w14:paraId="2E752859" w14:textId="38D176EE" w:rsidR="00937CBB" w:rsidRPr="0045779B" w:rsidRDefault="00937CBB" w:rsidP="0045779B">
            <w:pPr>
              <w:rPr>
                <w:rFonts w:eastAsia="Times New Roman"/>
                <w:lang w:val="en-GB"/>
              </w:rPr>
            </w:pPr>
            <w:r w:rsidRPr="0045779B">
              <w:rPr>
                <w:rFonts w:eastAsia="Times New Roman"/>
              </w:rPr>
              <w:t>2020</w:t>
            </w:r>
          </w:p>
        </w:tc>
        <w:tc>
          <w:tcPr>
            <w:tcW w:w="992" w:type="dxa"/>
            <w:tcBorders>
              <w:top w:val="single" w:sz="4" w:space="0" w:color="auto"/>
              <w:left w:val="nil"/>
              <w:bottom w:val="single" w:sz="4" w:space="0" w:color="7F7F7F" w:themeColor="text1" w:themeTint="80"/>
              <w:right w:val="nil"/>
            </w:tcBorders>
            <w:shd w:val="clear" w:color="auto" w:fill="auto"/>
            <w:noWrap/>
            <w:vAlign w:val="center"/>
          </w:tcPr>
          <w:p w14:paraId="5F99A882" w14:textId="79097F78" w:rsidR="00937CBB" w:rsidRPr="0045779B" w:rsidRDefault="00937CBB" w:rsidP="0045779B">
            <w:pPr>
              <w:rPr>
                <w:rFonts w:eastAsia="Times New Roman"/>
              </w:rPr>
            </w:pPr>
            <w:r w:rsidRPr="0045779B">
              <w:rPr>
                <w:rFonts w:eastAsia="Times New Roman"/>
              </w:rPr>
              <w:t>€ 2.694</w:t>
            </w:r>
          </w:p>
        </w:tc>
        <w:tc>
          <w:tcPr>
            <w:tcW w:w="993" w:type="dxa"/>
            <w:tcBorders>
              <w:top w:val="single" w:sz="4" w:space="0" w:color="auto"/>
              <w:left w:val="nil"/>
              <w:bottom w:val="single" w:sz="4" w:space="0" w:color="7F7F7F" w:themeColor="text1" w:themeTint="80"/>
              <w:right w:val="nil"/>
            </w:tcBorders>
            <w:shd w:val="clear" w:color="auto" w:fill="auto"/>
            <w:noWrap/>
            <w:vAlign w:val="center"/>
          </w:tcPr>
          <w:p w14:paraId="24E27CB0" w14:textId="5BC67FC4" w:rsidR="00937CBB" w:rsidRPr="0045779B" w:rsidRDefault="00937CBB" w:rsidP="0045779B">
            <w:pPr>
              <w:rPr>
                <w:rFonts w:eastAsia="Times New Roman"/>
              </w:rPr>
            </w:pPr>
            <w:r w:rsidRPr="0045779B">
              <w:rPr>
                <w:rFonts w:eastAsia="Times New Roman"/>
              </w:rPr>
              <w:t>€ 2.709</w:t>
            </w:r>
          </w:p>
        </w:tc>
        <w:tc>
          <w:tcPr>
            <w:tcW w:w="992" w:type="dxa"/>
            <w:tcBorders>
              <w:top w:val="single" w:sz="4" w:space="0" w:color="auto"/>
              <w:left w:val="nil"/>
              <w:bottom w:val="single" w:sz="4" w:space="0" w:color="7F7F7F" w:themeColor="text1" w:themeTint="80"/>
              <w:right w:val="nil"/>
            </w:tcBorders>
            <w:shd w:val="clear" w:color="auto" w:fill="auto"/>
            <w:noWrap/>
            <w:vAlign w:val="center"/>
          </w:tcPr>
          <w:p w14:paraId="1FD63046" w14:textId="1E06EF2A" w:rsidR="00937CBB" w:rsidRPr="0045779B" w:rsidRDefault="00937CBB" w:rsidP="0045779B">
            <w:pPr>
              <w:rPr>
                <w:rFonts w:eastAsia="Times New Roman"/>
              </w:rPr>
            </w:pPr>
            <w:r w:rsidRPr="0045779B">
              <w:rPr>
                <w:rFonts w:eastAsia="Times New Roman"/>
              </w:rPr>
              <w:t>€ 3.038</w:t>
            </w:r>
          </w:p>
        </w:tc>
        <w:tc>
          <w:tcPr>
            <w:tcW w:w="992" w:type="dxa"/>
            <w:tcBorders>
              <w:top w:val="single" w:sz="4" w:space="0" w:color="auto"/>
              <w:left w:val="nil"/>
              <w:bottom w:val="single" w:sz="4" w:space="0" w:color="7F7F7F" w:themeColor="text1" w:themeTint="80"/>
              <w:right w:val="nil"/>
            </w:tcBorders>
            <w:shd w:val="clear" w:color="auto" w:fill="auto"/>
            <w:noWrap/>
            <w:vAlign w:val="center"/>
          </w:tcPr>
          <w:p w14:paraId="7706BA14" w14:textId="47CFD223" w:rsidR="00937CBB" w:rsidRPr="0045779B" w:rsidRDefault="00937CBB" w:rsidP="0045779B">
            <w:pPr>
              <w:rPr>
                <w:rFonts w:eastAsia="Times New Roman"/>
                <w:lang w:val="nl-NL"/>
              </w:rPr>
            </w:pPr>
            <w:proofErr w:type="spellStart"/>
            <w:r w:rsidRPr="0045779B">
              <w:rPr>
                <w:rFonts w:eastAsia="Times New Roman"/>
                <w:lang w:val="nl-NL"/>
              </w:rPr>
              <w:t>n.b</w:t>
            </w:r>
            <w:proofErr w:type="spellEnd"/>
            <w:r w:rsidRPr="0045779B">
              <w:rPr>
                <w:rFonts w:eastAsia="Times New Roman"/>
                <w:lang w:val="nl-NL"/>
              </w:rPr>
              <w:t xml:space="preserve"> </w:t>
            </w:r>
          </w:p>
        </w:tc>
        <w:tc>
          <w:tcPr>
            <w:tcW w:w="992" w:type="dxa"/>
            <w:tcBorders>
              <w:top w:val="single" w:sz="4" w:space="0" w:color="auto"/>
              <w:left w:val="nil"/>
              <w:bottom w:val="single" w:sz="4" w:space="0" w:color="7F7F7F" w:themeColor="text1" w:themeTint="80"/>
              <w:right w:val="nil"/>
            </w:tcBorders>
            <w:shd w:val="clear" w:color="auto" w:fill="auto"/>
            <w:noWrap/>
            <w:vAlign w:val="center"/>
          </w:tcPr>
          <w:p w14:paraId="581D8A80" w14:textId="20915B35" w:rsidR="00937CBB" w:rsidRPr="0045779B" w:rsidRDefault="00937CBB" w:rsidP="0045779B">
            <w:pPr>
              <w:rPr>
                <w:rFonts w:eastAsia="Times New Roman"/>
              </w:rPr>
            </w:pPr>
            <w:r w:rsidRPr="0045779B">
              <w:rPr>
                <w:rFonts w:eastAsia="Times New Roman"/>
              </w:rPr>
              <w:t>€ 3.071</w:t>
            </w:r>
          </w:p>
        </w:tc>
        <w:tc>
          <w:tcPr>
            <w:tcW w:w="1276" w:type="dxa"/>
            <w:tcBorders>
              <w:top w:val="single" w:sz="4" w:space="0" w:color="auto"/>
              <w:left w:val="nil"/>
              <w:bottom w:val="single" w:sz="4" w:space="0" w:color="7F7F7F" w:themeColor="text1" w:themeTint="80"/>
              <w:right w:val="single" w:sz="4" w:space="0" w:color="FFFFFF" w:themeColor="background1"/>
            </w:tcBorders>
            <w:shd w:val="clear" w:color="auto" w:fill="auto"/>
            <w:noWrap/>
            <w:vAlign w:val="center"/>
          </w:tcPr>
          <w:p w14:paraId="00572672" w14:textId="495B5E16" w:rsidR="00937CBB" w:rsidRPr="0045779B" w:rsidRDefault="00937CBB" w:rsidP="0045779B">
            <w:pPr>
              <w:rPr>
                <w:rFonts w:eastAsia="Times New Roman"/>
              </w:rPr>
            </w:pPr>
            <w:r w:rsidRPr="0045779B">
              <w:rPr>
                <w:rFonts w:eastAsia="Times New Roman"/>
              </w:rPr>
              <w:t>€ 2.761</w:t>
            </w:r>
          </w:p>
        </w:tc>
        <w:tc>
          <w:tcPr>
            <w:tcW w:w="1418" w:type="dxa"/>
            <w:vMerge w:val="restart"/>
            <w:tcBorders>
              <w:top w:val="single" w:sz="4" w:space="0" w:color="auto"/>
              <w:left w:val="single" w:sz="4" w:space="0" w:color="FFFFFF" w:themeColor="background1"/>
              <w:right w:val="nil"/>
            </w:tcBorders>
            <w:vAlign w:val="center"/>
          </w:tcPr>
          <w:p w14:paraId="2A6AA401" w14:textId="680350E4" w:rsidR="00937CBB" w:rsidRPr="0045779B" w:rsidRDefault="00937CBB" w:rsidP="00937CBB">
            <w:pPr>
              <w:rPr>
                <w:rFonts w:eastAsia="Times New Roman"/>
                <w:lang w:val="en-GB"/>
              </w:rPr>
            </w:pPr>
            <w:r>
              <w:rPr>
                <w:rFonts w:eastAsia="Times New Roman"/>
                <w:lang w:val="en-GB"/>
              </w:rPr>
              <w:t>-4,00</w:t>
            </w:r>
          </w:p>
        </w:tc>
      </w:tr>
      <w:tr w:rsidR="00937CBB" w:rsidRPr="0045779B" w14:paraId="77695DE1" w14:textId="4F9C6D9D" w:rsidTr="00937CBB">
        <w:trPr>
          <w:gridAfter w:val="1"/>
          <w:wAfter w:w="626" w:type="dxa"/>
          <w:trHeight w:val="300"/>
        </w:trPr>
        <w:tc>
          <w:tcPr>
            <w:tcW w:w="1497" w:type="dxa"/>
            <w:vMerge/>
            <w:tcBorders>
              <w:left w:val="nil"/>
              <w:bottom w:val="single" w:sz="4" w:space="0" w:color="auto"/>
              <w:right w:val="nil"/>
            </w:tcBorders>
            <w:shd w:val="clear" w:color="auto" w:fill="auto"/>
            <w:noWrap/>
            <w:hideMark/>
          </w:tcPr>
          <w:p w14:paraId="68C25DDD" w14:textId="6FEF841C" w:rsidR="00937CBB" w:rsidRPr="0045779B" w:rsidRDefault="00937CBB" w:rsidP="0045779B">
            <w:pPr>
              <w:rPr>
                <w:rFonts w:eastAsia="Times New Roman"/>
              </w:rPr>
            </w:pPr>
          </w:p>
        </w:tc>
        <w:tc>
          <w:tcPr>
            <w:tcW w:w="772" w:type="dxa"/>
            <w:tcBorders>
              <w:top w:val="single" w:sz="4" w:space="0" w:color="7F7F7F" w:themeColor="text1" w:themeTint="80"/>
              <w:left w:val="nil"/>
              <w:bottom w:val="single" w:sz="4" w:space="0" w:color="auto"/>
              <w:right w:val="nil"/>
            </w:tcBorders>
            <w:shd w:val="clear" w:color="auto" w:fill="auto"/>
            <w:noWrap/>
            <w:vAlign w:val="center"/>
            <w:hideMark/>
          </w:tcPr>
          <w:p w14:paraId="0397D150" w14:textId="3B46B8C1" w:rsidR="00937CBB" w:rsidRPr="0045779B" w:rsidRDefault="00937CBB" w:rsidP="0045779B">
            <w:pPr>
              <w:rPr>
                <w:rFonts w:eastAsia="Times New Roman"/>
                <w:lang w:val="en-GB"/>
              </w:rPr>
            </w:pPr>
            <w:r w:rsidRPr="0045779B">
              <w:rPr>
                <w:lang w:val="en-GB"/>
              </w:rPr>
              <w:t>2021</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72459E5C" w14:textId="31685470" w:rsidR="00937CBB" w:rsidRPr="0045779B" w:rsidRDefault="00937CBB" w:rsidP="0045779B">
            <w:pPr>
              <w:rPr>
                <w:rFonts w:eastAsia="Times New Roman"/>
              </w:rPr>
            </w:pPr>
            <w:r w:rsidRPr="0045779B">
              <w:t>€</w:t>
            </w:r>
            <w:r w:rsidRPr="0045779B">
              <w:rPr>
                <w:lang w:val="en-GB"/>
              </w:rPr>
              <w:t>2.656</w:t>
            </w:r>
          </w:p>
        </w:tc>
        <w:tc>
          <w:tcPr>
            <w:tcW w:w="993" w:type="dxa"/>
            <w:tcBorders>
              <w:top w:val="single" w:sz="4" w:space="0" w:color="7F7F7F" w:themeColor="text1" w:themeTint="80"/>
              <w:left w:val="nil"/>
              <w:bottom w:val="single" w:sz="4" w:space="0" w:color="auto"/>
              <w:right w:val="nil"/>
            </w:tcBorders>
            <w:shd w:val="clear" w:color="auto" w:fill="auto"/>
            <w:noWrap/>
            <w:hideMark/>
          </w:tcPr>
          <w:p w14:paraId="73D92761" w14:textId="58B950E3" w:rsidR="00937CBB" w:rsidRPr="0045779B" w:rsidRDefault="00937CBB" w:rsidP="0045779B">
            <w:pPr>
              <w:rPr>
                <w:rFonts w:eastAsia="Times New Roman"/>
              </w:rPr>
            </w:pPr>
            <w:r w:rsidRPr="0045779B">
              <w:t xml:space="preserve">€ </w:t>
            </w:r>
            <w:r w:rsidRPr="0045779B">
              <w:rPr>
                <w:lang w:val="en-GB"/>
              </w:rPr>
              <w:t>2.652</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6CC8AD18" w14:textId="18A043A6" w:rsidR="00937CBB" w:rsidRPr="0045779B" w:rsidRDefault="00937CBB" w:rsidP="0045779B">
            <w:pPr>
              <w:rPr>
                <w:rFonts w:eastAsia="Times New Roman"/>
              </w:rPr>
            </w:pPr>
            <w:r w:rsidRPr="0045779B">
              <w:t xml:space="preserve">€ </w:t>
            </w:r>
            <w:r w:rsidRPr="0045779B">
              <w:rPr>
                <w:lang w:val="en-GB"/>
              </w:rPr>
              <w:t>2.949</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69A57178" w14:textId="33B4A0E0" w:rsidR="00937CBB" w:rsidRPr="0045779B" w:rsidRDefault="00937CBB" w:rsidP="0045779B">
            <w:pPr>
              <w:rPr>
                <w:rFonts w:eastAsia="Times New Roman"/>
              </w:rPr>
            </w:pPr>
            <w:r w:rsidRPr="0045779B">
              <w:t xml:space="preserve">€ </w:t>
            </w:r>
            <w:r w:rsidRPr="0045779B">
              <w:rPr>
                <w:lang w:val="nl-NL"/>
              </w:rPr>
              <w:t>3.047</w:t>
            </w:r>
          </w:p>
        </w:tc>
        <w:tc>
          <w:tcPr>
            <w:tcW w:w="992" w:type="dxa"/>
            <w:tcBorders>
              <w:top w:val="single" w:sz="4" w:space="0" w:color="7F7F7F" w:themeColor="text1" w:themeTint="80"/>
              <w:left w:val="nil"/>
              <w:bottom w:val="single" w:sz="4" w:space="0" w:color="auto"/>
              <w:right w:val="nil"/>
            </w:tcBorders>
            <w:shd w:val="clear" w:color="auto" w:fill="auto"/>
            <w:noWrap/>
            <w:hideMark/>
          </w:tcPr>
          <w:p w14:paraId="0AFEFD43" w14:textId="312A55A3" w:rsidR="00937CBB" w:rsidRPr="0045779B" w:rsidRDefault="00937CBB" w:rsidP="0045779B">
            <w:pPr>
              <w:rPr>
                <w:rFonts w:eastAsia="Times New Roman"/>
              </w:rPr>
            </w:pPr>
            <w:r w:rsidRPr="0045779B">
              <w:t xml:space="preserve">€ </w:t>
            </w:r>
            <w:r w:rsidRPr="0045779B">
              <w:rPr>
                <w:lang w:val="en-GB"/>
              </w:rPr>
              <w:t>3.093</w:t>
            </w:r>
          </w:p>
        </w:tc>
        <w:tc>
          <w:tcPr>
            <w:tcW w:w="1276" w:type="dxa"/>
            <w:tcBorders>
              <w:top w:val="single" w:sz="4" w:space="0" w:color="7F7F7F" w:themeColor="text1" w:themeTint="80"/>
              <w:left w:val="nil"/>
              <w:bottom w:val="single" w:sz="4" w:space="0" w:color="auto"/>
              <w:right w:val="single" w:sz="4" w:space="0" w:color="FFFFFF" w:themeColor="background1"/>
            </w:tcBorders>
            <w:shd w:val="clear" w:color="auto" w:fill="auto"/>
            <w:noWrap/>
            <w:hideMark/>
          </w:tcPr>
          <w:p w14:paraId="73469FB2" w14:textId="44EB00BA" w:rsidR="00937CBB" w:rsidRPr="0045779B" w:rsidRDefault="00937CBB" w:rsidP="0045779B">
            <w:pPr>
              <w:rPr>
                <w:rFonts w:eastAsia="Times New Roman"/>
              </w:rPr>
            </w:pPr>
            <w:r w:rsidRPr="0045779B">
              <w:t>€</w:t>
            </w:r>
            <w:r w:rsidRPr="0045779B">
              <w:rPr>
                <w:lang w:val="en-GB"/>
              </w:rPr>
              <w:t>2.656</w:t>
            </w:r>
          </w:p>
        </w:tc>
        <w:tc>
          <w:tcPr>
            <w:tcW w:w="1418" w:type="dxa"/>
            <w:vMerge/>
            <w:tcBorders>
              <w:left w:val="single" w:sz="4" w:space="0" w:color="FFFFFF" w:themeColor="background1"/>
              <w:bottom w:val="single" w:sz="4" w:space="0" w:color="auto"/>
              <w:right w:val="nil"/>
            </w:tcBorders>
            <w:vAlign w:val="center"/>
          </w:tcPr>
          <w:p w14:paraId="2E26A11A" w14:textId="4F17B4AB" w:rsidR="00937CBB" w:rsidRPr="0045779B" w:rsidRDefault="00937CBB" w:rsidP="00937CBB">
            <w:pPr>
              <w:rPr>
                <w:rFonts w:eastAsia="Times New Roman"/>
              </w:rPr>
            </w:pPr>
          </w:p>
        </w:tc>
      </w:tr>
      <w:tr w:rsidR="00937CBB" w:rsidRPr="0045779B" w14:paraId="0959CC59" w14:textId="053B1475" w:rsidTr="00937CBB">
        <w:trPr>
          <w:gridAfter w:val="1"/>
          <w:wAfter w:w="626" w:type="dxa"/>
          <w:trHeight w:val="324"/>
        </w:trPr>
        <w:tc>
          <w:tcPr>
            <w:tcW w:w="1497" w:type="dxa"/>
            <w:vMerge w:val="restart"/>
            <w:tcBorders>
              <w:top w:val="single" w:sz="4" w:space="0" w:color="auto"/>
              <w:left w:val="nil"/>
              <w:right w:val="nil"/>
            </w:tcBorders>
            <w:shd w:val="clear" w:color="auto" w:fill="auto"/>
            <w:noWrap/>
            <w:vAlign w:val="center"/>
            <w:hideMark/>
          </w:tcPr>
          <w:p w14:paraId="20438870" w14:textId="2624E054" w:rsidR="00937CBB" w:rsidRPr="0045779B" w:rsidRDefault="00937CBB" w:rsidP="0045779B">
            <w:pPr>
              <w:rPr>
                <w:rFonts w:eastAsia="Times New Roman"/>
              </w:rPr>
            </w:pPr>
            <w:r w:rsidRPr="0045779B">
              <w:rPr>
                <w:rFonts w:eastAsia="Times New Roman"/>
              </w:rPr>
              <w:t>KRMT</w:t>
            </w:r>
          </w:p>
        </w:tc>
        <w:tc>
          <w:tcPr>
            <w:tcW w:w="772" w:type="dxa"/>
            <w:tcBorders>
              <w:top w:val="single" w:sz="4" w:space="0" w:color="auto"/>
              <w:left w:val="nil"/>
              <w:bottom w:val="single" w:sz="4" w:space="0" w:color="7F7F7F" w:themeColor="text1" w:themeTint="80"/>
              <w:right w:val="nil"/>
            </w:tcBorders>
            <w:shd w:val="clear" w:color="auto" w:fill="auto"/>
            <w:noWrap/>
            <w:vAlign w:val="center"/>
            <w:hideMark/>
          </w:tcPr>
          <w:p w14:paraId="59D5E25D" w14:textId="0218F51A" w:rsidR="00937CBB" w:rsidRPr="0045779B" w:rsidRDefault="00937CBB" w:rsidP="0045779B">
            <w:pPr>
              <w:rPr>
                <w:rFonts w:eastAsia="Times New Roman"/>
              </w:rPr>
            </w:pPr>
            <w:r w:rsidRPr="0045779B">
              <w:rPr>
                <w:rFonts w:eastAsia="Times New Roman"/>
              </w:rPr>
              <w:t>2020</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7D59F408" w14:textId="4532398C" w:rsidR="00937CBB" w:rsidRPr="0045779B" w:rsidRDefault="00937CBB" w:rsidP="0045779B">
            <w:pPr>
              <w:rPr>
                <w:rFonts w:eastAsia="Times New Roman"/>
              </w:rPr>
            </w:pPr>
            <w:r w:rsidRPr="0045779B">
              <w:rPr>
                <w:rFonts w:eastAsia="Times New Roman"/>
              </w:rPr>
              <w:t>€ 2.818</w:t>
            </w:r>
          </w:p>
        </w:tc>
        <w:tc>
          <w:tcPr>
            <w:tcW w:w="993" w:type="dxa"/>
            <w:tcBorders>
              <w:top w:val="single" w:sz="4" w:space="0" w:color="auto"/>
              <w:left w:val="nil"/>
              <w:bottom w:val="single" w:sz="4" w:space="0" w:color="7F7F7F" w:themeColor="text1" w:themeTint="80"/>
              <w:right w:val="nil"/>
            </w:tcBorders>
            <w:shd w:val="clear" w:color="auto" w:fill="auto"/>
            <w:noWrap/>
            <w:vAlign w:val="center"/>
            <w:hideMark/>
          </w:tcPr>
          <w:p w14:paraId="7EF3C679" w14:textId="68EC6689" w:rsidR="00937CBB" w:rsidRPr="0045779B" w:rsidRDefault="00937CBB" w:rsidP="0045779B">
            <w:pPr>
              <w:rPr>
                <w:rFonts w:eastAsia="Times New Roman"/>
              </w:rPr>
            </w:pPr>
            <w:r w:rsidRPr="0045779B">
              <w:rPr>
                <w:rFonts w:eastAsia="Times New Roman"/>
              </w:rPr>
              <w:t>€ 3.220</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6911FBA0" w14:textId="7300E6E0" w:rsidR="00937CBB" w:rsidRPr="0045779B" w:rsidRDefault="00937CBB" w:rsidP="0045779B">
            <w:pPr>
              <w:rPr>
                <w:rFonts w:eastAsia="Times New Roman"/>
              </w:rPr>
            </w:pPr>
            <w:r w:rsidRPr="0045779B">
              <w:rPr>
                <w:rFonts w:eastAsia="Times New Roman"/>
              </w:rPr>
              <w:t>€ 3.218</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71EF2A13" w14:textId="74AE9B95" w:rsidR="00937CBB" w:rsidRPr="0045779B" w:rsidRDefault="00937CBB" w:rsidP="0045779B">
            <w:pPr>
              <w:rPr>
                <w:rFonts w:eastAsia="Times New Roman"/>
              </w:rPr>
            </w:pPr>
            <w:r w:rsidRPr="0045779B">
              <w:rPr>
                <w:rFonts w:eastAsia="Times New Roman"/>
              </w:rPr>
              <w:t>€ 3.533</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7F2E0BE4" w14:textId="5BE01463" w:rsidR="00937CBB" w:rsidRPr="0045779B" w:rsidRDefault="00937CBB" w:rsidP="0045779B">
            <w:pPr>
              <w:rPr>
                <w:rFonts w:eastAsia="Times New Roman"/>
              </w:rPr>
            </w:pPr>
            <w:r w:rsidRPr="0045779B">
              <w:rPr>
                <w:rFonts w:eastAsia="Times New Roman"/>
              </w:rPr>
              <w:t>€ 3.947</w:t>
            </w:r>
          </w:p>
        </w:tc>
        <w:tc>
          <w:tcPr>
            <w:tcW w:w="1276" w:type="dxa"/>
            <w:tcBorders>
              <w:top w:val="single" w:sz="4" w:space="0" w:color="auto"/>
              <w:left w:val="nil"/>
              <w:bottom w:val="single" w:sz="4" w:space="0" w:color="7F7F7F" w:themeColor="text1" w:themeTint="80"/>
              <w:right w:val="nil"/>
            </w:tcBorders>
            <w:shd w:val="clear" w:color="auto" w:fill="auto"/>
            <w:noWrap/>
            <w:vAlign w:val="center"/>
            <w:hideMark/>
          </w:tcPr>
          <w:p w14:paraId="248B26BC" w14:textId="0EA88ED9" w:rsidR="00937CBB" w:rsidRPr="0045779B" w:rsidRDefault="00937CBB" w:rsidP="0045779B">
            <w:pPr>
              <w:rPr>
                <w:rFonts w:eastAsia="Times New Roman"/>
              </w:rPr>
            </w:pPr>
            <w:r w:rsidRPr="0045779B">
              <w:rPr>
                <w:rFonts w:eastAsia="Times New Roman"/>
              </w:rPr>
              <w:t>€ 3.160</w:t>
            </w:r>
          </w:p>
        </w:tc>
        <w:tc>
          <w:tcPr>
            <w:tcW w:w="1418" w:type="dxa"/>
            <w:vMerge w:val="restart"/>
            <w:tcBorders>
              <w:top w:val="single" w:sz="4" w:space="0" w:color="auto"/>
              <w:left w:val="nil"/>
              <w:right w:val="nil"/>
            </w:tcBorders>
            <w:vAlign w:val="center"/>
          </w:tcPr>
          <w:p w14:paraId="145C1149" w14:textId="01DCF7A7" w:rsidR="00937CBB" w:rsidRPr="0045779B" w:rsidRDefault="00937CBB" w:rsidP="00937CBB">
            <w:pPr>
              <w:rPr>
                <w:rFonts w:eastAsia="Times New Roman"/>
                <w:lang w:val="en-GB"/>
              </w:rPr>
            </w:pPr>
            <w:r w:rsidRPr="0045779B">
              <w:rPr>
                <w:rFonts w:eastAsia="Times New Roman"/>
                <w:lang w:val="en-GB"/>
              </w:rPr>
              <w:t>+</w:t>
            </w:r>
            <w:r>
              <w:rPr>
                <w:rFonts w:eastAsia="Times New Roman"/>
                <w:lang w:val="en-GB"/>
              </w:rPr>
              <w:t>5,25</w:t>
            </w:r>
            <w:r w:rsidRPr="0045779B">
              <w:rPr>
                <w:rFonts w:eastAsia="Times New Roman"/>
                <w:lang w:val="en-GB"/>
              </w:rPr>
              <w:t>%</w:t>
            </w:r>
          </w:p>
        </w:tc>
      </w:tr>
      <w:tr w:rsidR="00937CBB" w:rsidRPr="0045779B" w14:paraId="6B92E94B" w14:textId="77777777" w:rsidTr="00937CBB">
        <w:trPr>
          <w:gridAfter w:val="1"/>
          <w:wAfter w:w="626" w:type="dxa"/>
          <w:trHeight w:val="324"/>
        </w:trPr>
        <w:tc>
          <w:tcPr>
            <w:tcW w:w="1497" w:type="dxa"/>
            <w:vMerge/>
            <w:tcBorders>
              <w:left w:val="nil"/>
              <w:bottom w:val="single" w:sz="4" w:space="0" w:color="auto"/>
              <w:right w:val="nil"/>
            </w:tcBorders>
            <w:shd w:val="clear" w:color="auto" w:fill="auto"/>
            <w:noWrap/>
          </w:tcPr>
          <w:p w14:paraId="7DB6CAFA" w14:textId="14CFEC36" w:rsidR="00937CBB" w:rsidRPr="0045779B" w:rsidRDefault="00937CBB" w:rsidP="0045779B">
            <w:pPr>
              <w:rPr>
                <w:rFonts w:eastAsia="Times New Roman"/>
              </w:rPr>
            </w:pPr>
          </w:p>
        </w:tc>
        <w:tc>
          <w:tcPr>
            <w:tcW w:w="772" w:type="dxa"/>
            <w:tcBorders>
              <w:top w:val="single" w:sz="4" w:space="0" w:color="7F7F7F" w:themeColor="text1" w:themeTint="80"/>
              <w:left w:val="nil"/>
              <w:bottom w:val="single" w:sz="4" w:space="0" w:color="auto"/>
              <w:right w:val="nil"/>
            </w:tcBorders>
            <w:shd w:val="clear" w:color="auto" w:fill="auto"/>
            <w:noWrap/>
          </w:tcPr>
          <w:p w14:paraId="6895D01B" w14:textId="77055551" w:rsidR="00937CBB" w:rsidRPr="0045779B" w:rsidRDefault="00937CBB" w:rsidP="0045779B">
            <w:pPr>
              <w:rPr>
                <w:rFonts w:eastAsia="Times New Roman"/>
              </w:rPr>
            </w:pPr>
            <w:r w:rsidRPr="0045779B">
              <w:rPr>
                <w:lang w:val="en-GB"/>
              </w:rPr>
              <w:t>2021</w:t>
            </w:r>
          </w:p>
        </w:tc>
        <w:tc>
          <w:tcPr>
            <w:tcW w:w="992" w:type="dxa"/>
            <w:tcBorders>
              <w:top w:val="single" w:sz="4" w:space="0" w:color="7F7F7F" w:themeColor="text1" w:themeTint="80"/>
              <w:left w:val="nil"/>
              <w:bottom w:val="single" w:sz="4" w:space="0" w:color="auto"/>
              <w:right w:val="nil"/>
            </w:tcBorders>
            <w:shd w:val="clear" w:color="auto" w:fill="auto"/>
            <w:noWrap/>
          </w:tcPr>
          <w:p w14:paraId="565D7C3E" w14:textId="78A9516D" w:rsidR="00937CBB" w:rsidRPr="0045779B" w:rsidRDefault="00937CBB" w:rsidP="0045779B">
            <w:pPr>
              <w:rPr>
                <w:rFonts w:eastAsia="Times New Roman"/>
              </w:rPr>
            </w:pPr>
            <w:r w:rsidRPr="0045779B">
              <w:t xml:space="preserve">€ </w:t>
            </w:r>
            <w:r w:rsidRPr="0045779B">
              <w:rPr>
                <w:lang w:val="en-GB"/>
              </w:rPr>
              <w:t>3.091</w:t>
            </w:r>
          </w:p>
        </w:tc>
        <w:tc>
          <w:tcPr>
            <w:tcW w:w="993" w:type="dxa"/>
            <w:tcBorders>
              <w:top w:val="single" w:sz="4" w:space="0" w:color="7F7F7F" w:themeColor="text1" w:themeTint="80"/>
              <w:left w:val="nil"/>
              <w:bottom w:val="single" w:sz="4" w:space="0" w:color="auto"/>
              <w:right w:val="nil"/>
            </w:tcBorders>
            <w:shd w:val="clear" w:color="auto" w:fill="auto"/>
            <w:noWrap/>
          </w:tcPr>
          <w:p w14:paraId="5B742798" w14:textId="7C76E0E8" w:rsidR="00937CBB" w:rsidRPr="0045779B" w:rsidRDefault="00937CBB" w:rsidP="0045779B">
            <w:pPr>
              <w:rPr>
                <w:rFonts w:eastAsia="Times New Roman"/>
              </w:rPr>
            </w:pPr>
            <w:r w:rsidRPr="0045779B">
              <w:t xml:space="preserve">€ </w:t>
            </w:r>
            <w:r w:rsidRPr="0045779B">
              <w:rPr>
                <w:lang w:val="en-GB"/>
              </w:rPr>
              <w:t>3.205</w:t>
            </w:r>
          </w:p>
        </w:tc>
        <w:tc>
          <w:tcPr>
            <w:tcW w:w="992" w:type="dxa"/>
            <w:tcBorders>
              <w:top w:val="single" w:sz="4" w:space="0" w:color="7F7F7F" w:themeColor="text1" w:themeTint="80"/>
              <w:left w:val="nil"/>
              <w:bottom w:val="single" w:sz="4" w:space="0" w:color="auto"/>
              <w:right w:val="nil"/>
            </w:tcBorders>
            <w:shd w:val="clear" w:color="auto" w:fill="auto"/>
            <w:noWrap/>
          </w:tcPr>
          <w:p w14:paraId="121FE097" w14:textId="310506D3" w:rsidR="00937CBB" w:rsidRPr="0045779B" w:rsidRDefault="00937CBB" w:rsidP="0045779B">
            <w:pPr>
              <w:rPr>
                <w:rFonts w:eastAsia="Times New Roman"/>
              </w:rPr>
            </w:pPr>
            <w:r w:rsidRPr="0045779B">
              <w:t xml:space="preserve">€ </w:t>
            </w:r>
            <w:r w:rsidRPr="0045779B">
              <w:rPr>
                <w:lang w:val="en-GB"/>
              </w:rPr>
              <w:t>3.320</w:t>
            </w:r>
          </w:p>
        </w:tc>
        <w:tc>
          <w:tcPr>
            <w:tcW w:w="992" w:type="dxa"/>
            <w:tcBorders>
              <w:top w:val="single" w:sz="4" w:space="0" w:color="7F7F7F" w:themeColor="text1" w:themeTint="80"/>
              <w:left w:val="nil"/>
              <w:bottom w:val="single" w:sz="4" w:space="0" w:color="auto"/>
              <w:right w:val="nil"/>
            </w:tcBorders>
            <w:shd w:val="clear" w:color="auto" w:fill="auto"/>
            <w:noWrap/>
          </w:tcPr>
          <w:p w14:paraId="6BF7C9AF" w14:textId="3EC2151A" w:rsidR="00937CBB" w:rsidRPr="0045779B" w:rsidRDefault="00937CBB" w:rsidP="0045779B">
            <w:pPr>
              <w:rPr>
                <w:rFonts w:eastAsia="Times New Roman"/>
                <w:lang w:val="nl-NL"/>
              </w:rPr>
            </w:pPr>
            <w:r w:rsidRPr="0045779B">
              <w:t xml:space="preserve">€ </w:t>
            </w:r>
            <w:r w:rsidRPr="0045779B">
              <w:rPr>
                <w:lang w:val="en-GB"/>
              </w:rPr>
              <w:t>3.763</w:t>
            </w:r>
          </w:p>
        </w:tc>
        <w:tc>
          <w:tcPr>
            <w:tcW w:w="992" w:type="dxa"/>
            <w:tcBorders>
              <w:top w:val="single" w:sz="4" w:space="0" w:color="7F7F7F" w:themeColor="text1" w:themeTint="80"/>
              <w:left w:val="nil"/>
              <w:bottom w:val="single" w:sz="4" w:space="0" w:color="auto"/>
              <w:right w:val="nil"/>
            </w:tcBorders>
            <w:shd w:val="clear" w:color="auto" w:fill="auto"/>
            <w:noWrap/>
          </w:tcPr>
          <w:p w14:paraId="1C012DB2" w14:textId="293C4D3E" w:rsidR="00937CBB" w:rsidRPr="0045779B" w:rsidRDefault="00937CBB" w:rsidP="0045779B">
            <w:pPr>
              <w:rPr>
                <w:rFonts w:eastAsia="Times New Roman"/>
              </w:rPr>
            </w:pPr>
            <w:r w:rsidRPr="0045779B">
              <w:t xml:space="preserve">€ </w:t>
            </w:r>
            <w:r w:rsidRPr="0045779B">
              <w:rPr>
                <w:lang w:val="en-GB"/>
              </w:rPr>
              <w:t>3.891</w:t>
            </w:r>
          </w:p>
        </w:tc>
        <w:tc>
          <w:tcPr>
            <w:tcW w:w="1276" w:type="dxa"/>
            <w:tcBorders>
              <w:top w:val="single" w:sz="4" w:space="0" w:color="7F7F7F" w:themeColor="text1" w:themeTint="80"/>
              <w:left w:val="nil"/>
              <w:bottom w:val="single" w:sz="4" w:space="0" w:color="auto"/>
              <w:right w:val="nil"/>
            </w:tcBorders>
            <w:shd w:val="clear" w:color="auto" w:fill="auto"/>
            <w:noWrap/>
          </w:tcPr>
          <w:p w14:paraId="7442C786" w14:textId="114DE5E1" w:rsidR="00937CBB" w:rsidRPr="0045779B" w:rsidRDefault="00937CBB" w:rsidP="0045779B">
            <w:pPr>
              <w:rPr>
                <w:rFonts w:eastAsia="Times New Roman"/>
              </w:rPr>
            </w:pPr>
            <w:r w:rsidRPr="0045779B">
              <w:t>€ 3.</w:t>
            </w:r>
            <w:r w:rsidRPr="0045779B">
              <w:rPr>
                <w:lang w:val="en-GB"/>
              </w:rPr>
              <w:t>326</w:t>
            </w:r>
          </w:p>
        </w:tc>
        <w:tc>
          <w:tcPr>
            <w:tcW w:w="1418" w:type="dxa"/>
            <w:vMerge/>
            <w:tcBorders>
              <w:left w:val="nil"/>
              <w:bottom w:val="single" w:sz="4" w:space="0" w:color="auto"/>
              <w:right w:val="nil"/>
            </w:tcBorders>
            <w:vAlign w:val="center"/>
          </w:tcPr>
          <w:p w14:paraId="40ED52EB" w14:textId="551F40EC" w:rsidR="00937CBB" w:rsidRPr="0045779B" w:rsidRDefault="00937CBB" w:rsidP="00937CBB">
            <w:pPr>
              <w:rPr>
                <w:rFonts w:eastAsia="Times New Roman"/>
                <w:lang w:val="en-GB"/>
              </w:rPr>
            </w:pPr>
          </w:p>
        </w:tc>
      </w:tr>
      <w:tr w:rsidR="00937CBB" w:rsidRPr="0045779B" w14:paraId="0665A054" w14:textId="09BE524D" w:rsidTr="00937CBB">
        <w:trPr>
          <w:gridAfter w:val="1"/>
          <w:wAfter w:w="626" w:type="dxa"/>
          <w:trHeight w:val="300"/>
        </w:trPr>
        <w:tc>
          <w:tcPr>
            <w:tcW w:w="1497" w:type="dxa"/>
            <w:vMerge w:val="restart"/>
            <w:tcBorders>
              <w:top w:val="single" w:sz="4" w:space="0" w:color="auto"/>
              <w:left w:val="nil"/>
              <w:right w:val="nil"/>
            </w:tcBorders>
            <w:shd w:val="clear" w:color="auto" w:fill="auto"/>
            <w:noWrap/>
            <w:vAlign w:val="center"/>
            <w:hideMark/>
          </w:tcPr>
          <w:p w14:paraId="550121D6" w14:textId="0F6CD357" w:rsidR="00937CBB" w:rsidRPr="0045779B" w:rsidRDefault="00937CBB" w:rsidP="0045779B">
            <w:pPr>
              <w:rPr>
                <w:rFonts w:eastAsia="Times New Roman"/>
              </w:rPr>
            </w:pPr>
            <w:r w:rsidRPr="0045779B">
              <w:rPr>
                <w:rFonts w:eastAsia="Times New Roman"/>
              </w:rPr>
              <w:t xml:space="preserve">RM/RT </w:t>
            </w:r>
          </w:p>
        </w:tc>
        <w:tc>
          <w:tcPr>
            <w:tcW w:w="772" w:type="dxa"/>
            <w:tcBorders>
              <w:top w:val="single" w:sz="4" w:space="0" w:color="auto"/>
              <w:left w:val="nil"/>
              <w:bottom w:val="single" w:sz="4" w:space="0" w:color="7F7F7F" w:themeColor="text1" w:themeTint="80"/>
              <w:right w:val="nil"/>
            </w:tcBorders>
            <w:shd w:val="clear" w:color="auto" w:fill="auto"/>
            <w:noWrap/>
            <w:vAlign w:val="center"/>
            <w:hideMark/>
          </w:tcPr>
          <w:p w14:paraId="277BEEBA" w14:textId="29D806F6" w:rsidR="00937CBB" w:rsidRPr="0045779B" w:rsidRDefault="00937CBB" w:rsidP="0045779B">
            <w:pPr>
              <w:rPr>
                <w:rFonts w:eastAsia="Times New Roman"/>
                <w:lang w:val="en-GB"/>
              </w:rPr>
            </w:pPr>
            <w:r w:rsidRPr="0045779B">
              <w:rPr>
                <w:rFonts w:eastAsia="Times New Roman"/>
              </w:rPr>
              <w:t>2020</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58822332" w14:textId="2D36A0FD" w:rsidR="00937CBB" w:rsidRPr="0045779B" w:rsidRDefault="00937CBB" w:rsidP="0045779B">
            <w:pPr>
              <w:rPr>
                <w:rFonts w:eastAsia="Times New Roman"/>
              </w:rPr>
            </w:pPr>
            <w:r w:rsidRPr="0045779B">
              <w:rPr>
                <w:rFonts w:eastAsia="Times New Roman"/>
              </w:rPr>
              <w:t>€ 3.840</w:t>
            </w:r>
          </w:p>
        </w:tc>
        <w:tc>
          <w:tcPr>
            <w:tcW w:w="993" w:type="dxa"/>
            <w:tcBorders>
              <w:top w:val="single" w:sz="4" w:space="0" w:color="auto"/>
              <w:left w:val="nil"/>
              <w:bottom w:val="single" w:sz="4" w:space="0" w:color="7F7F7F" w:themeColor="text1" w:themeTint="80"/>
              <w:right w:val="nil"/>
            </w:tcBorders>
            <w:shd w:val="clear" w:color="auto" w:fill="auto"/>
            <w:noWrap/>
            <w:vAlign w:val="center"/>
            <w:hideMark/>
          </w:tcPr>
          <w:p w14:paraId="138D15E6" w14:textId="38A17928" w:rsidR="00937CBB" w:rsidRPr="0045779B" w:rsidRDefault="00937CBB" w:rsidP="0045779B">
            <w:pPr>
              <w:rPr>
                <w:rFonts w:eastAsia="Times New Roman"/>
              </w:rPr>
            </w:pPr>
            <w:r w:rsidRPr="0045779B">
              <w:rPr>
                <w:rFonts w:eastAsia="Times New Roman"/>
              </w:rPr>
              <w:t>€ 3.863</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268DDF24" w14:textId="3093AD86" w:rsidR="00937CBB" w:rsidRPr="0045779B" w:rsidRDefault="00937CBB" w:rsidP="0045779B">
            <w:pPr>
              <w:rPr>
                <w:rFonts w:eastAsia="Times New Roman"/>
              </w:rPr>
            </w:pPr>
            <w:r w:rsidRPr="0045779B">
              <w:rPr>
                <w:rFonts w:eastAsia="Times New Roman"/>
              </w:rPr>
              <w:t>€ 3.914</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2BB61F9A" w14:textId="12CA1C86" w:rsidR="00937CBB" w:rsidRPr="0045779B" w:rsidRDefault="00937CBB" w:rsidP="0045779B">
            <w:pPr>
              <w:rPr>
                <w:rFonts w:eastAsia="Times New Roman"/>
              </w:rPr>
            </w:pPr>
            <w:r w:rsidRPr="0045779B">
              <w:rPr>
                <w:rFonts w:eastAsia="Times New Roman"/>
              </w:rPr>
              <w:t>€ 4.102</w:t>
            </w:r>
          </w:p>
        </w:tc>
        <w:tc>
          <w:tcPr>
            <w:tcW w:w="992" w:type="dxa"/>
            <w:tcBorders>
              <w:top w:val="single" w:sz="4" w:space="0" w:color="auto"/>
              <w:left w:val="nil"/>
              <w:bottom w:val="single" w:sz="4" w:space="0" w:color="7F7F7F" w:themeColor="text1" w:themeTint="80"/>
              <w:right w:val="nil"/>
            </w:tcBorders>
            <w:shd w:val="clear" w:color="auto" w:fill="auto"/>
            <w:noWrap/>
            <w:vAlign w:val="center"/>
            <w:hideMark/>
          </w:tcPr>
          <w:p w14:paraId="04E72147" w14:textId="2FC80B8A" w:rsidR="00937CBB" w:rsidRPr="0045779B" w:rsidRDefault="00937CBB" w:rsidP="0045779B">
            <w:pPr>
              <w:rPr>
                <w:rFonts w:eastAsia="Times New Roman"/>
              </w:rPr>
            </w:pPr>
            <w:r w:rsidRPr="0045779B">
              <w:rPr>
                <w:rFonts w:eastAsia="Times New Roman"/>
              </w:rPr>
              <w:t>€ 4.297</w:t>
            </w:r>
          </w:p>
        </w:tc>
        <w:tc>
          <w:tcPr>
            <w:tcW w:w="1276" w:type="dxa"/>
            <w:tcBorders>
              <w:top w:val="single" w:sz="4" w:space="0" w:color="auto"/>
              <w:left w:val="nil"/>
              <w:bottom w:val="single" w:sz="4" w:space="0" w:color="7F7F7F" w:themeColor="text1" w:themeTint="80"/>
              <w:right w:val="nil"/>
            </w:tcBorders>
            <w:shd w:val="clear" w:color="auto" w:fill="auto"/>
            <w:noWrap/>
            <w:vAlign w:val="center"/>
            <w:hideMark/>
          </w:tcPr>
          <w:p w14:paraId="31F45B77" w14:textId="58691DD6" w:rsidR="00937CBB" w:rsidRPr="0045779B" w:rsidRDefault="00937CBB" w:rsidP="0045779B">
            <w:pPr>
              <w:rPr>
                <w:rFonts w:eastAsia="Times New Roman"/>
              </w:rPr>
            </w:pPr>
            <w:r w:rsidRPr="0045779B">
              <w:rPr>
                <w:rFonts w:eastAsia="Times New Roman"/>
              </w:rPr>
              <w:t>€ 4.082</w:t>
            </w:r>
          </w:p>
        </w:tc>
        <w:tc>
          <w:tcPr>
            <w:tcW w:w="1418" w:type="dxa"/>
            <w:vMerge w:val="restart"/>
            <w:tcBorders>
              <w:top w:val="single" w:sz="4" w:space="0" w:color="auto"/>
              <w:left w:val="nil"/>
              <w:right w:val="nil"/>
            </w:tcBorders>
            <w:vAlign w:val="center"/>
          </w:tcPr>
          <w:p w14:paraId="64AD4488" w14:textId="7C9240D4" w:rsidR="00937CBB" w:rsidRPr="0045779B" w:rsidRDefault="00937CBB" w:rsidP="00937CBB">
            <w:pPr>
              <w:rPr>
                <w:rFonts w:eastAsia="Times New Roman"/>
              </w:rPr>
            </w:pPr>
            <w:r w:rsidRPr="0045779B">
              <w:rPr>
                <w:rFonts w:eastAsia="Times New Roman"/>
                <w:lang w:val="en-GB"/>
              </w:rPr>
              <w:t>+</w:t>
            </w:r>
            <w:r>
              <w:rPr>
                <w:rFonts w:eastAsia="Times New Roman"/>
                <w:lang w:val="en-GB"/>
              </w:rPr>
              <w:t>4,92</w:t>
            </w:r>
            <w:r w:rsidRPr="0045779B">
              <w:rPr>
                <w:rFonts w:eastAsia="Times New Roman"/>
                <w:lang w:val="en-GB"/>
              </w:rPr>
              <w:t>%</w:t>
            </w:r>
          </w:p>
        </w:tc>
      </w:tr>
      <w:tr w:rsidR="00937CBB" w:rsidRPr="0045779B" w14:paraId="46A374D2" w14:textId="26A0987D" w:rsidTr="00F87BB6">
        <w:trPr>
          <w:gridAfter w:val="1"/>
          <w:wAfter w:w="626" w:type="dxa"/>
          <w:trHeight w:val="300"/>
        </w:trPr>
        <w:tc>
          <w:tcPr>
            <w:tcW w:w="1497" w:type="dxa"/>
            <w:vMerge/>
            <w:tcBorders>
              <w:left w:val="nil"/>
              <w:bottom w:val="nil"/>
              <w:right w:val="nil"/>
            </w:tcBorders>
            <w:shd w:val="clear" w:color="auto" w:fill="auto"/>
            <w:noWrap/>
            <w:vAlign w:val="center"/>
            <w:hideMark/>
          </w:tcPr>
          <w:p w14:paraId="03C45D8F" w14:textId="4F6F30F8" w:rsidR="00937CBB" w:rsidRPr="0045779B" w:rsidRDefault="00937CBB" w:rsidP="0045779B">
            <w:pPr>
              <w:rPr>
                <w:rFonts w:eastAsia="Times New Roman"/>
              </w:rPr>
            </w:pPr>
          </w:p>
        </w:tc>
        <w:tc>
          <w:tcPr>
            <w:tcW w:w="772" w:type="dxa"/>
            <w:tcBorders>
              <w:top w:val="single" w:sz="4" w:space="0" w:color="7F7F7F" w:themeColor="text1" w:themeTint="80"/>
              <w:left w:val="nil"/>
              <w:bottom w:val="nil"/>
              <w:right w:val="nil"/>
            </w:tcBorders>
            <w:shd w:val="clear" w:color="auto" w:fill="auto"/>
            <w:noWrap/>
            <w:vAlign w:val="center"/>
            <w:hideMark/>
          </w:tcPr>
          <w:p w14:paraId="1F45DC6A" w14:textId="2FA11171" w:rsidR="00937CBB" w:rsidRPr="0045779B" w:rsidRDefault="00937CBB" w:rsidP="0045779B">
            <w:pPr>
              <w:rPr>
                <w:rFonts w:eastAsia="Times New Roman"/>
              </w:rPr>
            </w:pPr>
            <w:r w:rsidRPr="0045779B">
              <w:rPr>
                <w:rFonts w:eastAsia="Times New Roman"/>
                <w:lang w:val="en-GB"/>
              </w:rPr>
              <w:t>2021</w:t>
            </w:r>
          </w:p>
        </w:tc>
        <w:tc>
          <w:tcPr>
            <w:tcW w:w="992" w:type="dxa"/>
            <w:tcBorders>
              <w:top w:val="single" w:sz="4" w:space="0" w:color="7F7F7F" w:themeColor="text1" w:themeTint="80"/>
              <w:left w:val="nil"/>
              <w:bottom w:val="nil"/>
              <w:right w:val="nil"/>
            </w:tcBorders>
            <w:shd w:val="clear" w:color="auto" w:fill="auto"/>
            <w:noWrap/>
            <w:hideMark/>
          </w:tcPr>
          <w:p w14:paraId="5625A174" w14:textId="5EBF7CFB" w:rsidR="00937CBB" w:rsidRPr="0045779B" w:rsidRDefault="00937CBB" w:rsidP="0045779B">
            <w:pPr>
              <w:rPr>
                <w:rFonts w:eastAsia="Times New Roman"/>
              </w:rPr>
            </w:pPr>
            <w:r w:rsidRPr="0045779B">
              <w:t xml:space="preserve">€ </w:t>
            </w:r>
            <w:r w:rsidRPr="0045779B">
              <w:rPr>
                <w:lang w:val="en-GB"/>
              </w:rPr>
              <w:t>3.561</w:t>
            </w:r>
          </w:p>
        </w:tc>
        <w:tc>
          <w:tcPr>
            <w:tcW w:w="993" w:type="dxa"/>
            <w:tcBorders>
              <w:top w:val="single" w:sz="4" w:space="0" w:color="7F7F7F" w:themeColor="text1" w:themeTint="80"/>
              <w:left w:val="nil"/>
              <w:bottom w:val="nil"/>
              <w:right w:val="nil"/>
            </w:tcBorders>
            <w:shd w:val="clear" w:color="auto" w:fill="auto"/>
            <w:noWrap/>
            <w:hideMark/>
          </w:tcPr>
          <w:p w14:paraId="7CAFBBE6" w14:textId="442769DD" w:rsidR="00937CBB" w:rsidRPr="0045779B" w:rsidRDefault="00937CBB" w:rsidP="0045779B">
            <w:pPr>
              <w:rPr>
                <w:rFonts w:eastAsia="Times New Roman"/>
              </w:rPr>
            </w:pPr>
            <w:r w:rsidRPr="0045779B">
              <w:t xml:space="preserve">€ </w:t>
            </w:r>
            <w:r w:rsidRPr="0045779B">
              <w:rPr>
                <w:lang w:val="en-GB"/>
              </w:rPr>
              <w:t>3.989</w:t>
            </w:r>
          </w:p>
        </w:tc>
        <w:tc>
          <w:tcPr>
            <w:tcW w:w="992" w:type="dxa"/>
            <w:tcBorders>
              <w:top w:val="single" w:sz="4" w:space="0" w:color="7F7F7F" w:themeColor="text1" w:themeTint="80"/>
              <w:left w:val="nil"/>
              <w:bottom w:val="nil"/>
              <w:right w:val="nil"/>
            </w:tcBorders>
            <w:shd w:val="clear" w:color="auto" w:fill="auto"/>
            <w:noWrap/>
            <w:hideMark/>
          </w:tcPr>
          <w:p w14:paraId="7CC861CF" w14:textId="419214B5" w:rsidR="00937CBB" w:rsidRPr="0045779B" w:rsidRDefault="00937CBB" w:rsidP="0045779B">
            <w:pPr>
              <w:rPr>
                <w:rFonts w:eastAsia="Times New Roman"/>
              </w:rPr>
            </w:pPr>
            <w:r w:rsidRPr="0045779B">
              <w:t xml:space="preserve">€ </w:t>
            </w:r>
            <w:r w:rsidRPr="0045779B">
              <w:rPr>
                <w:lang w:val="en-GB"/>
              </w:rPr>
              <w:t>4.031</w:t>
            </w:r>
          </w:p>
        </w:tc>
        <w:tc>
          <w:tcPr>
            <w:tcW w:w="992" w:type="dxa"/>
            <w:tcBorders>
              <w:top w:val="single" w:sz="4" w:space="0" w:color="7F7F7F" w:themeColor="text1" w:themeTint="80"/>
              <w:left w:val="nil"/>
              <w:bottom w:val="nil"/>
              <w:right w:val="nil"/>
            </w:tcBorders>
            <w:shd w:val="clear" w:color="auto" w:fill="auto"/>
            <w:noWrap/>
            <w:hideMark/>
          </w:tcPr>
          <w:p w14:paraId="2E5D3AC3" w14:textId="2A4268CE" w:rsidR="00937CBB" w:rsidRPr="0045779B" w:rsidRDefault="00937CBB" w:rsidP="0045779B">
            <w:pPr>
              <w:rPr>
                <w:rFonts w:eastAsia="Times New Roman"/>
              </w:rPr>
            </w:pPr>
            <w:r w:rsidRPr="0045779B">
              <w:t xml:space="preserve">€ </w:t>
            </w:r>
            <w:r w:rsidRPr="0045779B">
              <w:rPr>
                <w:lang w:val="en-GB"/>
              </w:rPr>
              <w:t>4.425</w:t>
            </w:r>
          </w:p>
        </w:tc>
        <w:tc>
          <w:tcPr>
            <w:tcW w:w="992" w:type="dxa"/>
            <w:tcBorders>
              <w:top w:val="single" w:sz="4" w:space="0" w:color="7F7F7F" w:themeColor="text1" w:themeTint="80"/>
              <w:left w:val="nil"/>
              <w:bottom w:val="nil"/>
              <w:right w:val="nil"/>
            </w:tcBorders>
            <w:shd w:val="clear" w:color="auto" w:fill="auto"/>
            <w:noWrap/>
            <w:hideMark/>
          </w:tcPr>
          <w:p w14:paraId="49A4085B" w14:textId="3F5EF6E8" w:rsidR="00937CBB" w:rsidRPr="0045779B" w:rsidRDefault="00937CBB" w:rsidP="0045779B">
            <w:pPr>
              <w:rPr>
                <w:rFonts w:eastAsia="Times New Roman"/>
              </w:rPr>
            </w:pPr>
            <w:r w:rsidRPr="0045779B">
              <w:t xml:space="preserve">€ </w:t>
            </w:r>
            <w:r w:rsidRPr="0045779B">
              <w:rPr>
                <w:lang w:val="en-GB"/>
              </w:rPr>
              <w:t>4.696</w:t>
            </w:r>
          </w:p>
        </w:tc>
        <w:tc>
          <w:tcPr>
            <w:tcW w:w="1276" w:type="dxa"/>
            <w:tcBorders>
              <w:top w:val="single" w:sz="4" w:space="0" w:color="7F7F7F" w:themeColor="text1" w:themeTint="80"/>
              <w:left w:val="nil"/>
              <w:bottom w:val="nil"/>
              <w:right w:val="nil"/>
            </w:tcBorders>
            <w:shd w:val="clear" w:color="auto" w:fill="auto"/>
            <w:noWrap/>
            <w:hideMark/>
          </w:tcPr>
          <w:p w14:paraId="34E169C5" w14:textId="72FC4E92" w:rsidR="00937CBB" w:rsidRPr="0045779B" w:rsidRDefault="00937CBB" w:rsidP="0045779B">
            <w:pPr>
              <w:rPr>
                <w:rFonts w:eastAsia="Times New Roman"/>
              </w:rPr>
            </w:pPr>
            <w:r w:rsidRPr="0045779B">
              <w:t xml:space="preserve">€ </w:t>
            </w:r>
            <w:r w:rsidRPr="0045779B">
              <w:rPr>
                <w:lang w:val="en-GB"/>
              </w:rPr>
              <w:t>4.283</w:t>
            </w:r>
          </w:p>
        </w:tc>
        <w:tc>
          <w:tcPr>
            <w:tcW w:w="1418" w:type="dxa"/>
            <w:vMerge/>
            <w:tcBorders>
              <w:left w:val="nil"/>
              <w:bottom w:val="nil"/>
              <w:right w:val="nil"/>
            </w:tcBorders>
          </w:tcPr>
          <w:p w14:paraId="6CD85D27" w14:textId="03E17D58" w:rsidR="00937CBB" w:rsidRPr="0045779B" w:rsidRDefault="00937CBB" w:rsidP="0045779B">
            <w:pPr>
              <w:rPr>
                <w:rFonts w:eastAsia="Times New Roman"/>
                <w:lang w:val="en-GB"/>
              </w:rPr>
            </w:pPr>
          </w:p>
        </w:tc>
      </w:tr>
      <w:tr w:rsidR="0045779B" w:rsidRPr="0045779B" w14:paraId="68002FC0" w14:textId="77777777" w:rsidTr="0045779B">
        <w:trPr>
          <w:gridAfter w:val="1"/>
          <w:wAfter w:w="626" w:type="dxa"/>
          <w:trHeight w:val="300"/>
        </w:trPr>
        <w:tc>
          <w:tcPr>
            <w:tcW w:w="1497" w:type="dxa"/>
            <w:tcBorders>
              <w:top w:val="nil"/>
              <w:left w:val="nil"/>
              <w:bottom w:val="nil"/>
              <w:right w:val="nil"/>
            </w:tcBorders>
            <w:shd w:val="clear" w:color="auto" w:fill="auto"/>
            <w:noWrap/>
            <w:vAlign w:val="center"/>
          </w:tcPr>
          <w:p w14:paraId="69880B66" w14:textId="39A383EA" w:rsidR="0045779B" w:rsidRPr="0045779B" w:rsidRDefault="0045779B" w:rsidP="0045779B">
            <w:pPr>
              <w:rPr>
                <w:rFonts w:eastAsia="Times New Roman"/>
              </w:rPr>
            </w:pPr>
          </w:p>
        </w:tc>
        <w:tc>
          <w:tcPr>
            <w:tcW w:w="772" w:type="dxa"/>
            <w:tcBorders>
              <w:top w:val="nil"/>
              <w:left w:val="nil"/>
              <w:bottom w:val="nil"/>
              <w:right w:val="nil"/>
            </w:tcBorders>
            <w:shd w:val="clear" w:color="auto" w:fill="auto"/>
            <w:noWrap/>
            <w:vAlign w:val="center"/>
          </w:tcPr>
          <w:p w14:paraId="232A2E55" w14:textId="791B0603" w:rsidR="0045779B" w:rsidRPr="0045779B" w:rsidRDefault="0045779B" w:rsidP="0045779B">
            <w:pPr>
              <w:rPr>
                <w:rFonts w:eastAsia="Times New Roman"/>
                <w:lang w:val="en-GB"/>
              </w:rPr>
            </w:pPr>
          </w:p>
        </w:tc>
        <w:tc>
          <w:tcPr>
            <w:tcW w:w="992" w:type="dxa"/>
            <w:tcBorders>
              <w:top w:val="nil"/>
              <w:left w:val="nil"/>
              <w:bottom w:val="nil"/>
              <w:right w:val="nil"/>
            </w:tcBorders>
            <w:shd w:val="clear" w:color="auto" w:fill="auto"/>
            <w:noWrap/>
            <w:vAlign w:val="center"/>
          </w:tcPr>
          <w:p w14:paraId="24404A66" w14:textId="1CC299A7" w:rsidR="0045779B" w:rsidRPr="0045779B" w:rsidRDefault="0045779B" w:rsidP="0045779B">
            <w:pPr>
              <w:rPr>
                <w:rFonts w:eastAsia="Times New Roman"/>
              </w:rPr>
            </w:pPr>
          </w:p>
        </w:tc>
        <w:tc>
          <w:tcPr>
            <w:tcW w:w="993" w:type="dxa"/>
            <w:tcBorders>
              <w:top w:val="nil"/>
              <w:left w:val="nil"/>
              <w:bottom w:val="nil"/>
              <w:right w:val="nil"/>
            </w:tcBorders>
            <w:shd w:val="clear" w:color="auto" w:fill="auto"/>
            <w:noWrap/>
            <w:vAlign w:val="center"/>
          </w:tcPr>
          <w:p w14:paraId="5172E486" w14:textId="708D592E" w:rsidR="0045779B" w:rsidRPr="0045779B" w:rsidRDefault="0045779B" w:rsidP="0045779B">
            <w:pPr>
              <w:rPr>
                <w:rFonts w:eastAsia="Times New Roman"/>
              </w:rPr>
            </w:pPr>
          </w:p>
        </w:tc>
        <w:tc>
          <w:tcPr>
            <w:tcW w:w="992" w:type="dxa"/>
            <w:tcBorders>
              <w:top w:val="nil"/>
              <w:left w:val="nil"/>
              <w:bottom w:val="nil"/>
              <w:right w:val="nil"/>
            </w:tcBorders>
            <w:shd w:val="clear" w:color="auto" w:fill="auto"/>
            <w:noWrap/>
            <w:vAlign w:val="center"/>
          </w:tcPr>
          <w:p w14:paraId="3FB5CEBB" w14:textId="79A33EC8" w:rsidR="0045779B" w:rsidRPr="0045779B" w:rsidRDefault="0045779B" w:rsidP="0045779B">
            <w:pPr>
              <w:rPr>
                <w:rFonts w:eastAsia="Times New Roman"/>
              </w:rPr>
            </w:pPr>
          </w:p>
        </w:tc>
        <w:tc>
          <w:tcPr>
            <w:tcW w:w="992" w:type="dxa"/>
            <w:tcBorders>
              <w:top w:val="nil"/>
              <w:left w:val="nil"/>
              <w:bottom w:val="nil"/>
              <w:right w:val="nil"/>
            </w:tcBorders>
            <w:shd w:val="clear" w:color="auto" w:fill="auto"/>
            <w:noWrap/>
            <w:vAlign w:val="center"/>
          </w:tcPr>
          <w:p w14:paraId="3CC8C4E9" w14:textId="06AC6F47" w:rsidR="0045779B" w:rsidRPr="0045779B" w:rsidRDefault="0045779B" w:rsidP="0045779B">
            <w:pPr>
              <w:rPr>
                <w:rFonts w:eastAsia="Times New Roman"/>
              </w:rPr>
            </w:pPr>
          </w:p>
        </w:tc>
        <w:tc>
          <w:tcPr>
            <w:tcW w:w="992" w:type="dxa"/>
            <w:tcBorders>
              <w:top w:val="nil"/>
              <w:left w:val="nil"/>
              <w:bottom w:val="nil"/>
              <w:right w:val="nil"/>
            </w:tcBorders>
            <w:shd w:val="clear" w:color="auto" w:fill="auto"/>
            <w:noWrap/>
            <w:vAlign w:val="center"/>
          </w:tcPr>
          <w:p w14:paraId="7D36E479" w14:textId="2035AA92" w:rsidR="0045779B" w:rsidRPr="0045779B" w:rsidRDefault="0045779B" w:rsidP="0045779B">
            <w:pPr>
              <w:rPr>
                <w:rFonts w:eastAsia="Times New Roman"/>
              </w:rPr>
            </w:pPr>
          </w:p>
        </w:tc>
        <w:tc>
          <w:tcPr>
            <w:tcW w:w="1276" w:type="dxa"/>
            <w:tcBorders>
              <w:top w:val="nil"/>
              <w:left w:val="nil"/>
              <w:bottom w:val="nil"/>
              <w:right w:val="nil"/>
            </w:tcBorders>
            <w:shd w:val="clear" w:color="auto" w:fill="auto"/>
            <w:noWrap/>
            <w:vAlign w:val="center"/>
          </w:tcPr>
          <w:p w14:paraId="3DE80140" w14:textId="45DD6A39" w:rsidR="0045779B" w:rsidRPr="0045779B" w:rsidRDefault="0045779B" w:rsidP="0045779B">
            <w:pPr>
              <w:rPr>
                <w:rFonts w:eastAsia="Times New Roman"/>
              </w:rPr>
            </w:pPr>
          </w:p>
        </w:tc>
        <w:tc>
          <w:tcPr>
            <w:tcW w:w="1418" w:type="dxa"/>
            <w:tcBorders>
              <w:top w:val="nil"/>
              <w:left w:val="nil"/>
              <w:bottom w:val="nil"/>
              <w:right w:val="nil"/>
            </w:tcBorders>
          </w:tcPr>
          <w:p w14:paraId="0884C181" w14:textId="5A40D59C" w:rsidR="0045779B" w:rsidRPr="0045779B" w:rsidRDefault="0045779B" w:rsidP="0045779B">
            <w:pPr>
              <w:rPr>
                <w:rFonts w:eastAsia="Times New Roman"/>
                <w:lang w:val="en-GB"/>
              </w:rPr>
            </w:pPr>
          </w:p>
        </w:tc>
      </w:tr>
    </w:tbl>
    <w:p w14:paraId="0D89607B" w14:textId="50CD91FE" w:rsidR="00835903" w:rsidRPr="0045779B" w:rsidRDefault="00835903" w:rsidP="00835903">
      <w:pPr>
        <w:rPr>
          <w:i/>
          <w:iCs/>
          <w:lang w:val="nl-NL"/>
        </w:rPr>
      </w:pPr>
      <w:r w:rsidRPr="0045779B">
        <w:rPr>
          <w:i/>
          <w:iCs/>
          <w:lang w:val="nl-NL"/>
        </w:rPr>
        <w:t xml:space="preserve">Vraag </w:t>
      </w:r>
      <w:r w:rsidR="0071195B">
        <w:rPr>
          <w:i/>
          <w:iCs/>
          <w:lang w:val="nl-NL"/>
        </w:rPr>
        <w:t>5</w:t>
      </w:r>
      <w:r w:rsidRPr="0045779B">
        <w:rPr>
          <w:i/>
          <w:iCs/>
          <w:lang w:val="nl-NL"/>
        </w:rPr>
        <w:t>: Pensioen</w:t>
      </w:r>
      <w:r>
        <w:rPr>
          <w:i/>
          <w:iCs/>
          <w:lang w:val="nl-NL"/>
        </w:rPr>
        <w:t xml:space="preserve"> </w:t>
      </w:r>
      <w:r w:rsidRPr="0045779B">
        <w:rPr>
          <w:i/>
          <w:iCs/>
          <w:lang w:val="nl-NL"/>
        </w:rPr>
        <w:t>vergoedi</w:t>
      </w:r>
      <w:r w:rsidR="0071195B">
        <w:rPr>
          <w:i/>
          <w:iCs/>
          <w:lang w:val="nl-NL"/>
        </w:rPr>
        <w:t>n</w:t>
      </w:r>
      <w:r w:rsidRPr="0045779B">
        <w:rPr>
          <w:i/>
          <w:iCs/>
          <w:lang w:val="nl-NL"/>
        </w:rPr>
        <w:t>g?</w:t>
      </w:r>
    </w:p>
    <w:p w14:paraId="6A47023B" w14:textId="77777777" w:rsidR="00835903" w:rsidRPr="0045779B" w:rsidRDefault="00835903" w:rsidP="00835903">
      <w:pPr>
        <w:rPr>
          <w:lang w:val="nl-NL"/>
        </w:rPr>
      </w:pPr>
      <w:r w:rsidRPr="0045779B">
        <w:rPr>
          <w:lang w:val="nl-NL"/>
        </w:rPr>
        <w:t>Van de ondervraagden zijn er 151 wel (50%) een pensioen vergoeding en 153 niet (50%).</w:t>
      </w:r>
    </w:p>
    <w:p w14:paraId="0C0AEDF6" w14:textId="49891DB9" w:rsidR="00835903" w:rsidRPr="0045779B" w:rsidRDefault="00835903" w:rsidP="00835903">
      <w:pPr>
        <w:rPr>
          <w:lang w:val="nl-NL"/>
        </w:rPr>
      </w:pPr>
      <w:r w:rsidRPr="0045779B">
        <w:rPr>
          <w:i/>
          <w:iCs/>
          <w:noProof/>
          <w:lang w:val="nl-NL"/>
        </w:rPr>
        <w:drawing>
          <wp:inline distT="0" distB="0" distL="0" distR="0" wp14:anchorId="1A579E9B" wp14:editId="2E6C688A">
            <wp:extent cx="5629275" cy="2009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3EE1C1" w14:textId="6E8C730B" w:rsidR="00562DCB" w:rsidRPr="0045779B" w:rsidRDefault="00562DCB" w:rsidP="0045779B">
      <w:pPr>
        <w:rPr>
          <w:i/>
          <w:iCs/>
          <w:lang w:val="nl-NL"/>
        </w:rPr>
      </w:pPr>
      <w:r w:rsidRPr="0045779B">
        <w:rPr>
          <w:i/>
          <w:iCs/>
          <w:lang w:val="nl-NL"/>
        </w:rPr>
        <w:lastRenderedPageBreak/>
        <w:t xml:space="preserve">Vraag </w:t>
      </w:r>
      <w:r w:rsidR="0071195B">
        <w:rPr>
          <w:i/>
          <w:iCs/>
          <w:lang w:val="nl-NL"/>
        </w:rPr>
        <w:t>6</w:t>
      </w:r>
      <w:r w:rsidRPr="0045779B">
        <w:rPr>
          <w:i/>
          <w:iCs/>
          <w:lang w:val="nl-NL"/>
        </w:rPr>
        <w:t>: Kreeg u een bonus?</w:t>
      </w:r>
    </w:p>
    <w:p w14:paraId="5AD2C76B" w14:textId="613B2389" w:rsidR="00562DCB" w:rsidRPr="0045779B" w:rsidRDefault="000A741E" w:rsidP="0045779B">
      <w:pPr>
        <w:rPr>
          <w:lang w:val="nl-NL"/>
        </w:rPr>
      </w:pPr>
      <w:r w:rsidRPr="0045779B">
        <w:rPr>
          <w:lang w:val="nl-NL"/>
        </w:rPr>
        <w:t>17</w:t>
      </w:r>
      <w:r w:rsidR="00C85090" w:rsidRPr="0045779B">
        <w:rPr>
          <w:lang w:val="nl-NL"/>
        </w:rPr>
        <w:t>1</w:t>
      </w:r>
      <w:r w:rsidRPr="0045779B">
        <w:rPr>
          <w:lang w:val="nl-NL"/>
        </w:rPr>
        <w:t>(5</w:t>
      </w:r>
      <w:r w:rsidR="00C85090" w:rsidRPr="0045779B">
        <w:rPr>
          <w:lang w:val="nl-NL"/>
        </w:rPr>
        <w:t>6,2</w:t>
      </w:r>
      <w:r w:rsidRPr="0045779B">
        <w:rPr>
          <w:lang w:val="nl-NL"/>
        </w:rPr>
        <w:t xml:space="preserve">5%) van de </w:t>
      </w:r>
      <w:r w:rsidR="000F0E51">
        <w:rPr>
          <w:lang w:val="nl-NL"/>
        </w:rPr>
        <w:t>makelaar professionals</w:t>
      </w:r>
      <w:r w:rsidRPr="0045779B">
        <w:rPr>
          <w:lang w:val="nl-NL"/>
        </w:rPr>
        <w:t xml:space="preserve"> ontving wel een bonus en </w:t>
      </w:r>
      <w:r w:rsidR="00C85090" w:rsidRPr="0045779B">
        <w:rPr>
          <w:lang w:val="nl-NL"/>
        </w:rPr>
        <w:t>133</w:t>
      </w:r>
      <w:r w:rsidRPr="0045779B">
        <w:rPr>
          <w:lang w:val="nl-NL"/>
        </w:rPr>
        <w:t xml:space="preserve"> (4</w:t>
      </w:r>
      <w:r w:rsidR="00C85090" w:rsidRPr="0045779B">
        <w:rPr>
          <w:lang w:val="nl-NL"/>
        </w:rPr>
        <w:t>3</w:t>
      </w:r>
      <w:r w:rsidRPr="0045779B">
        <w:rPr>
          <w:lang w:val="nl-NL"/>
        </w:rPr>
        <w:t>,</w:t>
      </w:r>
      <w:r w:rsidR="00C85090" w:rsidRPr="0045779B">
        <w:rPr>
          <w:lang w:val="nl-NL"/>
        </w:rPr>
        <w:t>7</w:t>
      </w:r>
      <w:r w:rsidRPr="0045779B">
        <w:rPr>
          <w:lang w:val="nl-NL"/>
        </w:rPr>
        <w:t xml:space="preserve">5%) van de </w:t>
      </w:r>
      <w:r w:rsidR="000F0E51">
        <w:rPr>
          <w:lang w:val="nl-NL"/>
        </w:rPr>
        <w:t>makelaar professionals</w:t>
      </w:r>
      <w:r w:rsidRPr="0045779B">
        <w:rPr>
          <w:lang w:val="nl-NL"/>
        </w:rPr>
        <w:t xml:space="preserve"> ontving geen bonus</w:t>
      </w:r>
      <w:r w:rsidR="000F0E51">
        <w:rPr>
          <w:lang w:val="nl-NL"/>
        </w:rPr>
        <w:t xml:space="preserve"> in 2021</w:t>
      </w:r>
      <w:r w:rsidRPr="0045779B">
        <w:rPr>
          <w:lang w:val="nl-NL"/>
        </w:rPr>
        <w:t xml:space="preserve">. </w:t>
      </w:r>
    </w:p>
    <w:p w14:paraId="7F9DAE63" w14:textId="5EF8C070" w:rsidR="000A741E" w:rsidRPr="0045779B" w:rsidRDefault="00981758" w:rsidP="0045779B">
      <w:pPr>
        <w:rPr>
          <w:lang w:val="nl-NL"/>
        </w:rPr>
      </w:pPr>
      <w:r w:rsidRPr="0045779B">
        <w:rPr>
          <w:i/>
          <w:iCs/>
          <w:noProof/>
          <w:lang w:val="nl-NL"/>
        </w:rPr>
        <w:drawing>
          <wp:inline distT="0" distB="0" distL="0" distR="0" wp14:anchorId="67D4FD30" wp14:editId="529D7A6F">
            <wp:extent cx="5629275" cy="154305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C12D59" w14:textId="2521C0BC" w:rsidR="000A741E" w:rsidRPr="0045779B" w:rsidRDefault="000A741E" w:rsidP="0045779B">
      <w:pPr>
        <w:rPr>
          <w:i/>
          <w:iCs/>
          <w:lang w:val="nl-NL"/>
        </w:rPr>
      </w:pPr>
      <w:r w:rsidRPr="0045779B">
        <w:rPr>
          <w:i/>
          <w:iCs/>
          <w:lang w:val="nl-NL"/>
        </w:rPr>
        <w:t xml:space="preserve">Vraag </w:t>
      </w:r>
      <w:r w:rsidR="0071195B">
        <w:rPr>
          <w:i/>
          <w:iCs/>
          <w:lang w:val="nl-NL"/>
        </w:rPr>
        <w:t>7</w:t>
      </w:r>
      <w:r w:rsidRPr="0045779B">
        <w:rPr>
          <w:i/>
          <w:iCs/>
          <w:lang w:val="nl-NL"/>
        </w:rPr>
        <w:t>: Hoeveel bonus kreeg u?</w:t>
      </w:r>
    </w:p>
    <w:p w14:paraId="5D542E56" w14:textId="5B9AE577" w:rsidR="0075457B" w:rsidRPr="0045779B" w:rsidRDefault="000F0E51" w:rsidP="0045779B">
      <w:pPr>
        <w:rPr>
          <w:lang w:val="nl-NL"/>
        </w:rPr>
      </w:pPr>
      <w:r w:rsidRPr="0045779B">
        <w:rPr>
          <w:lang w:val="nl-NL"/>
        </w:rPr>
        <w:t>De gemiddelde bonus</w:t>
      </w:r>
      <w:r>
        <w:rPr>
          <w:lang w:val="nl-NL"/>
        </w:rPr>
        <w:t xml:space="preserve"> van een makelaar professional</w:t>
      </w:r>
      <w:r>
        <w:rPr>
          <w:lang w:val="nl-NL"/>
        </w:rPr>
        <w:t xml:space="preserve"> in 2021</w:t>
      </w:r>
      <w:r w:rsidRPr="0045779B">
        <w:rPr>
          <w:lang w:val="nl-NL"/>
        </w:rPr>
        <w:t xml:space="preserve"> bedroeg 7169</w:t>
      </w:r>
      <w:r>
        <w:rPr>
          <w:lang w:val="nl-NL"/>
        </w:rPr>
        <w:t>,</w:t>
      </w:r>
      <w:r w:rsidRPr="0045779B">
        <w:rPr>
          <w:lang w:val="nl-NL"/>
        </w:rPr>
        <w:t>65 euro</w:t>
      </w:r>
      <w:r>
        <w:rPr>
          <w:lang w:val="nl-NL"/>
        </w:rPr>
        <w:t>.</w:t>
      </w:r>
      <w:r>
        <w:rPr>
          <w:lang w:val="nl-NL"/>
        </w:rPr>
        <w:t xml:space="preserve"> </w:t>
      </w:r>
      <w:r w:rsidR="00704772" w:rsidRPr="0045779B">
        <w:rPr>
          <w:lang w:val="nl-NL"/>
        </w:rPr>
        <w:t>Twee extre</w:t>
      </w:r>
      <w:r w:rsidR="0071195B">
        <w:rPr>
          <w:lang w:val="nl-NL"/>
        </w:rPr>
        <w:t xml:space="preserve">em </w:t>
      </w:r>
      <w:r w:rsidR="00704772" w:rsidRPr="0045779B">
        <w:rPr>
          <w:lang w:val="nl-NL"/>
        </w:rPr>
        <w:t>hoge bonussen van 170.000</w:t>
      </w:r>
      <w:r w:rsidR="0071195B">
        <w:rPr>
          <w:lang w:val="nl-NL"/>
        </w:rPr>
        <w:t>,-</w:t>
      </w:r>
      <w:r w:rsidR="00704772" w:rsidRPr="0045779B">
        <w:rPr>
          <w:lang w:val="nl-NL"/>
        </w:rPr>
        <w:t xml:space="preserve"> en 120.000</w:t>
      </w:r>
      <w:r w:rsidR="0071195B">
        <w:rPr>
          <w:lang w:val="nl-NL"/>
        </w:rPr>
        <w:t>,- euro</w:t>
      </w:r>
      <w:r w:rsidR="00704772" w:rsidRPr="0045779B">
        <w:rPr>
          <w:lang w:val="nl-NL"/>
        </w:rPr>
        <w:t xml:space="preserve"> voor RT Makelaars (BOG) zijn </w:t>
      </w:r>
      <w:r>
        <w:rPr>
          <w:lang w:val="nl-NL"/>
        </w:rPr>
        <w:t>hierbij niet meegenomen in de bereke</w:t>
      </w:r>
      <w:r w:rsidR="00835903">
        <w:rPr>
          <w:lang w:val="nl-NL"/>
        </w:rPr>
        <w:t>n</w:t>
      </w:r>
      <w:r>
        <w:rPr>
          <w:lang w:val="nl-NL"/>
        </w:rPr>
        <w:t>ingen</w:t>
      </w:r>
      <w:r w:rsidR="00704772" w:rsidRPr="0045779B">
        <w:rPr>
          <w:lang w:val="nl-NL"/>
        </w:rPr>
        <w:t xml:space="preserve">. </w:t>
      </w:r>
    </w:p>
    <w:tbl>
      <w:tblPr>
        <w:tblStyle w:val="PlainTable3"/>
        <w:tblW w:w="0" w:type="auto"/>
        <w:tblLook w:val="04A0" w:firstRow="1" w:lastRow="0" w:firstColumn="1" w:lastColumn="0" w:noHBand="0" w:noVBand="1"/>
      </w:tblPr>
      <w:tblGrid>
        <w:gridCol w:w="2373"/>
        <w:gridCol w:w="1026"/>
        <w:gridCol w:w="1026"/>
        <w:gridCol w:w="1091"/>
        <w:gridCol w:w="1091"/>
        <w:gridCol w:w="1088"/>
        <w:gridCol w:w="1331"/>
      </w:tblGrid>
      <w:tr w:rsidR="0045779B" w:rsidRPr="0045779B" w14:paraId="2973C55A" w14:textId="77777777" w:rsidTr="004E060C">
        <w:trPr>
          <w:cnfStyle w:val="100000000000" w:firstRow="1" w:lastRow="0" w:firstColumn="0" w:lastColumn="0" w:oddVBand="0" w:evenVBand="0" w:oddHBand="0" w:evenHBand="0" w:firstRowFirstColumn="0" w:firstRowLastColumn="0" w:lastRowFirstColumn="0" w:lastRowLastColumn="0"/>
          <w:trHeight w:val="588"/>
        </w:trPr>
        <w:tc>
          <w:tcPr>
            <w:cnfStyle w:val="001000000100" w:firstRow="0" w:lastRow="0" w:firstColumn="1" w:lastColumn="0" w:oddVBand="0" w:evenVBand="0" w:oddHBand="0" w:evenHBand="0" w:firstRowFirstColumn="1" w:firstRowLastColumn="0" w:lastRowFirstColumn="0" w:lastRowLastColumn="0"/>
            <w:tcW w:w="0" w:type="auto"/>
            <w:hideMark/>
          </w:tcPr>
          <w:p w14:paraId="72183732" w14:textId="77777777" w:rsidR="0069452A" w:rsidRPr="0045779B" w:rsidRDefault="0069452A" w:rsidP="0045779B">
            <w:pPr>
              <w:rPr>
                <w:rFonts w:eastAsia="Times New Roman"/>
              </w:rPr>
            </w:pPr>
            <w:r w:rsidRPr="0045779B">
              <w:rPr>
                <w:rFonts w:eastAsia="Times New Roman"/>
                <w:lang w:val="nl-NL"/>
              </w:rPr>
              <w:t> </w:t>
            </w:r>
          </w:p>
        </w:tc>
        <w:tc>
          <w:tcPr>
            <w:tcW w:w="0" w:type="auto"/>
            <w:hideMark/>
          </w:tcPr>
          <w:p w14:paraId="260A69C8" w14:textId="77777777"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rFonts w:eastAsia="Times New Roman"/>
              </w:rPr>
            </w:pPr>
            <w:r w:rsidRPr="0045779B">
              <w:rPr>
                <w:rFonts w:eastAsia="Times New Roman"/>
                <w:lang w:val="nl-NL"/>
              </w:rPr>
              <w:t>0 t/m 2 jaar</w:t>
            </w:r>
          </w:p>
        </w:tc>
        <w:tc>
          <w:tcPr>
            <w:tcW w:w="0" w:type="auto"/>
            <w:hideMark/>
          </w:tcPr>
          <w:p w14:paraId="7888F7CB" w14:textId="77777777"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rFonts w:eastAsia="Times New Roman"/>
              </w:rPr>
            </w:pPr>
            <w:r w:rsidRPr="0045779B">
              <w:rPr>
                <w:rFonts w:eastAsia="Times New Roman"/>
                <w:lang w:val="nl-NL"/>
              </w:rPr>
              <w:t>2 t/m 4 jaar</w:t>
            </w:r>
          </w:p>
        </w:tc>
        <w:tc>
          <w:tcPr>
            <w:tcW w:w="0" w:type="auto"/>
            <w:hideMark/>
          </w:tcPr>
          <w:p w14:paraId="3997144B" w14:textId="77777777"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rFonts w:eastAsia="Times New Roman"/>
              </w:rPr>
            </w:pPr>
            <w:r w:rsidRPr="0045779B">
              <w:rPr>
                <w:rFonts w:eastAsia="Times New Roman"/>
                <w:lang w:val="nl-NL"/>
              </w:rPr>
              <w:t>4 t/m 6 jaar</w:t>
            </w:r>
          </w:p>
        </w:tc>
        <w:tc>
          <w:tcPr>
            <w:tcW w:w="0" w:type="auto"/>
            <w:hideMark/>
          </w:tcPr>
          <w:p w14:paraId="73F24A4C" w14:textId="77777777"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rFonts w:eastAsia="Times New Roman"/>
              </w:rPr>
            </w:pPr>
            <w:r w:rsidRPr="0045779B">
              <w:rPr>
                <w:rFonts w:eastAsia="Times New Roman"/>
                <w:lang w:val="nl-NL"/>
              </w:rPr>
              <w:t>6 t/m 8 jaar</w:t>
            </w:r>
          </w:p>
        </w:tc>
        <w:tc>
          <w:tcPr>
            <w:tcW w:w="1088" w:type="dxa"/>
            <w:hideMark/>
          </w:tcPr>
          <w:p w14:paraId="311949A2" w14:textId="77777777"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rFonts w:eastAsia="Times New Roman"/>
              </w:rPr>
            </w:pPr>
            <w:r w:rsidRPr="0045779B">
              <w:rPr>
                <w:rFonts w:eastAsia="Times New Roman"/>
                <w:lang w:val="nl-NL"/>
              </w:rPr>
              <w:t>8 of meer</w:t>
            </w:r>
          </w:p>
        </w:tc>
        <w:tc>
          <w:tcPr>
            <w:tcW w:w="1229" w:type="dxa"/>
            <w:hideMark/>
          </w:tcPr>
          <w:p w14:paraId="322AA7CA" w14:textId="77777777" w:rsidR="0069452A" w:rsidRPr="0045779B" w:rsidRDefault="0069452A" w:rsidP="0045779B">
            <w:pPr>
              <w:cnfStyle w:val="100000000000" w:firstRow="1" w:lastRow="0" w:firstColumn="0" w:lastColumn="0" w:oddVBand="0" w:evenVBand="0" w:oddHBand="0" w:evenHBand="0" w:firstRowFirstColumn="0" w:firstRowLastColumn="0" w:lastRowFirstColumn="0" w:lastRowLastColumn="0"/>
              <w:rPr>
                <w:rFonts w:eastAsia="Times New Roman"/>
              </w:rPr>
            </w:pPr>
            <w:r w:rsidRPr="0045779B">
              <w:rPr>
                <w:rFonts w:eastAsia="Times New Roman"/>
              </w:rPr>
              <w:t xml:space="preserve">Gemiddeld </w:t>
            </w:r>
          </w:p>
        </w:tc>
      </w:tr>
      <w:tr w:rsidR="0045779B" w:rsidRPr="0045779B" w14:paraId="37B7B16A" w14:textId="77777777" w:rsidTr="004E060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5966E6C9" w14:textId="77777777" w:rsidR="0069452A" w:rsidRPr="0045779B" w:rsidRDefault="0069452A" w:rsidP="0045779B">
            <w:pPr>
              <w:rPr>
                <w:rFonts w:eastAsia="Times New Roman"/>
              </w:rPr>
            </w:pPr>
            <w:r w:rsidRPr="0045779B">
              <w:rPr>
                <w:rFonts w:eastAsia="Times New Roman"/>
              </w:rPr>
              <w:t>Binnendienst</w:t>
            </w:r>
          </w:p>
        </w:tc>
        <w:tc>
          <w:tcPr>
            <w:tcW w:w="0" w:type="auto"/>
            <w:hideMark/>
          </w:tcPr>
          <w:p w14:paraId="5BB085BC" w14:textId="0D2AED3F"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rPr>
              <w:t>750</w:t>
            </w:r>
          </w:p>
        </w:tc>
        <w:tc>
          <w:tcPr>
            <w:tcW w:w="0" w:type="auto"/>
            <w:hideMark/>
          </w:tcPr>
          <w:p w14:paraId="1E075989" w14:textId="7063B564"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1.400</w:t>
            </w:r>
          </w:p>
        </w:tc>
        <w:tc>
          <w:tcPr>
            <w:tcW w:w="0" w:type="auto"/>
            <w:hideMark/>
          </w:tcPr>
          <w:p w14:paraId="1B02A740" w14:textId="50E85A08"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2.084</w:t>
            </w:r>
          </w:p>
        </w:tc>
        <w:tc>
          <w:tcPr>
            <w:tcW w:w="0" w:type="auto"/>
            <w:hideMark/>
          </w:tcPr>
          <w:p w14:paraId="4FD70ADB" w14:textId="62519B3A" w:rsidR="0069452A"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proofErr w:type="spellStart"/>
            <w:r w:rsidRPr="0045779B">
              <w:rPr>
                <w:rFonts w:eastAsia="Times New Roman"/>
                <w:lang w:val="en-GB"/>
              </w:rPr>
              <w:t>n.b</w:t>
            </w:r>
            <w:proofErr w:type="spellEnd"/>
          </w:p>
        </w:tc>
        <w:tc>
          <w:tcPr>
            <w:tcW w:w="1088" w:type="dxa"/>
            <w:hideMark/>
          </w:tcPr>
          <w:p w14:paraId="07C84DC7" w14:textId="3BD33171"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3.000</w:t>
            </w:r>
          </w:p>
        </w:tc>
        <w:tc>
          <w:tcPr>
            <w:tcW w:w="1229" w:type="dxa"/>
            <w:hideMark/>
          </w:tcPr>
          <w:p w14:paraId="2A5C7315" w14:textId="462F1D70"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2.046</w:t>
            </w:r>
          </w:p>
        </w:tc>
      </w:tr>
      <w:tr w:rsidR="0045779B" w:rsidRPr="0045779B" w14:paraId="51D398B4" w14:textId="77777777" w:rsidTr="004E060C">
        <w:trPr>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1D1DFF9C" w14:textId="624AB291" w:rsidR="0069452A" w:rsidRPr="0045779B" w:rsidRDefault="00981758" w:rsidP="0045779B">
            <w:pPr>
              <w:rPr>
                <w:rFonts w:eastAsia="Times New Roman"/>
                <w:lang w:val="en-GB"/>
              </w:rPr>
            </w:pPr>
            <w:r w:rsidRPr="0045779B">
              <w:rPr>
                <w:rFonts w:eastAsia="Times New Roman"/>
                <w:lang w:val="en-GB"/>
              </w:rPr>
              <w:t>COUNT</w:t>
            </w:r>
          </w:p>
        </w:tc>
        <w:tc>
          <w:tcPr>
            <w:tcW w:w="0" w:type="auto"/>
            <w:hideMark/>
          </w:tcPr>
          <w:p w14:paraId="22E3BDD1" w14:textId="396CD093"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w:t>
            </w:r>
          </w:p>
        </w:tc>
        <w:tc>
          <w:tcPr>
            <w:tcW w:w="0" w:type="auto"/>
            <w:hideMark/>
          </w:tcPr>
          <w:p w14:paraId="15F5D2F8" w14:textId="411B7E34"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w:t>
            </w:r>
          </w:p>
        </w:tc>
        <w:tc>
          <w:tcPr>
            <w:tcW w:w="0" w:type="auto"/>
            <w:hideMark/>
          </w:tcPr>
          <w:p w14:paraId="12AB37FB" w14:textId="6DCA830B"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w:t>
            </w:r>
          </w:p>
        </w:tc>
        <w:tc>
          <w:tcPr>
            <w:tcW w:w="0" w:type="auto"/>
            <w:hideMark/>
          </w:tcPr>
          <w:p w14:paraId="4D8F6163" w14:textId="77777777"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rFonts w:eastAsia="Times New Roman"/>
              </w:rPr>
            </w:pPr>
            <w:r w:rsidRPr="0045779B">
              <w:rPr>
                <w:rFonts w:eastAsia="Times New Roman"/>
              </w:rPr>
              <w:t>0</w:t>
            </w:r>
          </w:p>
        </w:tc>
        <w:tc>
          <w:tcPr>
            <w:tcW w:w="1088" w:type="dxa"/>
            <w:hideMark/>
          </w:tcPr>
          <w:p w14:paraId="1097FE91" w14:textId="3E74446E"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rPr>
            </w:pPr>
            <w:r w:rsidRPr="0045779B">
              <w:rPr>
                <w:rFonts w:eastAsia="Times New Roman"/>
                <w:lang w:val="en-GB"/>
              </w:rPr>
              <w:t>2</w:t>
            </w:r>
          </w:p>
        </w:tc>
        <w:tc>
          <w:tcPr>
            <w:tcW w:w="1229" w:type="dxa"/>
            <w:hideMark/>
          </w:tcPr>
          <w:p w14:paraId="320DADDC" w14:textId="6917B926" w:rsidR="0069452A" w:rsidRPr="0045779B" w:rsidRDefault="005E598E"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5</w:t>
            </w:r>
          </w:p>
        </w:tc>
      </w:tr>
      <w:tr w:rsidR="0045779B" w:rsidRPr="0045779B" w14:paraId="07945BCA" w14:textId="77777777" w:rsidTr="004E060C">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0" w:type="auto"/>
            <w:hideMark/>
          </w:tcPr>
          <w:p w14:paraId="3D960BAE" w14:textId="77777777" w:rsidR="0069452A" w:rsidRPr="0045779B" w:rsidRDefault="0069452A" w:rsidP="0045779B">
            <w:pPr>
              <w:rPr>
                <w:rFonts w:eastAsia="Times New Roman"/>
              </w:rPr>
            </w:pPr>
            <w:r w:rsidRPr="0045779B">
              <w:rPr>
                <w:rFonts w:eastAsia="Times New Roman"/>
              </w:rPr>
              <w:t>ARMT makelaar wonen</w:t>
            </w:r>
          </w:p>
        </w:tc>
        <w:tc>
          <w:tcPr>
            <w:tcW w:w="0" w:type="auto"/>
            <w:hideMark/>
          </w:tcPr>
          <w:p w14:paraId="404AE754" w14:textId="298ED517"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1.133</w:t>
            </w:r>
          </w:p>
        </w:tc>
        <w:tc>
          <w:tcPr>
            <w:tcW w:w="0" w:type="auto"/>
            <w:hideMark/>
          </w:tcPr>
          <w:p w14:paraId="1499688C" w14:textId="62904DD4"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1.157</w:t>
            </w:r>
          </w:p>
        </w:tc>
        <w:tc>
          <w:tcPr>
            <w:tcW w:w="0" w:type="auto"/>
            <w:hideMark/>
          </w:tcPr>
          <w:p w14:paraId="5C4C6CF8" w14:textId="3DE723BE"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2.775</w:t>
            </w:r>
          </w:p>
        </w:tc>
        <w:tc>
          <w:tcPr>
            <w:tcW w:w="0" w:type="auto"/>
            <w:hideMark/>
          </w:tcPr>
          <w:p w14:paraId="7AFD4314" w14:textId="59E7BB4E" w:rsidR="0069452A" w:rsidRPr="0045779B" w:rsidRDefault="005E598E" w:rsidP="0045779B">
            <w:pPr>
              <w:cnfStyle w:val="000000100000" w:firstRow="0" w:lastRow="0" w:firstColumn="0" w:lastColumn="0" w:oddVBand="0" w:evenVBand="0" w:oddHBand="1" w:evenHBand="0" w:firstRowFirstColumn="0" w:firstRowLastColumn="0" w:lastRowFirstColumn="0" w:lastRowLastColumn="0"/>
              <w:rPr>
                <w:rFonts w:eastAsia="Times New Roman"/>
              </w:rPr>
            </w:pPr>
            <w:r w:rsidRPr="0045779B">
              <w:rPr>
                <w:rFonts w:eastAsia="Times New Roman"/>
              </w:rPr>
              <w:t xml:space="preserve">€ </w:t>
            </w:r>
            <w:r w:rsidRPr="0045779B">
              <w:rPr>
                <w:rFonts w:eastAsia="Times New Roman"/>
                <w:lang w:val="nl-NL"/>
              </w:rPr>
              <w:t>2.650</w:t>
            </w:r>
          </w:p>
        </w:tc>
        <w:tc>
          <w:tcPr>
            <w:tcW w:w="1088" w:type="dxa"/>
            <w:hideMark/>
          </w:tcPr>
          <w:p w14:paraId="61034010" w14:textId="377B5DBC" w:rsidR="005E598E"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1.812</w:t>
            </w:r>
          </w:p>
        </w:tc>
        <w:tc>
          <w:tcPr>
            <w:tcW w:w="1229" w:type="dxa"/>
            <w:hideMark/>
          </w:tcPr>
          <w:p w14:paraId="54BD91EF" w14:textId="61081429"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1.939</w:t>
            </w:r>
          </w:p>
        </w:tc>
      </w:tr>
      <w:tr w:rsidR="0045779B" w:rsidRPr="0045779B" w14:paraId="285CB539" w14:textId="77777777" w:rsidTr="004E060C">
        <w:trPr>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6191FF51" w14:textId="3A58ECE0" w:rsidR="0069452A" w:rsidRPr="0045779B" w:rsidRDefault="00981758" w:rsidP="0045779B">
            <w:pPr>
              <w:rPr>
                <w:rFonts w:eastAsia="Times New Roman"/>
              </w:rPr>
            </w:pPr>
            <w:r w:rsidRPr="0045779B">
              <w:rPr>
                <w:rFonts w:eastAsia="Times New Roman"/>
                <w:lang w:val="en-GB"/>
              </w:rPr>
              <w:t>COUNT</w:t>
            </w:r>
          </w:p>
        </w:tc>
        <w:tc>
          <w:tcPr>
            <w:tcW w:w="0" w:type="auto"/>
            <w:hideMark/>
          </w:tcPr>
          <w:p w14:paraId="38FCA356" w14:textId="5DDD34CE"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w:t>
            </w:r>
          </w:p>
        </w:tc>
        <w:tc>
          <w:tcPr>
            <w:tcW w:w="0" w:type="auto"/>
            <w:hideMark/>
          </w:tcPr>
          <w:p w14:paraId="4F12FD12" w14:textId="4587293A"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4</w:t>
            </w:r>
          </w:p>
        </w:tc>
        <w:tc>
          <w:tcPr>
            <w:tcW w:w="0" w:type="auto"/>
            <w:hideMark/>
          </w:tcPr>
          <w:p w14:paraId="26838BC9" w14:textId="345EB01F"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4</w:t>
            </w:r>
          </w:p>
        </w:tc>
        <w:tc>
          <w:tcPr>
            <w:tcW w:w="0" w:type="auto"/>
            <w:hideMark/>
          </w:tcPr>
          <w:p w14:paraId="1F96553E" w14:textId="5F600C2F"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4</w:t>
            </w:r>
          </w:p>
        </w:tc>
        <w:tc>
          <w:tcPr>
            <w:tcW w:w="1088" w:type="dxa"/>
            <w:hideMark/>
          </w:tcPr>
          <w:p w14:paraId="65510057" w14:textId="2897B3DE"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5</w:t>
            </w:r>
          </w:p>
        </w:tc>
        <w:tc>
          <w:tcPr>
            <w:tcW w:w="1229" w:type="dxa"/>
            <w:hideMark/>
          </w:tcPr>
          <w:p w14:paraId="6F86FB1F" w14:textId="1CFE54EE" w:rsidR="0069452A" w:rsidRPr="0045779B" w:rsidRDefault="005E598E"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20</w:t>
            </w:r>
          </w:p>
        </w:tc>
      </w:tr>
      <w:tr w:rsidR="0045779B" w:rsidRPr="0045779B" w14:paraId="50DCD36A" w14:textId="77777777" w:rsidTr="004E060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0" w:type="auto"/>
            <w:hideMark/>
          </w:tcPr>
          <w:p w14:paraId="07A100FC" w14:textId="77777777" w:rsidR="0069452A" w:rsidRPr="0045779B" w:rsidRDefault="0069452A" w:rsidP="0045779B">
            <w:pPr>
              <w:rPr>
                <w:rFonts w:eastAsia="Times New Roman"/>
              </w:rPr>
            </w:pPr>
            <w:r w:rsidRPr="0045779B">
              <w:rPr>
                <w:rFonts w:eastAsia="Times New Roman"/>
              </w:rPr>
              <w:t>KRMT makelaar wonen</w:t>
            </w:r>
          </w:p>
        </w:tc>
        <w:tc>
          <w:tcPr>
            <w:tcW w:w="0" w:type="auto"/>
            <w:hideMark/>
          </w:tcPr>
          <w:p w14:paraId="46AF7CA4" w14:textId="5F2F9FF4"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3.178</w:t>
            </w:r>
          </w:p>
        </w:tc>
        <w:tc>
          <w:tcPr>
            <w:tcW w:w="0" w:type="auto"/>
            <w:hideMark/>
          </w:tcPr>
          <w:p w14:paraId="554D8927" w14:textId="2096E037"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6.008</w:t>
            </w:r>
          </w:p>
        </w:tc>
        <w:tc>
          <w:tcPr>
            <w:tcW w:w="0" w:type="auto"/>
            <w:hideMark/>
          </w:tcPr>
          <w:p w14:paraId="1A937463" w14:textId="34B29E8D"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8.681</w:t>
            </w:r>
          </w:p>
        </w:tc>
        <w:tc>
          <w:tcPr>
            <w:tcW w:w="0" w:type="auto"/>
            <w:hideMark/>
          </w:tcPr>
          <w:p w14:paraId="25E4BDED" w14:textId="44512904" w:rsidR="0069452A" w:rsidRPr="0045779B" w:rsidRDefault="005E598E"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w:t>
            </w:r>
            <w:r w:rsidRPr="0045779B">
              <w:rPr>
                <w:rFonts w:eastAsia="Times New Roman"/>
                <w:lang w:val="en-GB"/>
              </w:rPr>
              <w:t xml:space="preserve"> </w:t>
            </w:r>
            <w:r w:rsidR="004E060C" w:rsidRPr="0045779B">
              <w:rPr>
                <w:rFonts w:eastAsia="Times New Roman"/>
                <w:lang w:val="en-GB"/>
              </w:rPr>
              <w:t>16.600</w:t>
            </w:r>
          </w:p>
        </w:tc>
        <w:tc>
          <w:tcPr>
            <w:tcW w:w="1088" w:type="dxa"/>
            <w:hideMark/>
          </w:tcPr>
          <w:p w14:paraId="5356FD45" w14:textId="67D46FD3"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5.638</w:t>
            </w:r>
          </w:p>
        </w:tc>
        <w:tc>
          <w:tcPr>
            <w:tcW w:w="1229" w:type="dxa"/>
            <w:hideMark/>
          </w:tcPr>
          <w:p w14:paraId="4B3F278B" w14:textId="2D054C01"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6.366</w:t>
            </w:r>
          </w:p>
        </w:tc>
      </w:tr>
      <w:tr w:rsidR="0045779B" w:rsidRPr="0045779B" w14:paraId="148B198F" w14:textId="77777777" w:rsidTr="004E060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2A77422" w14:textId="008410AA" w:rsidR="0069452A" w:rsidRPr="0045779B" w:rsidRDefault="00981758" w:rsidP="0045779B">
            <w:pPr>
              <w:rPr>
                <w:rFonts w:eastAsia="Times New Roman"/>
              </w:rPr>
            </w:pPr>
            <w:r w:rsidRPr="0045779B">
              <w:rPr>
                <w:rFonts w:eastAsia="Times New Roman"/>
                <w:lang w:val="en-GB"/>
              </w:rPr>
              <w:t>COUNT</w:t>
            </w:r>
          </w:p>
        </w:tc>
        <w:tc>
          <w:tcPr>
            <w:tcW w:w="0" w:type="auto"/>
            <w:hideMark/>
          </w:tcPr>
          <w:p w14:paraId="2D1F0209" w14:textId="4D19545C"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21</w:t>
            </w:r>
          </w:p>
        </w:tc>
        <w:tc>
          <w:tcPr>
            <w:tcW w:w="0" w:type="auto"/>
            <w:hideMark/>
          </w:tcPr>
          <w:p w14:paraId="199DEA44" w14:textId="364F3117"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18</w:t>
            </w:r>
          </w:p>
        </w:tc>
        <w:tc>
          <w:tcPr>
            <w:tcW w:w="0" w:type="auto"/>
            <w:hideMark/>
          </w:tcPr>
          <w:p w14:paraId="5A30E1C2" w14:textId="020A8E39"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8</w:t>
            </w:r>
          </w:p>
        </w:tc>
        <w:tc>
          <w:tcPr>
            <w:tcW w:w="0" w:type="auto"/>
            <w:hideMark/>
          </w:tcPr>
          <w:p w14:paraId="2051AC04" w14:textId="723588B1"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6</w:t>
            </w:r>
          </w:p>
        </w:tc>
        <w:tc>
          <w:tcPr>
            <w:tcW w:w="1088" w:type="dxa"/>
            <w:hideMark/>
          </w:tcPr>
          <w:p w14:paraId="7840D570" w14:textId="7D8DD6AD"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9</w:t>
            </w:r>
          </w:p>
        </w:tc>
        <w:tc>
          <w:tcPr>
            <w:tcW w:w="1229" w:type="dxa"/>
            <w:hideMark/>
          </w:tcPr>
          <w:p w14:paraId="6A492E88" w14:textId="283490C7" w:rsidR="0069452A" w:rsidRPr="0045779B" w:rsidRDefault="005E598E"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62</w:t>
            </w:r>
          </w:p>
        </w:tc>
      </w:tr>
      <w:tr w:rsidR="0045779B" w:rsidRPr="0045779B" w14:paraId="068C90B7" w14:textId="77777777" w:rsidTr="004E060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376049FB" w14:textId="77777777" w:rsidR="004E060C" w:rsidRPr="0045779B" w:rsidRDefault="004E060C" w:rsidP="0045779B">
            <w:pPr>
              <w:rPr>
                <w:rFonts w:eastAsia="Times New Roman"/>
              </w:rPr>
            </w:pPr>
            <w:r w:rsidRPr="0045779B">
              <w:rPr>
                <w:rFonts w:eastAsia="Times New Roman"/>
              </w:rPr>
              <w:t>RM/RT wonen</w:t>
            </w:r>
          </w:p>
        </w:tc>
        <w:tc>
          <w:tcPr>
            <w:tcW w:w="0" w:type="auto"/>
            <w:hideMark/>
          </w:tcPr>
          <w:p w14:paraId="04030385" w14:textId="597D1392" w:rsidR="004E060C"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Pr="0045779B">
              <w:rPr>
                <w:rFonts w:eastAsia="Times New Roman"/>
                <w:lang w:val="en-GB"/>
              </w:rPr>
              <w:t>4.912</w:t>
            </w:r>
          </w:p>
        </w:tc>
        <w:tc>
          <w:tcPr>
            <w:tcW w:w="0" w:type="auto"/>
            <w:hideMark/>
          </w:tcPr>
          <w:p w14:paraId="02AAB6EC" w14:textId="65248C19" w:rsidR="004E060C"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rPr>
            </w:pPr>
            <w:r w:rsidRPr="0045779B">
              <w:rPr>
                <w:rFonts w:eastAsia="Times New Roman"/>
              </w:rPr>
              <w:t xml:space="preserve">€ </w:t>
            </w:r>
            <w:r w:rsidRPr="0045779B">
              <w:rPr>
                <w:rFonts w:eastAsia="Times New Roman"/>
                <w:lang w:val="en-GB"/>
              </w:rPr>
              <w:t>4.957</w:t>
            </w:r>
          </w:p>
        </w:tc>
        <w:tc>
          <w:tcPr>
            <w:tcW w:w="0" w:type="auto"/>
            <w:hideMark/>
          </w:tcPr>
          <w:p w14:paraId="6A3838A6" w14:textId="43F16413" w:rsidR="004E060C"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Pr="0045779B">
              <w:rPr>
                <w:rFonts w:eastAsia="Times New Roman"/>
                <w:lang w:val="en-GB"/>
              </w:rPr>
              <w:t>6.108</w:t>
            </w:r>
          </w:p>
        </w:tc>
        <w:tc>
          <w:tcPr>
            <w:tcW w:w="0" w:type="auto"/>
            <w:hideMark/>
          </w:tcPr>
          <w:p w14:paraId="09E22C00" w14:textId="6DC18E6B" w:rsidR="004E060C"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Pr="0045779B">
              <w:rPr>
                <w:rFonts w:eastAsia="Times New Roman"/>
                <w:lang w:val="en-GB"/>
              </w:rPr>
              <w:t>19.333</w:t>
            </w:r>
          </w:p>
        </w:tc>
        <w:tc>
          <w:tcPr>
            <w:tcW w:w="1088" w:type="dxa"/>
            <w:hideMark/>
          </w:tcPr>
          <w:p w14:paraId="44BEB180" w14:textId="48F42B52" w:rsidR="004E060C"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Pr="0045779B">
              <w:rPr>
                <w:rFonts w:eastAsia="Times New Roman"/>
                <w:lang w:val="en-GB"/>
              </w:rPr>
              <w:t>11.161</w:t>
            </w:r>
          </w:p>
        </w:tc>
        <w:tc>
          <w:tcPr>
            <w:tcW w:w="1229" w:type="dxa"/>
            <w:hideMark/>
          </w:tcPr>
          <w:p w14:paraId="62AC4980" w14:textId="1675DE97" w:rsidR="004E060C"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Pr="0045779B">
              <w:rPr>
                <w:rFonts w:eastAsia="Times New Roman"/>
                <w:lang w:val="en-GB"/>
              </w:rPr>
              <w:t>8.841</w:t>
            </w:r>
          </w:p>
        </w:tc>
      </w:tr>
      <w:tr w:rsidR="0045779B" w:rsidRPr="0045779B" w14:paraId="1844750B" w14:textId="77777777" w:rsidTr="004E060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9986E75" w14:textId="65800194" w:rsidR="0069452A" w:rsidRPr="0045779B" w:rsidRDefault="00981758" w:rsidP="0045779B">
            <w:pPr>
              <w:rPr>
                <w:rFonts w:eastAsia="Times New Roman"/>
              </w:rPr>
            </w:pPr>
            <w:r w:rsidRPr="0045779B">
              <w:rPr>
                <w:rFonts w:eastAsia="Times New Roman"/>
                <w:lang w:val="en-GB"/>
              </w:rPr>
              <w:t>COUNT</w:t>
            </w:r>
          </w:p>
        </w:tc>
        <w:tc>
          <w:tcPr>
            <w:tcW w:w="0" w:type="auto"/>
            <w:hideMark/>
          </w:tcPr>
          <w:p w14:paraId="47D25E43" w14:textId="3468874C"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8</w:t>
            </w:r>
          </w:p>
        </w:tc>
        <w:tc>
          <w:tcPr>
            <w:tcW w:w="0" w:type="auto"/>
            <w:hideMark/>
          </w:tcPr>
          <w:p w14:paraId="6C770F6C" w14:textId="13A678C2"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7</w:t>
            </w:r>
          </w:p>
        </w:tc>
        <w:tc>
          <w:tcPr>
            <w:tcW w:w="0" w:type="auto"/>
            <w:hideMark/>
          </w:tcPr>
          <w:p w14:paraId="2E978F55" w14:textId="281B0DED"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13</w:t>
            </w:r>
          </w:p>
        </w:tc>
        <w:tc>
          <w:tcPr>
            <w:tcW w:w="0" w:type="auto"/>
            <w:hideMark/>
          </w:tcPr>
          <w:p w14:paraId="07627557" w14:textId="4F3F0B33"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w:t>
            </w:r>
          </w:p>
        </w:tc>
        <w:tc>
          <w:tcPr>
            <w:tcW w:w="1088" w:type="dxa"/>
            <w:hideMark/>
          </w:tcPr>
          <w:p w14:paraId="673C4CB1" w14:textId="0CA731F3"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27</w:t>
            </w:r>
          </w:p>
        </w:tc>
        <w:tc>
          <w:tcPr>
            <w:tcW w:w="1229" w:type="dxa"/>
            <w:hideMark/>
          </w:tcPr>
          <w:p w14:paraId="0F570416" w14:textId="5E2850C9" w:rsidR="0069452A" w:rsidRPr="0045779B" w:rsidRDefault="005E598E"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58</w:t>
            </w:r>
          </w:p>
        </w:tc>
      </w:tr>
      <w:tr w:rsidR="0045779B" w:rsidRPr="0045779B" w14:paraId="257F33E4" w14:textId="77777777" w:rsidTr="004E060C">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0" w:type="auto"/>
            <w:hideMark/>
          </w:tcPr>
          <w:p w14:paraId="154AF18D" w14:textId="77777777" w:rsidR="0069452A" w:rsidRPr="0045779B" w:rsidRDefault="0069452A" w:rsidP="0045779B">
            <w:pPr>
              <w:rPr>
                <w:rFonts w:eastAsia="Times New Roman"/>
              </w:rPr>
            </w:pPr>
            <w:r w:rsidRPr="0045779B">
              <w:rPr>
                <w:rFonts w:eastAsia="Times New Roman"/>
              </w:rPr>
              <w:t>RT makelaar (BOG)</w:t>
            </w:r>
          </w:p>
        </w:tc>
        <w:tc>
          <w:tcPr>
            <w:tcW w:w="0" w:type="auto"/>
            <w:hideMark/>
          </w:tcPr>
          <w:p w14:paraId="77217DCB" w14:textId="3B96C9EB"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8.250</w:t>
            </w:r>
          </w:p>
        </w:tc>
        <w:tc>
          <w:tcPr>
            <w:tcW w:w="0" w:type="auto"/>
            <w:hideMark/>
          </w:tcPr>
          <w:p w14:paraId="5AE3D133" w14:textId="61D20DFE"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704772" w:rsidRPr="0045779B">
              <w:rPr>
                <w:rFonts w:eastAsia="Times New Roman"/>
                <w:lang w:val="en-GB"/>
              </w:rPr>
              <w:t>3.333</w:t>
            </w:r>
          </w:p>
        </w:tc>
        <w:tc>
          <w:tcPr>
            <w:tcW w:w="0" w:type="auto"/>
            <w:hideMark/>
          </w:tcPr>
          <w:p w14:paraId="70DD867D" w14:textId="6C060519"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5.403</w:t>
            </w:r>
          </w:p>
        </w:tc>
        <w:tc>
          <w:tcPr>
            <w:tcW w:w="0" w:type="auto"/>
            <w:hideMark/>
          </w:tcPr>
          <w:p w14:paraId="7D7D5800" w14:textId="01D67398" w:rsidR="0069452A" w:rsidRPr="0045779B" w:rsidRDefault="00704772"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proofErr w:type="spellStart"/>
            <w:r w:rsidRPr="0045779B">
              <w:rPr>
                <w:rFonts w:eastAsia="Times New Roman"/>
                <w:lang w:val="en-GB"/>
              </w:rPr>
              <w:t>n.b</w:t>
            </w:r>
            <w:proofErr w:type="spellEnd"/>
          </w:p>
        </w:tc>
        <w:tc>
          <w:tcPr>
            <w:tcW w:w="1088" w:type="dxa"/>
            <w:hideMark/>
          </w:tcPr>
          <w:p w14:paraId="4CA5FC19" w14:textId="19C56363"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9460</w:t>
            </w:r>
          </w:p>
        </w:tc>
        <w:tc>
          <w:tcPr>
            <w:tcW w:w="1229" w:type="dxa"/>
            <w:hideMark/>
          </w:tcPr>
          <w:p w14:paraId="16C52DEA" w14:textId="25635021"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704772" w:rsidRPr="0045779B">
              <w:rPr>
                <w:rFonts w:eastAsia="Times New Roman"/>
                <w:lang w:val="en-GB"/>
              </w:rPr>
              <w:t>6.737</w:t>
            </w:r>
          </w:p>
        </w:tc>
      </w:tr>
      <w:tr w:rsidR="0045779B" w:rsidRPr="0045779B" w14:paraId="7C795508" w14:textId="77777777" w:rsidTr="004E060C">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1BF6690E" w14:textId="4C13C385" w:rsidR="0069452A" w:rsidRPr="0045779B" w:rsidRDefault="00981758" w:rsidP="0045779B">
            <w:pPr>
              <w:rPr>
                <w:rFonts w:eastAsia="Times New Roman"/>
              </w:rPr>
            </w:pPr>
            <w:r w:rsidRPr="0045779B">
              <w:rPr>
                <w:rFonts w:eastAsia="Times New Roman"/>
                <w:lang w:val="en-GB"/>
              </w:rPr>
              <w:t>COUNT</w:t>
            </w:r>
          </w:p>
        </w:tc>
        <w:tc>
          <w:tcPr>
            <w:tcW w:w="0" w:type="auto"/>
            <w:hideMark/>
          </w:tcPr>
          <w:p w14:paraId="5728EC8A" w14:textId="37091A06"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4</w:t>
            </w:r>
          </w:p>
        </w:tc>
        <w:tc>
          <w:tcPr>
            <w:tcW w:w="0" w:type="auto"/>
            <w:hideMark/>
          </w:tcPr>
          <w:p w14:paraId="58075BA6" w14:textId="0756B0DB" w:rsidR="0069452A" w:rsidRPr="0045779B" w:rsidRDefault="00704772"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w:t>
            </w:r>
          </w:p>
        </w:tc>
        <w:tc>
          <w:tcPr>
            <w:tcW w:w="0" w:type="auto"/>
            <w:hideMark/>
          </w:tcPr>
          <w:p w14:paraId="2D53D043" w14:textId="77777777"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rFonts w:eastAsia="Times New Roman"/>
              </w:rPr>
            </w:pPr>
            <w:r w:rsidRPr="0045779B">
              <w:rPr>
                <w:rFonts w:eastAsia="Times New Roman"/>
              </w:rPr>
              <w:t>3</w:t>
            </w:r>
          </w:p>
        </w:tc>
        <w:tc>
          <w:tcPr>
            <w:tcW w:w="0" w:type="auto"/>
            <w:hideMark/>
          </w:tcPr>
          <w:p w14:paraId="036975D5" w14:textId="4D906E47" w:rsidR="0069452A" w:rsidRPr="0045779B" w:rsidRDefault="00704772"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0</w:t>
            </w:r>
          </w:p>
        </w:tc>
        <w:tc>
          <w:tcPr>
            <w:tcW w:w="1088" w:type="dxa"/>
            <w:hideMark/>
          </w:tcPr>
          <w:p w14:paraId="7FDA1789" w14:textId="73A4565C"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w:t>
            </w:r>
          </w:p>
        </w:tc>
        <w:tc>
          <w:tcPr>
            <w:tcW w:w="1229" w:type="dxa"/>
            <w:hideMark/>
          </w:tcPr>
          <w:p w14:paraId="6CC5D495" w14:textId="70BB321A" w:rsidR="0069452A" w:rsidRPr="0045779B" w:rsidRDefault="005E598E"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w:t>
            </w:r>
            <w:r w:rsidR="00704772" w:rsidRPr="0045779B">
              <w:rPr>
                <w:rFonts w:eastAsia="Times New Roman"/>
                <w:lang w:val="en-GB"/>
              </w:rPr>
              <w:t>3</w:t>
            </w:r>
          </w:p>
        </w:tc>
      </w:tr>
      <w:tr w:rsidR="0045779B" w:rsidRPr="0045779B" w14:paraId="2F9FD7BA" w14:textId="77777777" w:rsidTr="004E06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hideMark/>
          </w:tcPr>
          <w:p w14:paraId="55C00C51" w14:textId="77777777" w:rsidR="0069452A" w:rsidRPr="0045779B" w:rsidRDefault="0069452A" w:rsidP="0045779B">
            <w:pPr>
              <w:rPr>
                <w:rFonts w:eastAsia="Times New Roman"/>
              </w:rPr>
            </w:pPr>
            <w:r w:rsidRPr="0045779B">
              <w:rPr>
                <w:rFonts w:eastAsia="Times New Roman"/>
              </w:rPr>
              <w:t>Verhuurmakelaar</w:t>
            </w:r>
          </w:p>
        </w:tc>
        <w:tc>
          <w:tcPr>
            <w:tcW w:w="0" w:type="auto"/>
            <w:hideMark/>
          </w:tcPr>
          <w:p w14:paraId="43A5555E" w14:textId="3F20A473" w:rsidR="0069452A"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proofErr w:type="spellStart"/>
            <w:r w:rsidRPr="0045779B">
              <w:rPr>
                <w:rFonts w:eastAsia="Times New Roman"/>
                <w:lang w:val="en-GB"/>
              </w:rPr>
              <w:t>n.b</w:t>
            </w:r>
            <w:proofErr w:type="spellEnd"/>
          </w:p>
        </w:tc>
        <w:tc>
          <w:tcPr>
            <w:tcW w:w="0" w:type="auto"/>
            <w:hideMark/>
          </w:tcPr>
          <w:p w14:paraId="38C8DE1A" w14:textId="5A6F2B39"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2.000</w:t>
            </w:r>
          </w:p>
        </w:tc>
        <w:tc>
          <w:tcPr>
            <w:tcW w:w="0" w:type="auto"/>
            <w:hideMark/>
          </w:tcPr>
          <w:p w14:paraId="0CFD54F4" w14:textId="20F42DF0" w:rsidR="0069452A" w:rsidRPr="0045779B" w:rsidRDefault="004E060C" w:rsidP="0045779B">
            <w:pPr>
              <w:cnfStyle w:val="000000100000" w:firstRow="0" w:lastRow="0" w:firstColumn="0" w:lastColumn="0" w:oddVBand="0" w:evenVBand="0" w:oddHBand="1" w:evenHBand="0" w:firstRowFirstColumn="0" w:firstRowLastColumn="0" w:lastRowFirstColumn="0" w:lastRowLastColumn="0"/>
              <w:rPr>
                <w:rFonts w:eastAsia="Times New Roman"/>
              </w:rPr>
            </w:pPr>
            <w:r w:rsidRPr="0045779B">
              <w:rPr>
                <w:rFonts w:eastAsia="Times New Roman"/>
              </w:rPr>
              <w:t xml:space="preserve">€ </w:t>
            </w:r>
            <w:r w:rsidRPr="0045779B">
              <w:rPr>
                <w:rFonts w:eastAsia="Times New Roman"/>
                <w:lang w:val="en-GB"/>
              </w:rPr>
              <w:t>21.133</w:t>
            </w:r>
          </w:p>
        </w:tc>
        <w:tc>
          <w:tcPr>
            <w:tcW w:w="0" w:type="auto"/>
            <w:hideMark/>
          </w:tcPr>
          <w:p w14:paraId="6DB0CF62" w14:textId="77777777"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5779B">
              <w:rPr>
                <w:rFonts w:eastAsia="Times New Roman"/>
              </w:rPr>
              <w:t>n.b</w:t>
            </w:r>
            <w:proofErr w:type="spellEnd"/>
          </w:p>
        </w:tc>
        <w:tc>
          <w:tcPr>
            <w:tcW w:w="1088" w:type="dxa"/>
            <w:hideMark/>
          </w:tcPr>
          <w:p w14:paraId="3310CC07" w14:textId="39712B75"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24.500</w:t>
            </w:r>
          </w:p>
        </w:tc>
        <w:tc>
          <w:tcPr>
            <w:tcW w:w="1229" w:type="dxa"/>
            <w:hideMark/>
          </w:tcPr>
          <w:p w14:paraId="266FF1E6" w14:textId="32DDC266"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19.842</w:t>
            </w:r>
          </w:p>
        </w:tc>
      </w:tr>
      <w:tr w:rsidR="0045779B" w:rsidRPr="0045779B" w14:paraId="47553FC6" w14:textId="77777777" w:rsidTr="004E060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223C5E0" w14:textId="2D40A18E" w:rsidR="0069452A" w:rsidRPr="0045779B" w:rsidRDefault="00981758" w:rsidP="0045779B">
            <w:pPr>
              <w:rPr>
                <w:rFonts w:eastAsia="Times New Roman"/>
              </w:rPr>
            </w:pPr>
            <w:r w:rsidRPr="0045779B">
              <w:rPr>
                <w:rFonts w:eastAsia="Times New Roman"/>
                <w:lang w:val="en-GB"/>
              </w:rPr>
              <w:t>COUNT</w:t>
            </w:r>
          </w:p>
        </w:tc>
        <w:tc>
          <w:tcPr>
            <w:tcW w:w="0" w:type="auto"/>
            <w:hideMark/>
          </w:tcPr>
          <w:p w14:paraId="516AEAE8" w14:textId="34053BDC"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0</w:t>
            </w:r>
          </w:p>
        </w:tc>
        <w:tc>
          <w:tcPr>
            <w:tcW w:w="0" w:type="auto"/>
            <w:hideMark/>
          </w:tcPr>
          <w:p w14:paraId="0DC29988" w14:textId="00E148A2"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w:t>
            </w:r>
          </w:p>
        </w:tc>
        <w:tc>
          <w:tcPr>
            <w:tcW w:w="0" w:type="auto"/>
            <w:hideMark/>
          </w:tcPr>
          <w:p w14:paraId="7D88A250" w14:textId="2DB998B1"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w:t>
            </w:r>
          </w:p>
        </w:tc>
        <w:tc>
          <w:tcPr>
            <w:tcW w:w="0" w:type="auto"/>
            <w:hideMark/>
          </w:tcPr>
          <w:p w14:paraId="7DC7C1D5" w14:textId="77777777" w:rsidR="0069452A" w:rsidRPr="0045779B" w:rsidRDefault="0069452A" w:rsidP="0045779B">
            <w:pPr>
              <w:cnfStyle w:val="000000000000" w:firstRow="0" w:lastRow="0" w:firstColumn="0" w:lastColumn="0" w:oddVBand="0" w:evenVBand="0" w:oddHBand="0" w:evenHBand="0" w:firstRowFirstColumn="0" w:firstRowLastColumn="0" w:lastRowFirstColumn="0" w:lastRowLastColumn="0"/>
              <w:rPr>
                <w:rFonts w:eastAsia="Times New Roman"/>
              </w:rPr>
            </w:pPr>
            <w:r w:rsidRPr="0045779B">
              <w:rPr>
                <w:rFonts w:eastAsia="Times New Roman"/>
              </w:rPr>
              <w:t>0</w:t>
            </w:r>
          </w:p>
        </w:tc>
        <w:tc>
          <w:tcPr>
            <w:tcW w:w="1088" w:type="dxa"/>
            <w:hideMark/>
          </w:tcPr>
          <w:p w14:paraId="7364026F" w14:textId="2470D02D"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w:t>
            </w:r>
          </w:p>
        </w:tc>
        <w:tc>
          <w:tcPr>
            <w:tcW w:w="1229" w:type="dxa"/>
            <w:hideMark/>
          </w:tcPr>
          <w:p w14:paraId="5EBE587B" w14:textId="1B12C546" w:rsidR="0069452A" w:rsidRPr="0045779B" w:rsidRDefault="005E598E"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7</w:t>
            </w:r>
          </w:p>
        </w:tc>
      </w:tr>
      <w:tr w:rsidR="0045779B" w:rsidRPr="0045779B" w14:paraId="6E0E6EB8" w14:textId="77777777" w:rsidTr="004E060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2C7C67A5" w14:textId="77777777" w:rsidR="0069452A" w:rsidRPr="0045779B" w:rsidRDefault="0069452A" w:rsidP="0045779B">
            <w:pPr>
              <w:rPr>
                <w:rFonts w:eastAsia="Times New Roman"/>
              </w:rPr>
            </w:pPr>
            <w:r w:rsidRPr="0045779B">
              <w:rPr>
                <w:rFonts w:eastAsia="Times New Roman"/>
              </w:rPr>
              <w:t>Gemiddeld</w:t>
            </w:r>
          </w:p>
        </w:tc>
        <w:tc>
          <w:tcPr>
            <w:tcW w:w="0" w:type="auto"/>
            <w:hideMark/>
          </w:tcPr>
          <w:p w14:paraId="3BA1012E" w14:textId="6362AC59"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3.870</w:t>
            </w:r>
          </w:p>
        </w:tc>
        <w:tc>
          <w:tcPr>
            <w:tcW w:w="0" w:type="auto"/>
            <w:hideMark/>
          </w:tcPr>
          <w:p w14:paraId="2AB70C31" w14:textId="6F1A5FAC"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w:t>
            </w:r>
            <w:r w:rsidR="004E060C" w:rsidRPr="0045779B">
              <w:rPr>
                <w:rFonts w:eastAsia="Times New Roman"/>
                <w:lang w:val="en-GB"/>
              </w:rPr>
              <w:t xml:space="preserve"> </w:t>
            </w:r>
            <w:r w:rsidR="00704772" w:rsidRPr="0045779B">
              <w:rPr>
                <w:rFonts w:eastAsia="Times New Roman"/>
                <w:lang w:val="en-GB"/>
              </w:rPr>
              <w:t>4.731</w:t>
            </w:r>
          </w:p>
        </w:tc>
        <w:tc>
          <w:tcPr>
            <w:tcW w:w="0" w:type="auto"/>
            <w:hideMark/>
          </w:tcPr>
          <w:p w14:paraId="4B5B7C68" w14:textId="5317A653"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7.551</w:t>
            </w:r>
          </w:p>
        </w:tc>
        <w:tc>
          <w:tcPr>
            <w:tcW w:w="0" w:type="auto"/>
            <w:hideMark/>
          </w:tcPr>
          <w:p w14:paraId="0FC07C00" w14:textId="64FC1850"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704772" w:rsidRPr="0045779B">
              <w:rPr>
                <w:rFonts w:eastAsia="Times New Roman"/>
                <w:lang w:val="en-GB"/>
              </w:rPr>
              <w:t>12.938</w:t>
            </w:r>
          </w:p>
        </w:tc>
        <w:tc>
          <w:tcPr>
            <w:tcW w:w="1088" w:type="dxa"/>
            <w:hideMark/>
          </w:tcPr>
          <w:p w14:paraId="6661B3C9" w14:textId="5F63ED36"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4E060C" w:rsidRPr="0045779B">
              <w:rPr>
                <w:rFonts w:eastAsia="Times New Roman"/>
                <w:lang w:val="en-GB"/>
              </w:rPr>
              <w:t>9.572</w:t>
            </w:r>
          </w:p>
        </w:tc>
        <w:tc>
          <w:tcPr>
            <w:tcW w:w="1229" w:type="dxa"/>
            <w:hideMark/>
          </w:tcPr>
          <w:p w14:paraId="4D3B112B" w14:textId="42C89C48" w:rsidR="0069452A" w:rsidRPr="0045779B" w:rsidRDefault="0069452A" w:rsidP="0045779B">
            <w:pPr>
              <w:cnfStyle w:val="000000100000" w:firstRow="0" w:lastRow="0" w:firstColumn="0" w:lastColumn="0" w:oddVBand="0" w:evenVBand="0" w:oddHBand="1" w:evenHBand="0" w:firstRowFirstColumn="0" w:firstRowLastColumn="0" w:lastRowFirstColumn="0" w:lastRowLastColumn="0"/>
              <w:rPr>
                <w:rFonts w:eastAsia="Times New Roman"/>
                <w:lang w:val="en-GB"/>
              </w:rPr>
            </w:pPr>
            <w:r w:rsidRPr="0045779B">
              <w:rPr>
                <w:rFonts w:eastAsia="Times New Roman"/>
              </w:rPr>
              <w:t xml:space="preserve">€ </w:t>
            </w:r>
            <w:r w:rsidR="005E598E" w:rsidRPr="0045779B">
              <w:rPr>
                <w:rFonts w:eastAsia="Times New Roman"/>
                <w:lang w:val="en-GB"/>
              </w:rPr>
              <w:t>8.820</w:t>
            </w:r>
          </w:p>
        </w:tc>
      </w:tr>
      <w:tr w:rsidR="0045779B" w:rsidRPr="0045779B" w14:paraId="29EDB51F" w14:textId="77777777" w:rsidTr="004E060C">
        <w:trPr>
          <w:trHeight w:val="169"/>
        </w:trPr>
        <w:tc>
          <w:tcPr>
            <w:cnfStyle w:val="001000000000" w:firstRow="0" w:lastRow="0" w:firstColumn="1" w:lastColumn="0" w:oddVBand="0" w:evenVBand="0" w:oddHBand="0" w:evenHBand="0" w:firstRowFirstColumn="0" w:firstRowLastColumn="0" w:lastRowFirstColumn="0" w:lastRowLastColumn="0"/>
            <w:tcW w:w="0" w:type="auto"/>
            <w:hideMark/>
          </w:tcPr>
          <w:p w14:paraId="3ABA695A" w14:textId="23828F11" w:rsidR="0069452A" w:rsidRPr="0045779B" w:rsidRDefault="00981758" w:rsidP="0045779B">
            <w:pPr>
              <w:rPr>
                <w:rFonts w:eastAsia="Times New Roman"/>
              </w:rPr>
            </w:pPr>
            <w:r w:rsidRPr="0045779B">
              <w:rPr>
                <w:rFonts w:eastAsia="Times New Roman"/>
                <w:lang w:val="en-GB"/>
              </w:rPr>
              <w:t>COUNT</w:t>
            </w:r>
          </w:p>
        </w:tc>
        <w:tc>
          <w:tcPr>
            <w:tcW w:w="0" w:type="auto"/>
          </w:tcPr>
          <w:p w14:paraId="1C6879BD" w14:textId="4F1B41E8"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37</w:t>
            </w:r>
          </w:p>
        </w:tc>
        <w:tc>
          <w:tcPr>
            <w:tcW w:w="0" w:type="auto"/>
          </w:tcPr>
          <w:p w14:paraId="6F130B8B" w14:textId="32E66FC3" w:rsidR="0069452A" w:rsidRPr="0045779B" w:rsidRDefault="00704772"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34</w:t>
            </w:r>
          </w:p>
        </w:tc>
        <w:tc>
          <w:tcPr>
            <w:tcW w:w="0" w:type="auto"/>
          </w:tcPr>
          <w:p w14:paraId="48AEC310" w14:textId="4B429BAC"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3</w:t>
            </w:r>
            <w:r w:rsidR="00704772" w:rsidRPr="0045779B">
              <w:rPr>
                <w:rFonts w:eastAsia="Times New Roman"/>
                <w:lang w:val="en-GB"/>
              </w:rPr>
              <w:t>2</w:t>
            </w:r>
          </w:p>
        </w:tc>
        <w:tc>
          <w:tcPr>
            <w:tcW w:w="0" w:type="auto"/>
          </w:tcPr>
          <w:p w14:paraId="737E287B" w14:textId="1BFDFBF1"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w:t>
            </w:r>
            <w:r w:rsidR="00704772" w:rsidRPr="0045779B">
              <w:rPr>
                <w:rFonts w:eastAsia="Times New Roman"/>
                <w:lang w:val="en-GB"/>
              </w:rPr>
              <w:t>3</w:t>
            </w:r>
          </w:p>
        </w:tc>
        <w:tc>
          <w:tcPr>
            <w:tcW w:w="1088" w:type="dxa"/>
          </w:tcPr>
          <w:p w14:paraId="49E3F78F" w14:textId="0F3CF4B4" w:rsidR="0069452A" w:rsidRPr="0045779B" w:rsidRDefault="004E060C"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49</w:t>
            </w:r>
          </w:p>
        </w:tc>
        <w:tc>
          <w:tcPr>
            <w:tcW w:w="1229" w:type="dxa"/>
          </w:tcPr>
          <w:p w14:paraId="499D12F9" w14:textId="7CB2E9E6" w:rsidR="0069452A" w:rsidRPr="0045779B" w:rsidRDefault="00981758" w:rsidP="0045779B">
            <w:pPr>
              <w:cnfStyle w:val="000000000000" w:firstRow="0" w:lastRow="0" w:firstColumn="0" w:lastColumn="0" w:oddVBand="0" w:evenVBand="0" w:oddHBand="0" w:evenHBand="0" w:firstRowFirstColumn="0" w:firstRowLastColumn="0" w:lastRowFirstColumn="0" w:lastRowLastColumn="0"/>
              <w:rPr>
                <w:rFonts w:eastAsia="Times New Roman"/>
                <w:lang w:val="en-GB"/>
              </w:rPr>
            </w:pPr>
            <w:r w:rsidRPr="0045779B">
              <w:rPr>
                <w:rFonts w:eastAsia="Times New Roman"/>
                <w:lang w:val="en-GB"/>
              </w:rPr>
              <w:t>16</w:t>
            </w:r>
            <w:r w:rsidR="005E598E" w:rsidRPr="0045779B">
              <w:rPr>
                <w:rFonts w:eastAsia="Times New Roman"/>
                <w:lang w:val="en-GB"/>
              </w:rPr>
              <w:t>7</w:t>
            </w:r>
          </w:p>
        </w:tc>
      </w:tr>
    </w:tbl>
    <w:p w14:paraId="29583C11" w14:textId="77777777" w:rsidR="0069452A" w:rsidRPr="0045779B" w:rsidRDefault="0069452A" w:rsidP="0045779B">
      <w:pPr>
        <w:rPr>
          <w:lang w:val="nl-NL"/>
        </w:rPr>
      </w:pPr>
    </w:p>
    <w:p w14:paraId="2E861A23" w14:textId="5E4CA05B" w:rsidR="006B1087" w:rsidRPr="0045779B" w:rsidRDefault="006B1087" w:rsidP="0045779B">
      <w:pPr>
        <w:rPr>
          <w:i/>
          <w:iCs/>
          <w:lang w:val="nl-NL"/>
        </w:rPr>
      </w:pPr>
    </w:p>
    <w:p w14:paraId="3CB0B58D" w14:textId="6231AAAD" w:rsidR="006B1087" w:rsidRPr="0045779B" w:rsidRDefault="006B1087" w:rsidP="0045779B">
      <w:pPr>
        <w:rPr>
          <w:i/>
          <w:iCs/>
          <w:lang w:val="nl-NL"/>
        </w:rPr>
      </w:pPr>
    </w:p>
    <w:p w14:paraId="266DA17D" w14:textId="56D90ECD" w:rsidR="006B1087" w:rsidRPr="0045779B" w:rsidRDefault="006B1087" w:rsidP="0045779B">
      <w:pPr>
        <w:rPr>
          <w:i/>
          <w:iCs/>
          <w:lang w:val="nl-NL"/>
        </w:rPr>
      </w:pPr>
    </w:p>
    <w:p w14:paraId="6019B8DF" w14:textId="77777777" w:rsidR="006B1087" w:rsidRPr="0045779B" w:rsidRDefault="006B1087" w:rsidP="0045779B">
      <w:pPr>
        <w:rPr>
          <w:i/>
          <w:iCs/>
          <w:lang w:val="nl-NL"/>
        </w:rPr>
      </w:pPr>
    </w:p>
    <w:p w14:paraId="0F623405" w14:textId="77777777" w:rsidR="006B1087" w:rsidRPr="0045779B" w:rsidRDefault="006B1087" w:rsidP="0045779B">
      <w:pPr>
        <w:rPr>
          <w:i/>
          <w:iCs/>
          <w:lang w:val="nl-NL"/>
        </w:rPr>
      </w:pPr>
    </w:p>
    <w:p w14:paraId="01F8B93D" w14:textId="5DDB8F66" w:rsidR="000A741E" w:rsidRPr="0045779B" w:rsidRDefault="000A741E" w:rsidP="0045779B">
      <w:pPr>
        <w:rPr>
          <w:i/>
          <w:iCs/>
          <w:lang w:val="nl-NL"/>
        </w:rPr>
      </w:pPr>
      <w:r w:rsidRPr="0045779B">
        <w:rPr>
          <w:i/>
          <w:iCs/>
          <w:lang w:val="nl-NL"/>
        </w:rPr>
        <w:t xml:space="preserve">Vraag </w:t>
      </w:r>
      <w:r w:rsidR="0071195B">
        <w:rPr>
          <w:i/>
          <w:iCs/>
          <w:lang w:val="nl-NL"/>
        </w:rPr>
        <w:t>8</w:t>
      </w:r>
      <w:r w:rsidRPr="0045779B">
        <w:rPr>
          <w:i/>
          <w:iCs/>
          <w:lang w:val="nl-NL"/>
        </w:rPr>
        <w:t>: Wat voor mobiliteitsbudget krijgt u?</w:t>
      </w:r>
    </w:p>
    <w:p w14:paraId="5D5F82D2" w14:textId="79A931B9" w:rsidR="000A741E" w:rsidRPr="0045779B" w:rsidRDefault="000A741E" w:rsidP="0045779B">
      <w:pPr>
        <w:rPr>
          <w:lang w:val="nl-NL"/>
        </w:rPr>
      </w:pPr>
      <w:r w:rsidRPr="0045779B">
        <w:rPr>
          <w:lang w:val="nl-NL"/>
        </w:rPr>
        <w:t xml:space="preserve">Het grootste deel van de </w:t>
      </w:r>
      <w:r w:rsidR="008C156A" w:rsidRPr="0045779B">
        <w:rPr>
          <w:lang w:val="nl-NL"/>
        </w:rPr>
        <w:t>werknemers (54%)</w:t>
      </w:r>
      <w:r w:rsidRPr="0045779B">
        <w:rPr>
          <w:lang w:val="nl-NL"/>
        </w:rPr>
        <w:t xml:space="preserve"> krijgt een auto van de zaak waar men ook </w:t>
      </w:r>
      <w:r w:rsidR="00835903" w:rsidRPr="0045779B">
        <w:rPr>
          <w:lang w:val="nl-NL"/>
        </w:rPr>
        <w:t>privé</w:t>
      </w:r>
      <w:r w:rsidRPr="0045779B">
        <w:rPr>
          <w:lang w:val="nl-NL"/>
        </w:rPr>
        <w:t xml:space="preserve"> in kan rijden </w:t>
      </w:r>
    </w:p>
    <w:p w14:paraId="518F4C8E" w14:textId="2C0ED15F" w:rsidR="000A741E" w:rsidRPr="0045779B" w:rsidRDefault="000A741E" w:rsidP="0045779B">
      <w:pPr>
        <w:rPr>
          <w:lang w:val="nl-NL"/>
        </w:rPr>
      </w:pPr>
    </w:p>
    <w:p w14:paraId="5793DBBC" w14:textId="5E61AE9C" w:rsidR="00FA4040" w:rsidRPr="0045779B" w:rsidRDefault="00FA4040" w:rsidP="0045779B">
      <w:pPr>
        <w:rPr>
          <w:lang w:val="nl-NL"/>
        </w:rPr>
      </w:pPr>
    </w:p>
    <w:p w14:paraId="2EAFC964" w14:textId="601D6FFD" w:rsidR="00562DCB" w:rsidRPr="0045779B" w:rsidRDefault="00FA4040" w:rsidP="0045779B">
      <w:pPr>
        <w:rPr>
          <w:lang w:val="nl-NL"/>
        </w:rPr>
      </w:pPr>
      <w:r w:rsidRPr="0045779B">
        <w:rPr>
          <w:noProof/>
          <w:lang w:val="en-GB"/>
        </w:rPr>
        <w:drawing>
          <wp:inline distT="0" distB="0" distL="0" distR="0" wp14:anchorId="5BCC0239" wp14:editId="70754774">
            <wp:extent cx="5731510" cy="3052445"/>
            <wp:effectExtent l="0" t="0" r="25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25AD8C" w14:textId="77777777" w:rsidR="0071195B" w:rsidRDefault="0071195B" w:rsidP="0045779B">
      <w:pPr>
        <w:rPr>
          <w:lang w:val="nl-NL"/>
        </w:rPr>
      </w:pPr>
    </w:p>
    <w:p w14:paraId="4B5C2DFA" w14:textId="77777777" w:rsidR="0071195B" w:rsidRDefault="0071195B" w:rsidP="0045779B">
      <w:pPr>
        <w:rPr>
          <w:lang w:val="nl-NL"/>
        </w:rPr>
      </w:pPr>
    </w:p>
    <w:p w14:paraId="41E812EB" w14:textId="77777777" w:rsidR="0071195B" w:rsidRDefault="0071195B" w:rsidP="0045779B">
      <w:pPr>
        <w:rPr>
          <w:lang w:val="nl-NL"/>
        </w:rPr>
      </w:pPr>
    </w:p>
    <w:p w14:paraId="1F2FA833" w14:textId="77777777" w:rsidR="0071195B" w:rsidRDefault="0071195B" w:rsidP="0045779B">
      <w:pPr>
        <w:rPr>
          <w:lang w:val="nl-NL"/>
        </w:rPr>
      </w:pPr>
    </w:p>
    <w:p w14:paraId="7B1ECA95" w14:textId="77777777" w:rsidR="0071195B" w:rsidRDefault="0071195B" w:rsidP="0045779B">
      <w:pPr>
        <w:rPr>
          <w:lang w:val="nl-NL"/>
        </w:rPr>
      </w:pPr>
    </w:p>
    <w:p w14:paraId="50A78FB6" w14:textId="77777777" w:rsidR="0071195B" w:rsidRDefault="0071195B" w:rsidP="0045779B">
      <w:pPr>
        <w:rPr>
          <w:lang w:val="nl-NL"/>
        </w:rPr>
      </w:pPr>
    </w:p>
    <w:p w14:paraId="25A3BCA3" w14:textId="77777777" w:rsidR="0071195B" w:rsidRDefault="0071195B" w:rsidP="0045779B">
      <w:pPr>
        <w:rPr>
          <w:lang w:val="nl-NL"/>
        </w:rPr>
      </w:pPr>
    </w:p>
    <w:p w14:paraId="2F3CE2C6" w14:textId="77777777" w:rsidR="0071195B" w:rsidRDefault="0071195B" w:rsidP="0045779B">
      <w:pPr>
        <w:rPr>
          <w:lang w:val="nl-NL"/>
        </w:rPr>
      </w:pPr>
    </w:p>
    <w:p w14:paraId="6F4A4E06" w14:textId="77777777" w:rsidR="0071195B" w:rsidRDefault="0071195B" w:rsidP="0045779B">
      <w:pPr>
        <w:rPr>
          <w:lang w:val="nl-NL"/>
        </w:rPr>
      </w:pPr>
    </w:p>
    <w:p w14:paraId="6AE9536C" w14:textId="77777777" w:rsidR="0071195B" w:rsidRDefault="0071195B" w:rsidP="0045779B">
      <w:pPr>
        <w:rPr>
          <w:lang w:val="nl-NL"/>
        </w:rPr>
      </w:pPr>
    </w:p>
    <w:p w14:paraId="68508DD9" w14:textId="77777777" w:rsidR="0071195B" w:rsidRDefault="0071195B" w:rsidP="0045779B">
      <w:pPr>
        <w:rPr>
          <w:lang w:val="nl-NL"/>
        </w:rPr>
      </w:pPr>
    </w:p>
    <w:p w14:paraId="0CBD65D5" w14:textId="14324A14" w:rsidR="0075528A" w:rsidRPr="0045779B" w:rsidRDefault="003A074F" w:rsidP="0045779B">
      <w:pPr>
        <w:rPr>
          <w:lang w:val="nl-NL"/>
        </w:rPr>
      </w:pPr>
      <w:r w:rsidRPr="0045779B">
        <w:rPr>
          <w:lang w:val="nl-NL"/>
        </w:rPr>
        <w:lastRenderedPageBreak/>
        <w:t>Als we kijken naar de mobiliteitsbudgetten per functie, komt d</w:t>
      </w:r>
      <w:r w:rsidR="0075528A" w:rsidRPr="0045779B">
        <w:rPr>
          <w:lang w:val="nl-NL"/>
        </w:rPr>
        <w:t xml:space="preserve">uidelijk </w:t>
      </w:r>
      <w:r w:rsidRPr="0045779B">
        <w:rPr>
          <w:lang w:val="nl-NL"/>
        </w:rPr>
        <w:t>naar voren</w:t>
      </w:r>
      <w:r w:rsidR="0075528A" w:rsidRPr="0045779B">
        <w:rPr>
          <w:lang w:val="nl-NL"/>
        </w:rPr>
        <w:t xml:space="preserve"> dat RM/RT en BOG makelaars in </w:t>
      </w:r>
      <w:r w:rsidR="00FA31CB" w:rsidRPr="0045779B">
        <w:rPr>
          <w:lang w:val="nl-NL"/>
        </w:rPr>
        <w:t>vaak</w:t>
      </w:r>
      <w:r w:rsidR="0075528A" w:rsidRPr="0045779B">
        <w:rPr>
          <w:lang w:val="nl-NL"/>
        </w:rPr>
        <w:t xml:space="preserve"> een auto van de zaak met </w:t>
      </w:r>
      <w:r w:rsidR="00835903" w:rsidRPr="0045779B">
        <w:rPr>
          <w:lang w:val="nl-NL"/>
        </w:rPr>
        <w:t>privé</w:t>
      </w:r>
      <w:r w:rsidR="0075528A" w:rsidRPr="0045779B">
        <w:rPr>
          <w:lang w:val="nl-NL"/>
        </w:rPr>
        <w:t xml:space="preserve"> kilometers </w:t>
      </w:r>
      <w:r w:rsidRPr="0045779B">
        <w:rPr>
          <w:lang w:val="nl-NL"/>
        </w:rPr>
        <w:t>krijgen,</w:t>
      </w:r>
      <w:r w:rsidR="0075528A" w:rsidRPr="0045779B">
        <w:rPr>
          <w:lang w:val="nl-NL"/>
        </w:rPr>
        <w:t xml:space="preserve"> terwijl dit voor ARMT, KRMT, en ve</w:t>
      </w:r>
      <w:r w:rsidR="00FA31CB" w:rsidRPr="0045779B">
        <w:rPr>
          <w:lang w:val="nl-NL"/>
        </w:rPr>
        <w:t>r</w:t>
      </w:r>
      <w:r w:rsidR="0075528A" w:rsidRPr="0045779B">
        <w:rPr>
          <w:lang w:val="nl-NL"/>
        </w:rPr>
        <w:t xml:space="preserve">huurmakelaars minder </w:t>
      </w:r>
      <w:r w:rsidR="00FA31CB" w:rsidRPr="0045779B">
        <w:rPr>
          <w:lang w:val="nl-NL"/>
        </w:rPr>
        <w:t>vaak voorkomt</w:t>
      </w:r>
      <w:r w:rsidR="0075528A" w:rsidRPr="0045779B">
        <w:rPr>
          <w:lang w:val="nl-NL"/>
        </w:rPr>
        <w:t xml:space="preserve">. De binnendienst krijgt </w:t>
      </w:r>
      <w:r w:rsidR="00FA31CB" w:rsidRPr="0045779B">
        <w:rPr>
          <w:lang w:val="nl-NL"/>
        </w:rPr>
        <w:t xml:space="preserve">überhaupt bijna nooit </w:t>
      </w:r>
      <w:r w:rsidR="0075528A" w:rsidRPr="0045779B">
        <w:rPr>
          <w:lang w:val="nl-NL"/>
        </w:rPr>
        <w:t xml:space="preserve">een auto ter beschikking. </w:t>
      </w:r>
    </w:p>
    <w:p w14:paraId="58F86163" w14:textId="77777777" w:rsidR="0075528A" w:rsidRPr="0045779B" w:rsidRDefault="0075528A" w:rsidP="0045779B">
      <w:pPr>
        <w:rPr>
          <w:i/>
          <w:iCs/>
          <w:lang w:val="nl-NL"/>
        </w:rPr>
      </w:pPr>
      <w:r w:rsidRPr="0045779B">
        <w:rPr>
          <w:i/>
          <w:iCs/>
          <w:noProof/>
          <w:lang w:val="nl-NL"/>
        </w:rPr>
        <w:drawing>
          <wp:inline distT="0" distB="0" distL="0" distR="0" wp14:anchorId="4BBCF7F8" wp14:editId="49AC245C">
            <wp:extent cx="6105525" cy="32004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5E3252" w14:textId="77777777" w:rsidR="0075528A" w:rsidRPr="0045779B" w:rsidRDefault="0075528A" w:rsidP="0045779B">
      <w:pPr>
        <w:rPr>
          <w:lang w:val="nl-NL"/>
        </w:rPr>
      </w:pPr>
    </w:p>
    <w:p w14:paraId="71682A29" w14:textId="2071B570" w:rsidR="00562DCB" w:rsidRPr="0045779B" w:rsidRDefault="00562DCB" w:rsidP="0045779B">
      <w:pPr>
        <w:rPr>
          <w:i/>
          <w:iCs/>
          <w:lang w:val="nl-NL"/>
        </w:rPr>
      </w:pPr>
      <w:r w:rsidRPr="0045779B">
        <w:rPr>
          <w:i/>
          <w:iCs/>
          <w:lang w:val="nl-NL"/>
        </w:rPr>
        <w:t xml:space="preserve">Vraag </w:t>
      </w:r>
      <w:r w:rsidR="0071195B">
        <w:rPr>
          <w:i/>
          <w:iCs/>
          <w:lang w:val="nl-NL"/>
        </w:rPr>
        <w:t>9</w:t>
      </w:r>
      <w:r w:rsidRPr="0045779B">
        <w:rPr>
          <w:i/>
          <w:iCs/>
          <w:lang w:val="nl-NL"/>
        </w:rPr>
        <w:t xml:space="preserve">: Denkt u dat u salaris marktconform is? </w:t>
      </w:r>
    </w:p>
    <w:p w14:paraId="5E289EC7" w14:textId="158234DD" w:rsidR="00EC606F" w:rsidRPr="0045779B" w:rsidRDefault="00562DCB" w:rsidP="0045779B">
      <w:pPr>
        <w:rPr>
          <w:lang w:val="nl-NL"/>
        </w:rPr>
      </w:pPr>
      <w:r w:rsidRPr="0045779B">
        <w:rPr>
          <w:lang w:val="nl-NL"/>
        </w:rPr>
        <w:t xml:space="preserve">Het </w:t>
      </w:r>
      <w:r w:rsidR="00097B44" w:rsidRPr="0045779B">
        <w:rPr>
          <w:lang w:val="nl-NL"/>
        </w:rPr>
        <w:t>35</w:t>
      </w:r>
      <w:r w:rsidRPr="0045779B">
        <w:rPr>
          <w:lang w:val="nl-NL"/>
        </w:rPr>
        <w:t xml:space="preserve">% van de </w:t>
      </w:r>
      <w:r w:rsidR="0071195B">
        <w:rPr>
          <w:lang w:val="nl-NL"/>
        </w:rPr>
        <w:t>makelaar professionals</w:t>
      </w:r>
      <w:r w:rsidRPr="0045779B">
        <w:rPr>
          <w:lang w:val="nl-NL"/>
        </w:rPr>
        <w:t xml:space="preserve"> vind hun salaris ond</w:t>
      </w:r>
      <w:r w:rsidR="003A074F" w:rsidRPr="0045779B">
        <w:rPr>
          <w:lang w:val="nl-NL"/>
        </w:rPr>
        <w:t>er</w:t>
      </w:r>
      <w:r w:rsidRPr="0045779B">
        <w:rPr>
          <w:lang w:val="nl-NL"/>
        </w:rPr>
        <w:t xml:space="preserve"> de </w:t>
      </w:r>
      <w:r w:rsidR="003A074F" w:rsidRPr="0045779B">
        <w:rPr>
          <w:lang w:val="nl-NL"/>
        </w:rPr>
        <w:t xml:space="preserve">normale </w:t>
      </w:r>
      <w:r w:rsidRPr="0045779B">
        <w:rPr>
          <w:lang w:val="nl-NL"/>
        </w:rPr>
        <w:t xml:space="preserve">marktwaarde </w:t>
      </w:r>
      <w:r w:rsidR="003A074F" w:rsidRPr="0045779B">
        <w:rPr>
          <w:lang w:val="nl-NL"/>
        </w:rPr>
        <w:t>ligt</w:t>
      </w:r>
      <w:r w:rsidRPr="0045779B">
        <w:rPr>
          <w:lang w:val="nl-NL"/>
        </w:rPr>
        <w:t xml:space="preserve">. </w:t>
      </w:r>
    </w:p>
    <w:p w14:paraId="42E4DDC4" w14:textId="50DF4FD9" w:rsidR="00BE0A88" w:rsidRPr="0045779B" w:rsidRDefault="00BE0A88" w:rsidP="0045779B">
      <w:pPr>
        <w:rPr>
          <w:lang w:val="nl-NL"/>
        </w:rPr>
      </w:pPr>
      <w:r w:rsidRPr="0045779B">
        <w:rPr>
          <w:noProof/>
          <w:lang w:val="en-GB"/>
        </w:rPr>
        <w:drawing>
          <wp:inline distT="0" distB="0" distL="0" distR="0" wp14:anchorId="22072514" wp14:editId="2A9BB5DC">
            <wp:extent cx="5731510" cy="3052445"/>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570173" w14:textId="77777777" w:rsidR="00BE0A88" w:rsidRPr="0045779B" w:rsidRDefault="00BE0A88" w:rsidP="0045779B">
      <w:pPr>
        <w:rPr>
          <w:lang w:val="nl-NL"/>
        </w:rPr>
      </w:pPr>
    </w:p>
    <w:p w14:paraId="2064F854" w14:textId="77777777" w:rsidR="0071195B" w:rsidRDefault="0071195B" w:rsidP="0045779B">
      <w:pPr>
        <w:rPr>
          <w:i/>
          <w:iCs/>
          <w:lang w:val="nl-NL"/>
        </w:rPr>
      </w:pPr>
    </w:p>
    <w:p w14:paraId="36B0FDC8" w14:textId="77777777" w:rsidR="0071195B" w:rsidRDefault="0071195B" w:rsidP="0045779B">
      <w:pPr>
        <w:rPr>
          <w:i/>
          <w:iCs/>
          <w:lang w:val="nl-NL"/>
        </w:rPr>
      </w:pPr>
    </w:p>
    <w:p w14:paraId="33B96763" w14:textId="77777777" w:rsidR="0071195B" w:rsidRDefault="0071195B" w:rsidP="0045779B">
      <w:pPr>
        <w:rPr>
          <w:i/>
          <w:iCs/>
          <w:lang w:val="nl-NL"/>
        </w:rPr>
      </w:pPr>
    </w:p>
    <w:p w14:paraId="65B48F4F" w14:textId="77777777" w:rsidR="0071195B" w:rsidRDefault="0071195B" w:rsidP="0045779B">
      <w:pPr>
        <w:rPr>
          <w:i/>
          <w:iCs/>
          <w:lang w:val="nl-NL"/>
        </w:rPr>
      </w:pPr>
    </w:p>
    <w:p w14:paraId="0D7879EC" w14:textId="7A4C571F" w:rsidR="008C156A" w:rsidRPr="0045779B" w:rsidRDefault="008C156A" w:rsidP="0045779B">
      <w:pPr>
        <w:rPr>
          <w:i/>
          <w:iCs/>
          <w:lang w:val="nl-NL"/>
        </w:rPr>
      </w:pPr>
      <w:r w:rsidRPr="0045779B">
        <w:rPr>
          <w:i/>
          <w:iCs/>
          <w:lang w:val="nl-NL"/>
        </w:rPr>
        <w:t xml:space="preserve">Vraag </w:t>
      </w:r>
      <w:r w:rsidR="0071195B">
        <w:rPr>
          <w:i/>
          <w:iCs/>
          <w:lang w:val="nl-NL"/>
        </w:rPr>
        <w:t>10</w:t>
      </w:r>
      <w:r w:rsidRPr="0045779B">
        <w:rPr>
          <w:i/>
          <w:iCs/>
          <w:lang w:val="nl-NL"/>
        </w:rPr>
        <w:t>: Voor welke reden zou u eventueel willen overstappen van werk</w:t>
      </w:r>
      <w:r w:rsidR="003C3B0E" w:rsidRPr="0045779B">
        <w:rPr>
          <w:i/>
          <w:iCs/>
          <w:lang w:val="nl-NL"/>
        </w:rPr>
        <w:t>gev</w:t>
      </w:r>
      <w:r w:rsidRPr="0045779B">
        <w:rPr>
          <w:i/>
          <w:iCs/>
          <w:lang w:val="nl-NL"/>
        </w:rPr>
        <w:t>er?</w:t>
      </w:r>
    </w:p>
    <w:p w14:paraId="27FACE87" w14:textId="4FC56D19" w:rsidR="00FA4040" w:rsidRPr="0045779B" w:rsidRDefault="0071195B" w:rsidP="0045779B">
      <w:pPr>
        <w:rPr>
          <w:i/>
          <w:iCs/>
          <w:lang w:val="nl-NL"/>
        </w:rPr>
      </w:pPr>
      <w:r>
        <w:rPr>
          <w:lang w:val="nl-NL"/>
        </w:rPr>
        <w:t xml:space="preserve">Het </w:t>
      </w:r>
      <w:r w:rsidRPr="0045779B">
        <w:rPr>
          <w:lang w:val="nl-NL"/>
        </w:rPr>
        <w:t xml:space="preserve">grootste deel </w:t>
      </w:r>
      <w:r>
        <w:rPr>
          <w:lang w:val="nl-NL"/>
        </w:rPr>
        <w:t xml:space="preserve">van de makelaar professionals </w:t>
      </w:r>
      <w:r w:rsidR="003A074F" w:rsidRPr="0045779B">
        <w:rPr>
          <w:lang w:val="nl-NL"/>
        </w:rPr>
        <w:t xml:space="preserve">zou </w:t>
      </w:r>
      <w:r>
        <w:rPr>
          <w:lang w:val="nl-NL"/>
        </w:rPr>
        <w:t xml:space="preserve">een </w:t>
      </w:r>
      <w:r w:rsidR="003A074F" w:rsidRPr="0045779B">
        <w:rPr>
          <w:lang w:val="nl-NL"/>
        </w:rPr>
        <w:t xml:space="preserve">overstap naar een andere werkgever </w:t>
      </w:r>
      <w:r>
        <w:rPr>
          <w:lang w:val="nl-NL"/>
        </w:rPr>
        <w:t xml:space="preserve">overwegen </w:t>
      </w:r>
      <w:r w:rsidR="008C156A" w:rsidRPr="0045779B">
        <w:rPr>
          <w:lang w:val="nl-NL"/>
        </w:rPr>
        <w:t>(5</w:t>
      </w:r>
      <w:r w:rsidR="002A21E5" w:rsidRPr="0045779B">
        <w:rPr>
          <w:lang w:val="nl-NL"/>
        </w:rPr>
        <w:t>1</w:t>
      </w:r>
      <w:r w:rsidR="008C156A" w:rsidRPr="0045779B">
        <w:rPr>
          <w:lang w:val="nl-NL"/>
        </w:rPr>
        <w:t xml:space="preserve">%) </w:t>
      </w:r>
      <w:r>
        <w:rPr>
          <w:lang w:val="nl-NL"/>
        </w:rPr>
        <w:t>voor</w:t>
      </w:r>
      <w:r w:rsidR="008C156A" w:rsidRPr="0045779B">
        <w:rPr>
          <w:lang w:val="nl-NL"/>
        </w:rPr>
        <w:t xml:space="preserve"> betere </w:t>
      </w:r>
      <w:r w:rsidRPr="0045779B">
        <w:rPr>
          <w:lang w:val="nl-NL"/>
        </w:rPr>
        <w:t>arbeidsvoorwaarde</w:t>
      </w:r>
      <w:r>
        <w:rPr>
          <w:lang w:val="nl-NL"/>
        </w:rPr>
        <w:t>n</w:t>
      </w:r>
      <w:r w:rsidR="008C156A" w:rsidRPr="0045779B">
        <w:rPr>
          <w:lang w:val="nl-NL"/>
        </w:rPr>
        <w:t>.</w:t>
      </w:r>
    </w:p>
    <w:p w14:paraId="09B4644C" w14:textId="5922B322" w:rsidR="008C156A" w:rsidRPr="0045779B" w:rsidRDefault="00FA4040" w:rsidP="0045779B">
      <w:pPr>
        <w:rPr>
          <w:i/>
          <w:iCs/>
          <w:lang w:val="nl-NL"/>
        </w:rPr>
      </w:pPr>
      <w:r w:rsidRPr="0045779B">
        <w:rPr>
          <w:noProof/>
          <w:lang w:val="en-GB"/>
        </w:rPr>
        <w:drawing>
          <wp:inline distT="0" distB="0" distL="0" distR="0" wp14:anchorId="4688397F" wp14:editId="442CB364">
            <wp:extent cx="5731510" cy="3052445"/>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C156A" w:rsidRPr="0045779B">
        <w:rPr>
          <w:i/>
          <w:iCs/>
          <w:lang w:val="nl-NL"/>
        </w:rPr>
        <w:t>Vraag 1</w:t>
      </w:r>
      <w:r w:rsidR="0071195B">
        <w:rPr>
          <w:i/>
          <w:iCs/>
          <w:lang w:val="nl-NL"/>
        </w:rPr>
        <w:t>1</w:t>
      </w:r>
      <w:r w:rsidR="008C156A" w:rsidRPr="0045779B">
        <w:rPr>
          <w:i/>
          <w:iCs/>
          <w:lang w:val="nl-NL"/>
        </w:rPr>
        <w:t xml:space="preserve">: Voor hoeveel meer salaris zou u overwegen over te stappen? </w:t>
      </w:r>
    </w:p>
    <w:p w14:paraId="17FAE91C" w14:textId="6C11CCDA" w:rsidR="00F802FB" w:rsidRPr="0045779B" w:rsidRDefault="002A21E5" w:rsidP="0045779B">
      <w:pPr>
        <w:rPr>
          <w:lang w:val="nl-NL"/>
        </w:rPr>
      </w:pPr>
      <w:r w:rsidRPr="0045779B">
        <w:rPr>
          <w:lang w:val="nl-NL"/>
        </w:rPr>
        <w:t>219</w:t>
      </w:r>
      <w:r w:rsidR="00F20967" w:rsidRPr="0045779B">
        <w:rPr>
          <w:lang w:val="nl-NL"/>
        </w:rPr>
        <w:t xml:space="preserve"> </w:t>
      </w:r>
      <w:r w:rsidR="0071195B">
        <w:rPr>
          <w:lang w:val="nl-NL"/>
        </w:rPr>
        <w:t>makelaar professionals</w:t>
      </w:r>
      <w:r w:rsidR="00F20967" w:rsidRPr="0045779B">
        <w:rPr>
          <w:lang w:val="nl-NL"/>
        </w:rPr>
        <w:t xml:space="preserve"> gaven tevens aan bij welk nu salaris ze een overstap zouden overwegen. </w:t>
      </w:r>
      <w:r w:rsidR="008C156A" w:rsidRPr="0045779B">
        <w:rPr>
          <w:lang w:val="nl-NL"/>
        </w:rPr>
        <w:t xml:space="preserve">Gemiddeld zouden degenen die voor een hoger salaris zouden willen overstappen dit doen bij </w:t>
      </w:r>
      <w:r w:rsidRPr="0045779B">
        <w:rPr>
          <w:lang w:val="nl-NL"/>
        </w:rPr>
        <w:t>20.42</w:t>
      </w:r>
      <w:r w:rsidR="008C156A" w:rsidRPr="0045779B">
        <w:rPr>
          <w:lang w:val="nl-NL"/>
        </w:rPr>
        <w:t>% meer salaris</w:t>
      </w:r>
      <w:r w:rsidR="0071195B">
        <w:rPr>
          <w:lang w:val="nl-NL"/>
        </w:rPr>
        <w:t>.</w:t>
      </w:r>
      <w:r w:rsidR="008C156A" w:rsidRPr="0045779B">
        <w:rPr>
          <w:lang w:val="nl-NL"/>
        </w:rPr>
        <w:t xml:space="preserve"> </w:t>
      </w:r>
    </w:p>
    <w:p w14:paraId="6DFC0DA4" w14:textId="2F928170" w:rsidR="00F802FB" w:rsidRPr="0045779B" w:rsidRDefault="00F802FB" w:rsidP="0045779B">
      <w:pPr>
        <w:rPr>
          <w:lang w:val="nl-NL"/>
        </w:rPr>
      </w:pPr>
      <w:r w:rsidRPr="0045779B">
        <w:rPr>
          <w:noProof/>
          <w:lang w:val="nl-NL"/>
        </w:rPr>
        <w:drawing>
          <wp:inline distT="0" distB="0" distL="0" distR="0" wp14:anchorId="227C5F76" wp14:editId="169D3DB9">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51F194" w14:textId="2AB466C4" w:rsidR="00061B5E" w:rsidRPr="0045779B" w:rsidRDefault="0071195B" w:rsidP="0045779B">
      <w:pPr>
        <w:rPr>
          <w:lang w:val="nl-NL"/>
        </w:rPr>
      </w:pPr>
      <w:r>
        <w:rPr>
          <w:lang w:val="nl-NL"/>
        </w:rPr>
        <w:lastRenderedPageBreak/>
        <w:t>We zien dat 6% van de makelaar professionals al voor een salarisverhoging van 0 tot 200</w:t>
      </w:r>
      <w:r w:rsidRPr="0071195B">
        <w:rPr>
          <w:lang w:val="nl-NL"/>
        </w:rPr>
        <w:t xml:space="preserve"> </w:t>
      </w:r>
      <w:r>
        <w:rPr>
          <w:lang w:val="nl-NL"/>
        </w:rPr>
        <w:t>euro bruto extra per maand</w:t>
      </w:r>
      <w:r>
        <w:rPr>
          <w:lang w:val="nl-NL"/>
        </w:rPr>
        <w:t xml:space="preserve"> zou overwegen over te stappen. 39% zou pas bij meer dan 600 euro bruto extra salaris per maand de overstap overwegen. </w:t>
      </w:r>
    </w:p>
    <w:p w14:paraId="686B1231" w14:textId="4B34244D" w:rsidR="00061B5E" w:rsidRPr="0045779B" w:rsidRDefault="00061B5E" w:rsidP="0045779B">
      <w:pPr>
        <w:rPr>
          <w:lang w:val="nl-NL"/>
        </w:rPr>
      </w:pPr>
      <w:r w:rsidRPr="0045779B">
        <w:rPr>
          <w:noProof/>
          <w:lang w:val="nl-NL"/>
        </w:rPr>
        <w:drawing>
          <wp:anchor distT="0" distB="0" distL="114300" distR="114300" simplePos="0" relativeHeight="251660288" behindDoc="0" locked="0" layoutInCell="1" allowOverlap="1" wp14:anchorId="2A617B2F" wp14:editId="17F5B7E8">
            <wp:simplePos x="0" y="0"/>
            <wp:positionH relativeFrom="column">
              <wp:posOffset>-564515</wp:posOffset>
            </wp:positionH>
            <wp:positionV relativeFrom="paragraph">
              <wp:posOffset>9525</wp:posOffset>
            </wp:positionV>
            <wp:extent cx="6648450" cy="3838575"/>
            <wp:effectExtent l="0" t="0" r="0"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66704601" w14:textId="1CCA9B43" w:rsidR="00840D07" w:rsidRPr="0045779B" w:rsidRDefault="00840D07" w:rsidP="0045779B">
      <w:pPr>
        <w:rPr>
          <w:i/>
          <w:iCs/>
          <w:lang w:val="nl-NL"/>
        </w:rPr>
      </w:pPr>
      <w:r w:rsidRPr="0045779B">
        <w:rPr>
          <w:i/>
          <w:iCs/>
          <w:lang w:val="nl-NL"/>
        </w:rPr>
        <w:t>Vraag 1</w:t>
      </w:r>
      <w:r w:rsidR="0071195B">
        <w:rPr>
          <w:i/>
          <w:iCs/>
          <w:lang w:val="nl-NL"/>
        </w:rPr>
        <w:t>2</w:t>
      </w:r>
      <w:r w:rsidRPr="0045779B">
        <w:rPr>
          <w:i/>
          <w:iCs/>
          <w:lang w:val="nl-NL"/>
        </w:rPr>
        <w:t>: Ondernemer worden?</w:t>
      </w:r>
    </w:p>
    <w:p w14:paraId="56A8CCC7" w14:textId="5CD80618" w:rsidR="00840D07" w:rsidRPr="0045779B" w:rsidRDefault="00840D07" w:rsidP="0045779B">
      <w:pPr>
        <w:rPr>
          <w:lang w:val="nl-NL"/>
        </w:rPr>
      </w:pPr>
      <w:r w:rsidRPr="0045779B">
        <w:rPr>
          <w:lang w:val="nl-NL"/>
        </w:rPr>
        <w:t xml:space="preserve">Van de </w:t>
      </w:r>
      <w:r w:rsidR="0071195B">
        <w:rPr>
          <w:lang w:val="nl-NL"/>
        </w:rPr>
        <w:t xml:space="preserve">deelnemende makelaar professionals was </w:t>
      </w:r>
      <w:r w:rsidR="002A21E5" w:rsidRPr="0045779B">
        <w:rPr>
          <w:lang w:val="nl-NL"/>
        </w:rPr>
        <w:t>40</w:t>
      </w:r>
      <w:r w:rsidRPr="0045779B">
        <w:rPr>
          <w:lang w:val="nl-NL"/>
        </w:rPr>
        <w:t>%</w:t>
      </w:r>
      <w:r w:rsidR="0071195B">
        <w:rPr>
          <w:lang w:val="nl-NL"/>
        </w:rPr>
        <w:t xml:space="preserve"> </w:t>
      </w:r>
      <w:r w:rsidRPr="0045779B">
        <w:rPr>
          <w:lang w:val="nl-NL"/>
        </w:rPr>
        <w:t>zich aan het voorbereiden om ondernemer/</w:t>
      </w:r>
      <w:r w:rsidR="0071195B" w:rsidRPr="0045779B">
        <w:rPr>
          <w:lang w:val="nl-NL"/>
        </w:rPr>
        <w:t>zzp’er</w:t>
      </w:r>
      <w:r w:rsidRPr="0045779B">
        <w:rPr>
          <w:lang w:val="nl-NL"/>
        </w:rPr>
        <w:t xml:space="preserve"> te worden. </w:t>
      </w:r>
    </w:p>
    <w:p w14:paraId="4382A6AE" w14:textId="6C7D5DDC" w:rsidR="00366481" w:rsidRPr="0045779B" w:rsidRDefault="00F20967" w:rsidP="0045779B">
      <w:pPr>
        <w:rPr>
          <w:lang w:val="nl-NL"/>
        </w:rPr>
      </w:pPr>
      <w:r w:rsidRPr="0045779B">
        <w:rPr>
          <w:i/>
          <w:iCs/>
          <w:noProof/>
          <w:lang w:val="nl-NL"/>
        </w:rPr>
        <w:drawing>
          <wp:inline distT="0" distB="0" distL="0" distR="0" wp14:anchorId="113DDF7B" wp14:editId="5991759A">
            <wp:extent cx="5629275" cy="200977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86B4D7" w14:textId="77777777" w:rsidR="00366481" w:rsidRPr="0045779B" w:rsidRDefault="00366481" w:rsidP="0045779B">
      <w:pPr>
        <w:rPr>
          <w:lang w:val="nl-NL"/>
        </w:rPr>
      </w:pPr>
      <w:r w:rsidRPr="0045779B">
        <w:rPr>
          <w:lang w:val="nl-NL"/>
        </w:rPr>
        <w:br w:type="page"/>
      </w:r>
    </w:p>
    <w:p w14:paraId="7FEAC465" w14:textId="77777777" w:rsidR="00F20967" w:rsidRPr="0045779B" w:rsidRDefault="00F20967" w:rsidP="0045779B">
      <w:pPr>
        <w:rPr>
          <w:lang w:val="nl-NL"/>
        </w:rPr>
      </w:pPr>
    </w:p>
    <w:p w14:paraId="3C629501" w14:textId="2977E326" w:rsidR="008E50F0" w:rsidRPr="0045779B" w:rsidRDefault="008E50F0" w:rsidP="0045779B">
      <w:pPr>
        <w:rPr>
          <w:i/>
          <w:iCs/>
          <w:lang w:val="nl-NL"/>
        </w:rPr>
      </w:pPr>
      <w:r w:rsidRPr="0045779B">
        <w:rPr>
          <w:i/>
          <w:iCs/>
          <w:lang w:val="nl-NL"/>
        </w:rPr>
        <w:t>Vraag 1</w:t>
      </w:r>
      <w:r w:rsidR="0071195B">
        <w:rPr>
          <w:i/>
          <w:iCs/>
          <w:lang w:val="nl-NL"/>
        </w:rPr>
        <w:t>3</w:t>
      </w:r>
      <w:r w:rsidRPr="0045779B">
        <w:rPr>
          <w:i/>
          <w:iCs/>
          <w:lang w:val="nl-NL"/>
        </w:rPr>
        <w:t xml:space="preserve">: </w:t>
      </w:r>
      <w:r w:rsidRPr="0045779B">
        <w:rPr>
          <w:lang w:val="nl-NL"/>
        </w:rPr>
        <w:t xml:space="preserve"> </w:t>
      </w:r>
      <w:r w:rsidRPr="0045779B">
        <w:rPr>
          <w:i/>
          <w:iCs/>
          <w:lang w:val="nl-NL"/>
        </w:rPr>
        <w:t xml:space="preserve">Waarom wil je ondernemer worden? </w:t>
      </w:r>
    </w:p>
    <w:p w14:paraId="7A3C5B68" w14:textId="7F21E3D3" w:rsidR="00840D07" w:rsidRPr="0045779B" w:rsidRDefault="00840D07" w:rsidP="0045779B">
      <w:pPr>
        <w:rPr>
          <w:lang w:val="nl-NL"/>
        </w:rPr>
      </w:pPr>
      <w:r w:rsidRPr="0045779B">
        <w:rPr>
          <w:lang w:val="nl-NL"/>
        </w:rPr>
        <w:t xml:space="preserve">Deze mensen gaven aan voornamelijk zelf ondernemer te willen worden </w:t>
      </w:r>
      <w:r w:rsidR="00366481" w:rsidRPr="0045779B">
        <w:rPr>
          <w:lang w:val="nl-NL"/>
        </w:rPr>
        <w:t xml:space="preserve">om </w:t>
      </w:r>
      <w:r w:rsidR="0071195B">
        <w:rPr>
          <w:lang w:val="nl-NL"/>
        </w:rPr>
        <w:t>hun</w:t>
      </w:r>
      <w:r w:rsidR="00366481" w:rsidRPr="0045779B">
        <w:rPr>
          <w:lang w:val="nl-NL"/>
        </w:rPr>
        <w:t xml:space="preserve"> eigen tijd in te kunnen delen. </w:t>
      </w:r>
      <w:r w:rsidR="0071195B">
        <w:rPr>
          <w:lang w:val="nl-NL"/>
        </w:rPr>
        <w:t>Maar ook zelf beslissingen kunnen nemer over de bedrijfsvoering en meer geld verdienen zijn belangrijke drijfveren.</w:t>
      </w:r>
    </w:p>
    <w:p w14:paraId="7B44B0B1" w14:textId="153B8198" w:rsidR="00F20967" w:rsidRPr="0045779B" w:rsidRDefault="00F20967" w:rsidP="0045779B">
      <w:pPr>
        <w:rPr>
          <w:lang w:val="nl-NL"/>
        </w:rPr>
      </w:pPr>
    </w:p>
    <w:p w14:paraId="26E77179" w14:textId="1C51EE34" w:rsidR="00F20967" w:rsidRPr="0045779B" w:rsidRDefault="00F20967" w:rsidP="0045779B">
      <w:pPr>
        <w:rPr>
          <w:lang w:val="nl-NL"/>
        </w:rPr>
      </w:pPr>
      <w:r w:rsidRPr="0045779B">
        <w:rPr>
          <w:noProof/>
          <w:lang w:val="nl-NL"/>
        </w:rPr>
        <w:drawing>
          <wp:inline distT="0" distB="0" distL="0" distR="0" wp14:anchorId="43A31C05" wp14:editId="04B82856">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2C041B" w14:textId="49A630A9" w:rsidR="006E5617" w:rsidRPr="0045779B" w:rsidRDefault="006E5617" w:rsidP="0045779B">
      <w:pPr>
        <w:rPr>
          <w:lang w:val="nl-NL"/>
        </w:rPr>
      </w:pPr>
    </w:p>
    <w:p w14:paraId="07A5ADB9" w14:textId="77777777" w:rsidR="006E5617" w:rsidRPr="0045779B" w:rsidRDefault="006E5617" w:rsidP="0045779B">
      <w:pPr>
        <w:rPr>
          <w:lang w:val="nl-NL"/>
        </w:rPr>
      </w:pPr>
    </w:p>
    <w:sectPr w:rsidR="006E5617" w:rsidRPr="0045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A3"/>
    <w:rsid w:val="00007216"/>
    <w:rsid w:val="00016ABB"/>
    <w:rsid w:val="0002652C"/>
    <w:rsid w:val="00061B5E"/>
    <w:rsid w:val="00097B44"/>
    <w:rsid w:val="000A741E"/>
    <w:rsid w:val="000B784B"/>
    <w:rsid w:val="000F0E51"/>
    <w:rsid w:val="001D4E18"/>
    <w:rsid w:val="002240B1"/>
    <w:rsid w:val="00276181"/>
    <w:rsid w:val="002A21E5"/>
    <w:rsid w:val="002A415F"/>
    <w:rsid w:val="002B0916"/>
    <w:rsid w:val="00366481"/>
    <w:rsid w:val="003A074F"/>
    <w:rsid w:val="003C3B0E"/>
    <w:rsid w:val="003D022B"/>
    <w:rsid w:val="004014AE"/>
    <w:rsid w:val="00404551"/>
    <w:rsid w:val="0045779B"/>
    <w:rsid w:val="00473B6B"/>
    <w:rsid w:val="004E060C"/>
    <w:rsid w:val="00544816"/>
    <w:rsid w:val="00562DCB"/>
    <w:rsid w:val="005E598E"/>
    <w:rsid w:val="005F372B"/>
    <w:rsid w:val="00676138"/>
    <w:rsid w:val="0069452A"/>
    <w:rsid w:val="006A6A8B"/>
    <w:rsid w:val="006B1087"/>
    <w:rsid w:val="006B6838"/>
    <w:rsid w:val="006C5D47"/>
    <w:rsid w:val="006D00F8"/>
    <w:rsid w:val="006E5617"/>
    <w:rsid w:val="00704772"/>
    <w:rsid w:val="00707966"/>
    <w:rsid w:val="0071195B"/>
    <w:rsid w:val="0075457B"/>
    <w:rsid w:val="0075528A"/>
    <w:rsid w:val="00796CA3"/>
    <w:rsid w:val="007A13FA"/>
    <w:rsid w:val="0081151B"/>
    <w:rsid w:val="00812B0E"/>
    <w:rsid w:val="00835903"/>
    <w:rsid w:val="00840D07"/>
    <w:rsid w:val="008C156A"/>
    <w:rsid w:val="008C4844"/>
    <w:rsid w:val="008E50F0"/>
    <w:rsid w:val="00932DA6"/>
    <w:rsid w:val="00937CBB"/>
    <w:rsid w:val="00955010"/>
    <w:rsid w:val="00981758"/>
    <w:rsid w:val="009C470D"/>
    <w:rsid w:val="009E1732"/>
    <w:rsid w:val="00A04E9A"/>
    <w:rsid w:val="00A33B73"/>
    <w:rsid w:val="00A34E23"/>
    <w:rsid w:val="00A8261F"/>
    <w:rsid w:val="00B31A9A"/>
    <w:rsid w:val="00B5216A"/>
    <w:rsid w:val="00BE0A88"/>
    <w:rsid w:val="00C85090"/>
    <w:rsid w:val="00CF3582"/>
    <w:rsid w:val="00D32D32"/>
    <w:rsid w:val="00D4380F"/>
    <w:rsid w:val="00DD204D"/>
    <w:rsid w:val="00DD2B22"/>
    <w:rsid w:val="00E52E88"/>
    <w:rsid w:val="00EA2A19"/>
    <w:rsid w:val="00EC606F"/>
    <w:rsid w:val="00EF1FEB"/>
    <w:rsid w:val="00EF3D58"/>
    <w:rsid w:val="00F20967"/>
    <w:rsid w:val="00F260B7"/>
    <w:rsid w:val="00F40FB6"/>
    <w:rsid w:val="00F44DA4"/>
    <w:rsid w:val="00F6328E"/>
    <w:rsid w:val="00F802FB"/>
    <w:rsid w:val="00F823A1"/>
    <w:rsid w:val="00F96387"/>
    <w:rsid w:val="00FA31CB"/>
    <w:rsid w:val="00FA4040"/>
    <w:rsid w:val="00FE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5730"/>
  <w15:chartTrackingRefBased/>
  <w15:docId w15:val="{6F5F202D-2CC7-4972-B893-1B5C6D25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779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56A"/>
    <w:rPr>
      <w:rFonts w:ascii="Courier New" w:eastAsia="Times New Roman" w:hAnsi="Courier New" w:cs="Courier New"/>
      <w:sz w:val="20"/>
      <w:szCs w:val="20"/>
    </w:rPr>
  </w:style>
  <w:style w:type="table" w:styleId="TableGrid">
    <w:name w:val="Table Grid"/>
    <w:basedOn w:val="TableNormal"/>
    <w:uiPriority w:val="39"/>
    <w:rsid w:val="00A3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8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817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45779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457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5779B"/>
    <w:rPr>
      <w:color w:val="0000FF"/>
      <w:u w:val="single"/>
    </w:rPr>
  </w:style>
  <w:style w:type="character" w:styleId="Strong">
    <w:name w:val="Strong"/>
    <w:basedOn w:val="DefaultParagraphFont"/>
    <w:uiPriority w:val="22"/>
    <w:qFormat/>
    <w:rsid w:val="00457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900">
      <w:bodyDiv w:val="1"/>
      <w:marLeft w:val="0"/>
      <w:marRight w:val="0"/>
      <w:marTop w:val="0"/>
      <w:marBottom w:val="0"/>
      <w:divBdr>
        <w:top w:val="none" w:sz="0" w:space="0" w:color="auto"/>
        <w:left w:val="none" w:sz="0" w:space="0" w:color="auto"/>
        <w:bottom w:val="none" w:sz="0" w:space="0" w:color="auto"/>
        <w:right w:val="none" w:sz="0" w:space="0" w:color="auto"/>
      </w:divBdr>
    </w:div>
    <w:div w:id="64957484">
      <w:bodyDiv w:val="1"/>
      <w:marLeft w:val="0"/>
      <w:marRight w:val="0"/>
      <w:marTop w:val="0"/>
      <w:marBottom w:val="0"/>
      <w:divBdr>
        <w:top w:val="none" w:sz="0" w:space="0" w:color="auto"/>
        <w:left w:val="none" w:sz="0" w:space="0" w:color="auto"/>
        <w:bottom w:val="none" w:sz="0" w:space="0" w:color="auto"/>
        <w:right w:val="none" w:sz="0" w:space="0" w:color="auto"/>
      </w:divBdr>
    </w:div>
    <w:div w:id="657660233">
      <w:bodyDiv w:val="1"/>
      <w:marLeft w:val="0"/>
      <w:marRight w:val="0"/>
      <w:marTop w:val="0"/>
      <w:marBottom w:val="0"/>
      <w:divBdr>
        <w:top w:val="none" w:sz="0" w:space="0" w:color="auto"/>
        <w:left w:val="none" w:sz="0" w:space="0" w:color="auto"/>
        <w:bottom w:val="none" w:sz="0" w:space="0" w:color="auto"/>
        <w:right w:val="none" w:sz="0" w:space="0" w:color="auto"/>
      </w:divBdr>
    </w:div>
    <w:div w:id="1154102211">
      <w:bodyDiv w:val="1"/>
      <w:marLeft w:val="0"/>
      <w:marRight w:val="0"/>
      <w:marTop w:val="0"/>
      <w:marBottom w:val="0"/>
      <w:divBdr>
        <w:top w:val="none" w:sz="0" w:space="0" w:color="auto"/>
        <w:left w:val="none" w:sz="0" w:space="0" w:color="auto"/>
        <w:bottom w:val="none" w:sz="0" w:space="0" w:color="auto"/>
        <w:right w:val="none" w:sz="0" w:space="0" w:color="auto"/>
      </w:divBdr>
    </w:div>
    <w:div w:id="1228691141">
      <w:bodyDiv w:val="1"/>
      <w:marLeft w:val="0"/>
      <w:marRight w:val="0"/>
      <w:marTop w:val="0"/>
      <w:marBottom w:val="0"/>
      <w:divBdr>
        <w:top w:val="none" w:sz="0" w:space="0" w:color="auto"/>
        <w:left w:val="none" w:sz="0" w:space="0" w:color="auto"/>
        <w:bottom w:val="none" w:sz="0" w:space="0" w:color="auto"/>
        <w:right w:val="none" w:sz="0" w:space="0" w:color="auto"/>
      </w:divBdr>
    </w:div>
    <w:div w:id="1312440623">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ettings" Target="settings.xml"/><Relationship Id="rId16" Type="http://schemas.openxmlformats.org/officeDocument/2006/relationships/chart" Target="charts/chart12.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hyperlink" Target="https://2bconnected.org/blog/salarisonderzoek-vastgoed-makelaardij-2020/" TargetMode="Externa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538915727321522"/>
          <c:y val="0"/>
        </c:manualLayout>
      </c:layout>
      <c:overlay val="0"/>
      <c:spPr>
        <a:noFill/>
        <a:ln>
          <a:noFill/>
        </a:ln>
        <a:effectLst/>
      </c:spPr>
      <c:txPr>
        <a:bodyPr rot="0" spcFirstLastPara="1" vertOverflow="ellipsis" vert="horz" wrap="square" anchor="ctr" anchorCtr="1"/>
        <a:lstStyle/>
        <a:p>
          <a:pPr>
            <a:defRPr sz="2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3344998541849E-2"/>
          <c:y val="0.14035687183664375"/>
          <c:w val="0.46450420750546279"/>
          <c:h val="0.76513823040024509"/>
        </c:manualLayout>
      </c:layout>
      <c:pieChart>
        <c:varyColors val="1"/>
        <c:ser>
          <c:idx val="0"/>
          <c:order val="0"/>
          <c:tx>
            <c:strRef>
              <c:f>Sheet1!$B$1</c:f>
              <c:strCache>
                <c:ptCount val="1"/>
                <c:pt idx="0">
                  <c:v>Procentuele Verdeling Functies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CA-4854-A4B6-4E71A0B80E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CA-4854-A4B6-4E71A0B80EA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CA-4854-A4B6-4E71A0B80EA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CA-4854-A4B6-4E71A0B80EA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2CA-4854-A4B6-4E71A0B80EA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2CA-4854-A4B6-4E71A0B80EA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RM/RT wonen</c:v>
                </c:pt>
                <c:pt idx="1">
                  <c:v>KRMT makelaar wonen</c:v>
                </c:pt>
                <c:pt idx="2">
                  <c:v>ARMT makelaar wonen</c:v>
                </c:pt>
                <c:pt idx="3">
                  <c:v>Binnendienstmedewerker makelaardij</c:v>
                </c:pt>
                <c:pt idx="4">
                  <c:v>RT makelaar (BOG)</c:v>
                </c:pt>
                <c:pt idx="5">
                  <c:v>Verhuurmakelaar</c:v>
                </c:pt>
              </c:strCache>
            </c:strRef>
          </c:cat>
          <c:val>
            <c:numRef>
              <c:f>Sheet1!$B$2:$B$7</c:f>
              <c:numCache>
                <c:formatCode>General</c:formatCode>
                <c:ptCount val="6"/>
                <c:pt idx="0">
                  <c:v>83</c:v>
                </c:pt>
                <c:pt idx="1">
                  <c:v>104</c:v>
                </c:pt>
                <c:pt idx="2">
                  <c:v>55</c:v>
                </c:pt>
                <c:pt idx="3">
                  <c:v>27</c:v>
                </c:pt>
                <c:pt idx="4">
                  <c:v>22</c:v>
                </c:pt>
                <c:pt idx="5">
                  <c:v>13</c:v>
                </c:pt>
              </c:numCache>
            </c:numRef>
          </c:val>
          <c:extLst>
            <c:ext xmlns:c16="http://schemas.microsoft.com/office/drawing/2014/chart" uri="{C3380CC4-5D6E-409C-BE32-E72D297353CC}">
              <c16:uniqueId val="{0000000C-62CA-4854-A4B6-4E71A0B80EA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018101360518342"/>
          <c:y val="0.1578236805279977"/>
          <c:w val="0.37823677837371772"/>
          <c:h val="0.7325388305241685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Bij</a:t>
            </a:r>
            <a:r>
              <a:rPr lang="en-US" baseline="0"/>
              <a:t> hoeveel procent extra salaris zou u overwegen te switchen van werkgever?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4-BD8D-4587-8CDF-8DFBD77DDDE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BD8D-4587-8CDF-8DFBD77DDDE2}"/>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6-BD8D-4587-8CDF-8DFBD77DDDE2}"/>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BD8D-4587-8CDF-8DFBD77DDDE2}"/>
              </c:ext>
            </c:extLst>
          </c:dPt>
          <c:dPt>
            <c:idx val="5"/>
            <c:invertIfNegative val="0"/>
            <c:bubble3D val="0"/>
            <c:spPr>
              <a:solidFill>
                <a:schemeClr val="tx2"/>
              </a:solidFill>
              <a:ln>
                <a:noFill/>
              </a:ln>
              <a:effectLst/>
            </c:spPr>
            <c:extLst>
              <c:ext xmlns:c16="http://schemas.microsoft.com/office/drawing/2014/chart" uri="{C3380CC4-5D6E-409C-BE32-E72D297353CC}">
                <c16:uniqueId val="{00000008-BD8D-4587-8CDF-8DFBD77DDDE2}"/>
              </c:ext>
            </c:extLst>
          </c:dPt>
          <c:dPt>
            <c:idx val="6"/>
            <c:invertIfNegative val="0"/>
            <c:bubble3D val="0"/>
            <c:spPr>
              <a:solidFill>
                <a:srgbClr val="7030A0"/>
              </a:solidFill>
              <a:ln>
                <a:noFill/>
              </a:ln>
              <a:effectLst/>
            </c:spPr>
            <c:extLst>
              <c:ext xmlns:c16="http://schemas.microsoft.com/office/drawing/2014/chart" uri="{C3380CC4-5D6E-409C-BE32-E72D297353CC}">
                <c16:uniqueId val="{00000009-BD8D-4587-8CDF-8DFBD77DDD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Binnendienst</c:v>
                </c:pt>
                <c:pt idx="1">
                  <c:v>ARMT makelaar wonen</c:v>
                </c:pt>
                <c:pt idx="2">
                  <c:v>KRMT makelaar wonen</c:v>
                </c:pt>
                <c:pt idx="3">
                  <c:v>RM/RT wonen</c:v>
                </c:pt>
                <c:pt idx="4">
                  <c:v>RT makelaar (BOG)</c:v>
                </c:pt>
                <c:pt idx="5">
                  <c:v>Verhuurmakelaar</c:v>
                </c:pt>
                <c:pt idx="6">
                  <c:v>Totaal</c:v>
                </c:pt>
              </c:strCache>
            </c:strRef>
          </c:cat>
          <c:val>
            <c:numRef>
              <c:f>Sheet1!$B$2:$B$8</c:f>
              <c:numCache>
                <c:formatCode>0.00%</c:formatCode>
                <c:ptCount val="7"/>
                <c:pt idx="0">
                  <c:v>0.1547</c:v>
                </c:pt>
                <c:pt idx="1">
                  <c:v>0.22789999999999999</c:v>
                </c:pt>
                <c:pt idx="2">
                  <c:v>0.2084</c:v>
                </c:pt>
                <c:pt idx="3">
                  <c:v>0.17419999999999999</c:v>
                </c:pt>
                <c:pt idx="4">
                  <c:v>0.2888</c:v>
                </c:pt>
                <c:pt idx="5">
                  <c:v>0.21740000000000001</c:v>
                </c:pt>
                <c:pt idx="6">
                  <c:v>0.20419999999999999</c:v>
                </c:pt>
              </c:numCache>
            </c:numRef>
          </c:val>
          <c:extLst>
            <c:ext xmlns:c16="http://schemas.microsoft.com/office/drawing/2014/chart" uri="{C3380CC4-5D6E-409C-BE32-E72D297353CC}">
              <c16:uniqueId val="{00000000-BD8D-4587-8CDF-8DFBD77DDDE2}"/>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1024"/>
        <c:crosses val="autoZero"/>
        <c:auto val="1"/>
        <c:lblAlgn val="ctr"/>
        <c:lblOffset val="100"/>
        <c:noMultiLvlLbl val="0"/>
      </c:catAx>
      <c:valAx>
        <c:axId val="5504910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Bij</a:t>
            </a:r>
            <a:r>
              <a:rPr lang="en-US" baseline="0"/>
              <a:t> hoeveel euro extra salaris zou u overwegen te switchen van werkgever?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33C0-41E5-9B5D-79DE07B4EDB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33C0-41E5-9B5D-79DE07B4EDB2}"/>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33C0-41E5-9B5D-79DE07B4EDB2}"/>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33C0-41E5-9B5D-79DE07B4EDB2}"/>
              </c:ext>
            </c:extLst>
          </c:dPt>
          <c:dPt>
            <c:idx val="5"/>
            <c:invertIfNegative val="0"/>
            <c:bubble3D val="0"/>
            <c:spPr>
              <a:solidFill>
                <a:srgbClr val="FF0000"/>
              </a:solidFill>
              <a:ln>
                <a:noFill/>
              </a:ln>
              <a:effectLst/>
            </c:spPr>
            <c:extLst>
              <c:ext xmlns:c16="http://schemas.microsoft.com/office/drawing/2014/chart" uri="{C3380CC4-5D6E-409C-BE32-E72D297353CC}">
                <c16:uniqueId val="{00000009-33C0-41E5-9B5D-79DE07B4ED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0 - 199</c:v>
                </c:pt>
                <c:pt idx="1">
                  <c:v>200 - 399</c:v>
                </c:pt>
                <c:pt idx="2">
                  <c:v>400 - 599</c:v>
                </c:pt>
                <c:pt idx="3">
                  <c:v>600 - 799</c:v>
                </c:pt>
                <c:pt idx="4">
                  <c:v>800 - 999</c:v>
                </c:pt>
                <c:pt idx="5">
                  <c:v>1000 of meer</c:v>
                </c:pt>
              </c:strCache>
            </c:strRef>
          </c:cat>
          <c:val>
            <c:numRef>
              <c:f>Sheet1!$B$2:$B$7</c:f>
              <c:numCache>
                <c:formatCode>0%</c:formatCode>
                <c:ptCount val="6"/>
                <c:pt idx="0">
                  <c:v>6.0185185185185182E-2</c:v>
                </c:pt>
                <c:pt idx="1">
                  <c:v>0.25</c:v>
                </c:pt>
                <c:pt idx="2">
                  <c:v>0.30092592592592593</c:v>
                </c:pt>
                <c:pt idx="3">
                  <c:v>0.125</c:v>
                </c:pt>
                <c:pt idx="4">
                  <c:v>0.16203703703703703</c:v>
                </c:pt>
                <c:pt idx="5">
                  <c:v>0.10185185185185185</c:v>
                </c:pt>
              </c:numCache>
            </c:numRef>
          </c:val>
          <c:extLst>
            <c:ext xmlns:c16="http://schemas.microsoft.com/office/drawing/2014/chart" uri="{C3380CC4-5D6E-409C-BE32-E72D297353CC}">
              <c16:uniqueId val="{00000012-33C0-41E5-9B5D-79DE07B4EDB2}"/>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1024"/>
        <c:crosses val="autoZero"/>
        <c:auto val="1"/>
        <c:lblAlgn val="ctr"/>
        <c:lblOffset val="100"/>
        <c:noMultiLvlLbl val="0"/>
      </c:catAx>
      <c:valAx>
        <c:axId val="55049102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Zou u eventueel voor uzelf willen starten als ondernemer/zzper</a:t>
            </a:r>
            <a:r>
              <a:rPr lang="en-US" baseline="0"/>
              <a:t>?</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22340798770709"/>
          <c:y val="0.20884576631712509"/>
          <c:w val="0.84369367891513558"/>
          <c:h val="0.66998656417947755"/>
        </c:manualLayout>
      </c:layout>
      <c:barChart>
        <c:barDir val="bar"/>
        <c:grouping val="clustered"/>
        <c:varyColors val="0"/>
        <c:ser>
          <c:idx val="0"/>
          <c:order val="0"/>
          <c:tx>
            <c:strRef>
              <c:f>Sheet1!$A$2</c:f>
              <c:strCache>
                <c:ptCount val="1"/>
                <c:pt idx="0">
                  <c:v>Ja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F7F3-43AC-AB4C-CC83AE11A27B}"/>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F7F3-43AC-AB4C-CC83AE11A27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Ja</c:v>
                </c:pt>
                <c:pt idx="1">
                  <c:v>Nee</c:v>
                </c:pt>
              </c:strCache>
            </c:strRef>
          </c:cat>
          <c:val>
            <c:numRef>
              <c:f>Sheet1!$B$2:$B$3</c:f>
              <c:numCache>
                <c:formatCode>0%</c:formatCode>
                <c:ptCount val="2"/>
                <c:pt idx="0">
                  <c:v>0.39802631578947367</c:v>
                </c:pt>
                <c:pt idx="1">
                  <c:v>0.60197368421052633</c:v>
                </c:pt>
              </c:numCache>
            </c:numRef>
          </c:val>
          <c:extLst>
            <c:ext xmlns:c16="http://schemas.microsoft.com/office/drawing/2014/chart" uri="{C3380CC4-5D6E-409C-BE32-E72D297353CC}">
              <c16:uniqueId val="{00000004-F7F3-43AC-AB4C-CC83AE11A27B}"/>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Welke</a:t>
            </a:r>
            <a:r>
              <a:rPr lang="en-US" baseline="0"/>
              <a:t> reden is voor u het belangrijkste om voor u zelf te willen beginnen?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4A75-48C2-848A-4BD38A9303B3}"/>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4A75-48C2-848A-4BD38A9303B3}"/>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4A75-48C2-848A-4BD38A9303B3}"/>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4A75-48C2-848A-4BD38A9303B3}"/>
              </c:ext>
            </c:extLst>
          </c:dPt>
          <c:cat>
            <c:strRef>
              <c:f>Sheet1!$A$2:$A$6</c:f>
              <c:strCache>
                <c:ptCount val="5"/>
                <c:pt idx="0">
                  <c:v>Mogelijkheid om eigen tijd in te delen ( Flexibiliteit )</c:v>
                </c:pt>
                <c:pt idx="1">
                  <c:v>Zelf beslissingen kunnen nemen over de bedrijfsvoering</c:v>
                </c:pt>
                <c:pt idx="2">
                  <c:v>Meer geld te verdienen</c:v>
                </c:pt>
                <c:pt idx="3">
                  <c:v>Mij zelf meer kunnen ontplooien</c:v>
                </c:pt>
                <c:pt idx="4">
                  <c:v>Eigen pensioen opbouwen</c:v>
                </c:pt>
              </c:strCache>
            </c:strRef>
          </c:cat>
          <c:val>
            <c:numRef>
              <c:f>Sheet1!$B$2:$B$6</c:f>
              <c:numCache>
                <c:formatCode>#,##0.0</c:formatCode>
                <c:ptCount val="5"/>
                <c:pt idx="0">
                  <c:v>2.9</c:v>
                </c:pt>
                <c:pt idx="1">
                  <c:v>2.6</c:v>
                </c:pt>
                <c:pt idx="2">
                  <c:v>2.4</c:v>
                </c:pt>
                <c:pt idx="3">
                  <c:v>1.5</c:v>
                </c:pt>
                <c:pt idx="4">
                  <c:v>0.7</c:v>
                </c:pt>
              </c:numCache>
            </c:numRef>
          </c:val>
          <c:extLst>
            <c:ext xmlns:c16="http://schemas.microsoft.com/office/drawing/2014/chart" uri="{C3380CC4-5D6E-409C-BE32-E72D297353CC}">
              <c16:uniqueId val="{0000000A-4A75-48C2-848A-4BD38A9303B3}"/>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1024"/>
        <c:crosses val="autoZero"/>
        <c:auto val="1"/>
        <c:lblAlgn val="ctr"/>
        <c:lblOffset val="100"/>
        <c:noMultiLvlLbl val="0"/>
      </c:catAx>
      <c:valAx>
        <c:axId val="5504910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uur</a:t>
            </a:r>
            <a:r>
              <a:rPr lang="en-US" baseline="0"/>
              <a:t> werkt u gemiddeld per week?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Functies</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4785-47B9-B06B-8194789D68A9}"/>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4785-47B9-B06B-8194789D68A9}"/>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4785-47B9-B06B-8194789D68A9}"/>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4785-47B9-B06B-8194789D68A9}"/>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4785-47B9-B06B-8194789D68A9}"/>
              </c:ext>
            </c:extLst>
          </c:dPt>
          <c:dPt>
            <c:idx val="5"/>
            <c:invertIfNegative val="0"/>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B-4785-47B9-B06B-8194789D68A9}"/>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17-24 uur</c:v>
                </c:pt>
                <c:pt idx="1">
                  <c:v>25 - 32 uur</c:v>
                </c:pt>
                <c:pt idx="2">
                  <c:v>33 - 40 uur</c:v>
                </c:pt>
                <c:pt idx="3">
                  <c:v>41 - 48 uur</c:v>
                </c:pt>
                <c:pt idx="4">
                  <c:v>49 - 56 uur</c:v>
                </c:pt>
                <c:pt idx="5">
                  <c:v>57 - 64 uur</c:v>
                </c:pt>
              </c:strCache>
            </c:strRef>
          </c:cat>
          <c:val>
            <c:numRef>
              <c:f>Sheet1!$B$2:$B$7</c:f>
              <c:numCache>
                <c:formatCode>0%</c:formatCode>
                <c:ptCount val="6"/>
                <c:pt idx="0">
                  <c:v>5.921052631578947E-2</c:v>
                </c:pt>
                <c:pt idx="1">
                  <c:v>0.22368421052631579</c:v>
                </c:pt>
                <c:pt idx="2">
                  <c:v>0.51973684210526316</c:v>
                </c:pt>
                <c:pt idx="3">
                  <c:v>8.2236842105263164E-2</c:v>
                </c:pt>
                <c:pt idx="4">
                  <c:v>9.2105263157894732E-2</c:v>
                </c:pt>
                <c:pt idx="5">
                  <c:v>2.3026315789473683E-2</c:v>
                </c:pt>
              </c:numCache>
            </c:numRef>
          </c:val>
          <c:extLst>
            <c:ext xmlns:c16="http://schemas.microsoft.com/office/drawing/2014/chart" uri="{C3380CC4-5D6E-409C-BE32-E72D297353CC}">
              <c16:uniqueId val="{0000000C-4785-47B9-B06B-8194789D68A9}"/>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jaar werkt u in</a:t>
            </a:r>
            <a:r>
              <a:rPr lang="en-US" baseline="0"/>
              <a:t> de vastgoedwereld?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3B3D-4C34-A4EA-691F06C2555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3B3D-4C34-A4EA-691F06C2555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3B3D-4C34-A4EA-691F06C2555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3B3D-4C34-A4EA-691F06C2555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3B3D-4C34-A4EA-691F06C2555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8 of meer</c:v>
                </c:pt>
                <c:pt idx="1">
                  <c:v>6 t/m 8</c:v>
                </c:pt>
                <c:pt idx="2">
                  <c:v>4 t/m 6</c:v>
                </c:pt>
                <c:pt idx="3">
                  <c:v>2 t/m 4</c:v>
                </c:pt>
                <c:pt idx="4">
                  <c:v>0 t/m 2</c:v>
                </c:pt>
              </c:strCache>
            </c:strRef>
          </c:cat>
          <c:val>
            <c:numRef>
              <c:f>Sheet1!$B$2:$B$6</c:f>
              <c:numCache>
                <c:formatCode>General</c:formatCode>
                <c:ptCount val="5"/>
                <c:pt idx="0">
                  <c:v>0.26047904191616766</c:v>
                </c:pt>
                <c:pt idx="1">
                  <c:v>4.1916167664670656E-2</c:v>
                </c:pt>
                <c:pt idx="2">
                  <c:v>0.10778443113772455</c:v>
                </c:pt>
                <c:pt idx="3">
                  <c:v>0.21856287425149701</c:v>
                </c:pt>
                <c:pt idx="4">
                  <c:v>0.3712574850299401</c:v>
                </c:pt>
              </c:numCache>
            </c:numRef>
          </c:val>
          <c:extLst>
            <c:ext xmlns:c16="http://schemas.microsoft.com/office/drawing/2014/chart" uri="{C3380CC4-5D6E-409C-BE32-E72D297353CC}">
              <c16:uniqueId val="{0000000A-3B3D-4C34-A4EA-691F06C2555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Krijgt u een pensioensvergoeding van uw werkgever</a:t>
            </a:r>
            <a:r>
              <a:rPr lang="en-US" baseline="0"/>
              <a:t>?</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22340798770709"/>
          <c:y val="0.20884576631712509"/>
          <c:w val="0.84369367891513558"/>
          <c:h val="0.66998656417947755"/>
        </c:manualLayout>
      </c:layout>
      <c:barChart>
        <c:barDir val="bar"/>
        <c:grouping val="clustered"/>
        <c:varyColors val="0"/>
        <c:ser>
          <c:idx val="0"/>
          <c:order val="0"/>
          <c:tx>
            <c:strRef>
              <c:f>Sheet1!$A$2</c:f>
              <c:strCache>
                <c:ptCount val="1"/>
                <c:pt idx="0">
                  <c:v>Ja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D523-49FB-9D68-89CF2943BBDF}"/>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D523-49FB-9D68-89CF2943BB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Ja</c:v>
                </c:pt>
                <c:pt idx="1">
                  <c:v>Nee</c:v>
                </c:pt>
              </c:strCache>
            </c:strRef>
          </c:cat>
          <c:val>
            <c:numRef>
              <c:f>Sheet1!$B$2:$B$3</c:f>
              <c:numCache>
                <c:formatCode>0%</c:formatCode>
                <c:ptCount val="2"/>
                <c:pt idx="0">
                  <c:v>0.49671052631578949</c:v>
                </c:pt>
                <c:pt idx="1">
                  <c:v>0.50328947368421051</c:v>
                </c:pt>
              </c:numCache>
            </c:numRef>
          </c:val>
          <c:extLst>
            <c:ext xmlns:c16="http://schemas.microsoft.com/office/drawing/2014/chart" uri="{C3380CC4-5D6E-409C-BE32-E72D297353CC}">
              <c16:uniqueId val="{00000004-D523-49FB-9D68-89CF2943BBDF}"/>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Ontving u afgelopen</a:t>
            </a:r>
            <a:r>
              <a:rPr lang="en-US" baseline="0"/>
              <a:t> jaar een bonus?</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734481793836"/>
          <c:y val="0.16461187449608014"/>
          <c:w val="0.84369367891513558"/>
          <c:h val="0.66998656417947755"/>
        </c:manualLayout>
      </c:layout>
      <c:barChart>
        <c:barDir val="bar"/>
        <c:grouping val="clustered"/>
        <c:varyColors val="0"/>
        <c:ser>
          <c:idx val="0"/>
          <c:order val="0"/>
          <c:tx>
            <c:strRef>
              <c:f>Sheet1!$A$2</c:f>
              <c:strCache>
                <c:ptCount val="1"/>
                <c:pt idx="0">
                  <c:v>Wel bonus</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2-01A7-4B3C-955A-5F40FA81120E}"/>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6CE-4B9F-A099-A3288529D2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Wel bonus</c:v>
                </c:pt>
                <c:pt idx="1">
                  <c:v>Geen bonus</c:v>
                </c:pt>
              </c:strCache>
            </c:strRef>
          </c:cat>
          <c:val>
            <c:numRef>
              <c:f>Sheet1!$B$2:$B$3</c:f>
              <c:numCache>
                <c:formatCode>0%</c:formatCode>
                <c:ptCount val="2"/>
                <c:pt idx="0">
                  <c:v>0.56907894736842102</c:v>
                </c:pt>
                <c:pt idx="1">
                  <c:v>0.43421052631578949</c:v>
                </c:pt>
              </c:numCache>
            </c:numRef>
          </c:val>
          <c:extLst>
            <c:ext xmlns:c16="http://schemas.microsoft.com/office/drawing/2014/chart" uri="{C3380CC4-5D6E-409C-BE32-E72D297353CC}">
              <c16:uniqueId val="{00000000-01A7-4B3C-955A-5F40FA81120E}"/>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 ziet u mobiliteitsbudget eruit</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BF5B-436B-8558-C417825B6415}"/>
              </c:ext>
            </c:extLst>
          </c:dPt>
          <c:dPt>
            <c:idx val="1"/>
            <c:invertIfNegative val="0"/>
            <c:bubble3D val="0"/>
            <c:spPr>
              <a:solidFill>
                <a:schemeClr val="accent2"/>
              </a:solidFill>
              <a:ln w="19050">
                <a:solidFill>
                  <a:schemeClr val="lt1"/>
                </a:solidFill>
              </a:ln>
              <a:effectLst/>
            </c:spPr>
            <c:extLst>
              <c:ext xmlns:c16="http://schemas.microsoft.com/office/drawing/2014/chart" uri="{C3380CC4-5D6E-409C-BE32-E72D297353CC}">
                <c16:uniqueId val="{00000003-BF5B-436B-8558-C417825B6415}"/>
              </c:ext>
            </c:extLst>
          </c:dPt>
          <c:dPt>
            <c:idx val="2"/>
            <c:invertIfNegative val="0"/>
            <c:bubble3D val="0"/>
            <c:spPr>
              <a:solidFill>
                <a:schemeClr val="accent3"/>
              </a:solidFill>
              <a:ln w="19050">
                <a:solidFill>
                  <a:schemeClr val="lt1"/>
                </a:solidFill>
              </a:ln>
              <a:effectLst/>
            </c:spPr>
            <c:extLst>
              <c:ext xmlns:c16="http://schemas.microsoft.com/office/drawing/2014/chart" uri="{C3380CC4-5D6E-409C-BE32-E72D297353CC}">
                <c16:uniqueId val="{00000005-BF5B-436B-8558-C417825B6415}"/>
              </c:ext>
            </c:extLst>
          </c:dPt>
          <c:dPt>
            <c:idx val="3"/>
            <c:invertIfNegative val="0"/>
            <c:bubble3D val="0"/>
            <c:spPr>
              <a:solidFill>
                <a:srgbClr val="FFC000"/>
              </a:solidFill>
              <a:ln w="19050">
                <a:solidFill>
                  <a:schemeClr val="lt1"/>
                </a:solidFill>
              </a:ln>
              <a:effectLst/>
            </c:spPr>
            <c:extLst>
              <c:ext xmlns:c16="http://schemas.microsoft.com/office/drawing/2014/chart" uri="{C3380CC4-5D6E-409C-BE32-E72D297353CC}">
                <c16:uniqueId val="{00000007-BF5B-436B-8558-C417825B6415}"/>
              </c:ext>
            </c:extLst>
          </c:dPt>
          <c:dPt>
            <c:idx val="4"/>
            <c:invertIfNegative val="0"/>
            <c:bubble3D val="0"/>
            <c:spPr>
              <a:solidFill>
                <a:schemeClr val="accent5"/>
              </a:solidFill>
              <a:ln w="19050">
                <a:solidFill>
                  <a:schemeClr val="lt1"/>
                </a:solidFill>
              </a:ln>
              <a:effectLst/>
            </c:spPr>
            <c:extLst>
              <c:ext xmlns:c16="http://schemas.microsoft.com/office/drawing/2014/chart" uri="{C3380CC4-5D6E-409C-BE32-E72D297353CC}">
                <c16:uniqueId val="{00000009-BF5B-436B-8558-C417825B6415}"/>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auto van de zaak inclusief privé</c:v>
                </c:pt>
                <c:pt idx="1">
                  <c:v>auto van de zaak exclusief privé</c:v>
                </c:pt>
                <c:pt idx="2">
                  <c:v>km vergoeding</c:v>
                </c:pt>
                <c:pt idx="3">
                  <c:v>geen vergoeding</c:v>
                </c:pt>
                <c:pt idx="4">
                  <c:v>OV en Overig</c:v>
                </c:pt>
              </c:strCache>
            </c:strRef>
          </c:cat>
          <c:val>
            <c:numRef>
              <c:f>Sheet1!$B$2:$B$6</c:f>
              <c:numCache>
                <c:formatCode>General</c:formatCode>
                <c:ptCount val="5"/>
                <c:pt idx="0">
                  <c:v>0.53289473684210531</c:v>
                </c:pt>
                <c:pt idx="1">
                  <c:v>6.5789473684210523E-2</c:v>
                </c:pt>
                <c:pt idx="2">
                  <c:v>0.24671052631578946</c:v>
                </c:pt>
                <c:pt idx="3">
                  <c:v>0.10526315789473684</c:v>
                </c:pt>
                <c:pt idx="4">
                  <c:v>4.9342105263157895E-2</c:v>
                </c:pt>
              </c:numCache>
            </c:numRef>
          </c:val>
          <c:extLst>
            <c:ext xmlns:c16="http://schemas.microsoft.com/office/drawing/2014/chart" uri="{C3380CC4-5D6E-409C-BE32-E72D297353CC}">
              <c16:uniqueId val="{0000000A-BF5B-436B-8558-C417825B6415}"/>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Verdeling Mobiliteitsbudget</a:t>
            </a:r>
            <a:r>
              <a:rPr lang="nl-NL" baseline="0"/>
              <a:t> per functie</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Auto (privé)</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Sheet1!$B$2:$B$7</c:f>
              <c:numCache>
                <c:formatCode>0%</c:formatCode>
                <c:ptCount val="6"/>
                <c:pt idx="0">
                  <c:v>0</c:v>
                </c:pt>
                <c:pt idx="1">
                  <c:v>0.41818181818181815</c:v>
                </c:pt>
                <c:pt idx="2">
                  <c:v>0.50495049504950495</c:v>
                </c:pt>
                <c:pt idx="3">
                  <c:v>0.81927710843373491</c:v>
                </c:pt>
                <c:pt idx="4">
                  <c:v>0.68181818181818177</c:v>
                </c:pt>
                <c:pt idx="5">
                  <c:v>0.38461538461538464</c:v>
                </c:pt>
              </c:numCache>
            </c:numRef>
          </c:val>
          <c:extLst>
            <c:ext xmlns:c16="http://schemas.microsoft.com/office/drawing/2014/chart" uri="{C3380CC4-5D6E-409C-BE32-E72D297353CC}">
              <c16:uniqueId val="{00000000-8B81-489C-92E5-C3E4EF9D74E4}"/>
            </c:ext>
          </c:extLst>
        </c:ser>
        <c:ser>
          <c:idx val="1"/>
          <c:order val="1"/>
          <c:tx>
            <c:strRef>
              <c:f>Sheet1!$C$1</c:f>
              <c:strCache>
                <c:ptCount val="1"/>
                <c:pt idx="0">
                  <c:v>Auto (niet privé)</c:v>
                </c:pt>
              </c:strCache>
            </c:strRef>
          </c:tx>
          <c:spPr>
            <a:solidFill>
              <a:schemeClr val="accent2"/>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1-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Sheet1!$C$2:$C$7</c:f>
              <c:numCache>
                <c:formatCode>0%</c:formatCode>
                <c:ptCount val="6"/>
                <c:pt idx="0">
                  <c:v>3.7037037037037035E-2</c:v>
                </c:pt>
                <c:pt idx="1">
                  <c:v>5.4545454545454543E-2</c:v>
                </c:pt>
                <c:pt idx="2">
                  <c:v>7.9207920792079209E-2</c:v>
                </c:pt>
                <c:pt idx="3">
                  <c:v>4.8192771084337352E-2</c:v>
                </c:pt>
                <c:pt idx="4">
                  <c:v>0</c:v>
                </c:pt>
                <c:pt idx="5">
                  <c:v>0.30769230769230771</c:v>
                </c:pt>
              </c:numCache>
            </c:numRef>
          </c:val>
          <c:extLst>
            <c:ext xmlns:c16="http://schemas.microsoft.com/office/drawing/2014/chart" uri="{C3380CC4-5D6E-409C-BE32-E72D297353CC}">
              <c16:uniqueId val="{00000002-8B81-489C-92E5-C3E4EF9D74E4}"/>
            </c:ext>
          </c:extLst>
        </c:ser>
        <c:ser>
          <c:idx val="2"/>
          <c:order val="2"/>
          <c:tx>
            <c:strRef>
              <c:f>Sheet1!$D$1</c:f>
              <c:strCache>
                <c:ptCount val="1"/>
                <c:pt idx="0">
                  <c:v>KM vergoeding</c:v>
                </c:pt>
              </c:strCache>
            </c:strRef>
          </c:tx>
          <c:spPr>
            <a:solidFill>
              <a:schemeClr val="accent3"/>
            </a:solidFill>
            <a:ln>
              <a:noFill/>
            </a:ln>
            <a:effectLst/>
          </c:spPr>
          <c:invertIfNegative val="0"/>
          <c:dLbls>
            <c:dLbl>
              <c:idx val="0"/>
              <c:layout>
                <c:manualLayout>
                  <c:x val="-1.248049921996879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Sheet1!$D$2:$D$7</c:f>
              <c:numCache>
                <c:formatCode>0%</c:formatCode>
                <c:ptCount val="6"/>
                <c:pt idx="0">
                  <c:v>0.44444444444444442</c:v>
                </c:pt>
                <c:pt idx="1">
                  <c:v>0.32727272727272727</c:v>
                </c:pt>
                <c:pt idx="2">
                  <c:v>0.28712871287128711</c:v>
                </c:pt>
                <c:pt idx="3">
                  <c:v>0.10843373493975904</c:v>
                </c:pt>
                <c:pt idx="4">
                  <c:v>0.27272727272727271</c:v>
                </c:pt>
                <c:pt idx="5">
                  <c:v>7.6923076923076927E-2</c:v>
                </c:pt>
              </c:numCache>
            </c:numRef>
          </c:val>
          <c:extLst>
            <c:ext xmlns:c16="http://schemas.microsoft.com/office/drawing/2014/chart" uri="{C3380CC4-5D6E-409C-BE32-E72D297353CC}">
              <c16:uniqueId val="{00000004-8B81-489C-92E5-C3E4EF9D74E4}"/>
            </c:ext>
          </c:extLst>
        </c:ser>
        <c:ser>
          <c:idx val="3"/>
          <c:order val="3"/>
          <c:tx>
            <c:strRef>
              <c:f>Sheet1!$E$1</c:f>
              <c:strCache>
                <c:ptCount val="1"/>
                <c:pt idx="0">
                  <c:v>geen vergoeding</c:v>
                </c:pt>
              </c:strCache>
            </c:strRef>
          </c:tx>
          <c:spPr>
            <a:solidFill>
              <a:schemeClr val="accent4"/>
            </a:solidFill>
            <a:ln>
              <a:noFill/>
            </a:ln>
            <a:effectLst/>
          </c:spPr>
          <c:invertIfNegative val="0"/>
          <c:dLbls>
            <c:dLbl>
              <c:idx val="0"/>
              <c:layout>
                <c:manualLayout>
                  <c:x val="8.320332813312533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Sheet1!$E$2:$E$7</c:f>
              <c:numCache>
                <c:formatCode>0%</c:formatCode>
                <c:ptCount val="6"/>
                <c:pt idx="0">
                  <c:v>0.51851851851851849</c:v>
                </c:pt>
                <c:pt idx="1">
                  <c:v>0.16363636363636364</c:v>
                </c:pt>
                <c:pt idx="2">
                  <c:v>6.9306930693069313E-2</c:v>
                </c:pt>
                <c:pt idx="3">
                  <c:v>1.2048192771084338E-2</c:v>
                </c:pt>
                <c:pt idx="4">
                  <c:v>0</c:v>
                </c:pt>
                <c:pt idx="5">
                  <c:v>0.15384615384615385</c:v>
                </c:pt>
              </c:numCache>
            </c:numRef>
          </c:val>
          <c:extLst>
            <c:ext xmlns:c16="http://schemas.microsoft.com/office/drawing/2014/chart" uri="{C3380CC4-5D6E-409C-BE32-E72D297353CC}">
              <c16:uniqueId val="{00000006-8B81-489C-92E5-C3E4EF9D74E4}"/>
            </c:ext>
          </c:extLst>
        </c:ser>
        <c:ser>
          <c:idx val="4"/>
          <c:order val="4"/>
          <c:tx>
            <c:strRef>
              <c:f>Sheet1!$F$1</c:f>
              <c:strCache>
                <c:ptCount val="1"/>
                <c:pt idx="0">
                  <c:v>OV en Overig</c:v>
                </c:pt>
              </c:strCache>
            </c:strRef>
          </c:tx>
          <c:spPr>
            <a:solidFill>
              <a:schemeClr val="accent5"/>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7-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Sheet1!$F$2:$F$7</c:f>
              <c:numCache>
                <c:formatCode>0%</c:formatCode>
                <c:ptCount val="6"/>
                <c:pt idx="0">
                  <c:v>0</c:v>
                </c:pt>
                <c:pt idx="1">
                  <c:v>3.6363636363636362E-2</c:v>
                </c:pt>
                <c:pt idx="2">
                  <c:v>5.9405940594059403E-2</c:v>
                </c:pt>
                <c:pt idx="3">
                  <c:v>1.2048192771084338E-2</c:v>
                </c:pt>
                <c:pt idx="4">
                  <c:v>4.5454545454545456E-2</c:v>
                </c:pt>
                <c:pt idx="5">
                  <c:v>7.6923076923076927E-2</c:v>
                </c:pt>
              </c:numCache>
            </c:numRef>
          </c:val>
          <c:extLst>
            <c:ext xmlns:c16="http://schemas.microsoft.com/office/drawing/2014/chart" uri="{C3380CC4-5D6E-409C-BE32-E72D297353CC}">
              <c16:uniqueId val="{00000008-8B81-489C-92E5-C3E4EF9D74E4}"/>
            </c:ext>
          </c:extLst>
        </c:ser>
        <c:dLbls>
          <c:showLegendKey val="0"/>
          <c:showVal val="0"/>
          <c:showCatName val="0"/>
          <c:showSerName val="0"/>
          <c:showPercent val="0"/>
          <c:showBubbleSize val="0"/>
        </c:dLbls>
        <c:gapWidth val="219"/>
        <c:overlap val="-27"/>
        <c:axId val="432274296"/>
        <c:axId val="432276264"/>
      </c:barChart>
      <c:catAx>
        <c:axId val="432274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276264"/>
        <c:crosses val="autoZero"/>
        <c:auto val="1"/>
        <c:lblAlgn val="ctr"/>
        <c:lblOffset val="100"/>
        <c:noMultiLvlLbl val="0"/>
      </c:catAx>
      <c:valAx>
        <c:axId val="432276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274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 welke mate vind u dat uw salaris</a:t>
            </a:r>
            <a:r>
              <a:rPr lang="en-US" baseline="0"/>
              <a:t> markt conform is?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11D3-4388-AB9F-11E14C456A51}"/>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11D3-4388-AB9F-11E14C456A51}"/>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11D3-4388-AB9F-11E14C456A51}"/>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11D3-4388-AB9F-11E14C456A51}"/>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11D3-4388-AB9F-11E14C456A51}"/>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Ver onder markt</c:v>
                </c:pt>
                <c:pt idx="1">
                  <c:v>Enigszins onder markt</c:v>
                </c:pt>
                <c:pt idx="2">
                  <c:v>Marktconform</c:v>
                </c:pt>
                <c:pt idx="3">
                  <c:v>Enigszins boven markt</c:v>
                </c:pt>
                <c:pt idx="4">
                  <c:v>Ver boven markt</c:v>
                </c:pt>
              </c:strCache>
            </c:strRef>
          </c:cat>
          <c:val>
            <c:numRef>
              <c:f>Sheet1!$B$2:$B$6</c:f>
              <c:numCache>
                <c:formatCode>General</c:formatCode>
                <c:ptCount val="5"/>
                <c:pt idx="0">
                  <c:v>8.7096774193548387E-2</c:v>
                </c:pt>
                <c:pt idx="1">
                  <c:v>0.26451612903225807</c:v>
                </c:pt>
                <c:pt idx="2">
                  <c:v>0.47419354838709676</c:v>
                </c:pt>
                <c:pt idx="3">
                  <c:v>0.11935483870967742</c:v>
                </c:pt>
                <c:pt idx="4">
                  <c:v>3.5483870967741936E-2</c:v>
                </c:pt>
              </c:numCache>
            </c:numRef>
          </c:val>
          <c:extLst>
            <c:ext xmlns:c16="http://schemas.microsoft.com/office/drawing/2014/chart" uri="{C3380CC4-5D6E-409C-BE32-E72D297353CC}">
              <c16:uniqueId val="{0000000A-11D3-4388-AB9F-11E14C456A51}"/>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Voor</a:t>
            </a:r>
            <a:r>
              <a:rPr lang="en-US" baseline="0"/>
              <a:t> welke reden zou u overwegen van werkgever te veranderen?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89F4-4A23-AEE8-48B113A65AF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89F4-4A23-AEE8-48B113A65AF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89F4-4A23-AEE8-48B113A65AF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89F4-4A23-AEE8-48B113A65AF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89F4-4A23-AEE8-48B113A65AF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Betere Primaire en Secundaire arbeidsvoorwaarden</c:v>
                </c:pt>
                <c:pt idx="1">
                  <c:v>Doorgroeimogelijkheden</c:v>
                </c:pt>
                <c:pt idx="2">
                  <c:v>Anders</c:v>
                </c:pt>
                <c:pt idx="3">
                  <c:v>Sfeer</c:v>
                </c:pt>
                <c:pt idx="4">
                  <c:v>Dicher bij huis</c:v>
                </c:pt>
              </c:strCache>
            </c:strRef>
          </c:cat>
          <c:val>
            <c:numRef>
              <c:f>Sheet1!$B$2:$B$6</c:f>
              <c:numCache>
                <c:formatCode>General</c:formatCode>
                <c:ptCount val="5"/>
                <c:pt idx="0">
                  <c:v>0.50657894736842102</c:v>
                </c:pt>
                <c:pt idx="1">
                  <c:v>0.19407894736842105</c:v>
                </c:pt>
                <c:pt idx="2">
                  <c:v>0.13486842105263158</c:v>
                </c:pt>
                <c:pt idx="3">
                  <c:v>9.5394736842105268E-2</c:v>
                </c:pt>
                <c:pt idx="4">
                  <c:v>6.9078947368421059E-2</c:v>
                </c:pt>
              </c:numCache>
            </c:numRef>
          </c:val>
          <c:extLst>
            <c:ext xmlns:c16="http://schemas.microsoft.com/office/drawing/2014/chart" uri="{C3380CC4-5D6E-409C-BE32-E72D297353CC}">
              <c16:uniqueId val="{0000000A-89F4-4A23-AEE8-48B113A65AF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9</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peter@dataska.com</dc:creator>
  <cp:keywords/>
  <dc:description/>
  <cp:lastModifiedBy>Peter Faasse</cp:lastModifiedBy>
  <cp:revision>20</cp:revision>
  <dcterms:created xsi:type="dcterms:W3CDTF">2021-09-09T09:56:00Z</dcterms:created>
  <dcterms:modified xsi:type="dcterms:W3CDTF">2021-09-14T19:33:00Z</dcterms:modified>
</cp:coreProperties>
</file>