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w w:val="105"/>
        </w:rPr>
        <w:t>Peter</w:t>
      </w:r>
      <w:r>
        <w:rPr>
          <w:spacing w:val="-2"/>
          <w:w w:val="105"/>
        </w:rPr>
        <w:t> </w:t>
      </w:r>
      <w:r>
        <w:rPr>
          <w:spacing w:val="-2"/>
          <w:w w:val="110"/>
        </w:rPr>
        <w:t>Ferenc</w:t>
      </w:r>
    </w:p>
    <w:p>
      <w:pPr>
        <w:pStyle w:val="BodyText"/>
        <w:spacing w:before="24"/>
        <w:ind w:left="141"/>
      </w:pPr>
      <w:r>
        <w:rPr>
          <w:w w:val="105"/>
        </w:rPr>
        <w:t>Rammelkam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9" w:lineRule="auto" w:before="24"/>
        <w:ind w:left="140" w:right="6008"/>
      </w:pPr>
      <w:r>
        <w:rPr>
          <w:w w:val="105"/>
        </w:rPr>
        <w:t>84036</w:t>
      </w:r>
      <w:r>
        <w:rPr>
          <w:spacing w:val="-8"/>
          <w:w w:val="105"/>
        </w:rPr>
        <w:t> </w:t>
      </w:r>
      <w:r>
        <w:rPr>
          <w:w w:val="105"/>
        </w:rPr>
        <w:t>Kumhausen </w:t>
      </w:r>
      <w:hyperlink r:id="rId6">
        <w:r>
          <w:rPr>
            <w:color w:val="467885"/>
            <w:spacing w:val="-2"/>
            <w:w w:val="105"/>
            <w:u w:val="single" w:color="467885"/>
          </w:rPr>
          <w:t>info@foxprof.club</w:t>
        </w:r>
      </w:hyperlink>
      <w:r>
        <w:rPr>
          <w:color w:val="467885"/>
          <w:spacing w:val="-2"/>
          <w:w w:val="105"/>
          <w:u w:val="none"/>
        </w:rPr>
        <w:t> </w:t>
      </w:r>
      <w:r>
        <w:rPr>
          <w:spacing w:val="-2"/>
          <w:w w:val="105"/>
          <w:u w:val="none"/>
        </w:rPr>
        <w:t>Deutschland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56161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22187pt;width:433.35pt;height:.1pt;mso-position-horizontal-relative:page;mso-position-vertical-relative:paragraph;z-index:-15728640;mso-wrap-distance-left:0;mso-wrap-distance-right:0" id="docshape2" coordorigin="1431,88" coordsize="8667,0" path="m1431,88l10098,8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header="0" w:footer="1047" w:top="1320" w:bottom="1240" w:left="1275" w:right="1417"/>
          <w:pgNumType w:start="3"/>
        </w:sectPr>
      </w:pPr>
    </w:p>
    <w:p>
      <w:pPr>
        <w:pStyle w:val="BodyText"/>
        <w:spacing w:before="5"/>
        <w:rPr>
          <w:sz w:val="9"/>
        </w:rPr>
      </w:pPr>
    </w:p>
    <w:p>
      <w:pPr>
        <w:spacing w:line="240" w:lineRule="auto"/>
        <w:ind w:left="146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6384" cy="7863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8"/>
        <w:ind w:left="165" w:right="0" w:firstLine="0"/>
        <w:jc w:val="left"/>
        <w:rPr>
          <w:i/>
          <w:sz w:val="18"/>
        </w:rPr>
      </w:pPr>
      <w:r>
        <w:rPr>
          <w:i/>
          <w:color w:val="0E2841"/>
          <w:w w:val="110"/>
          <w:sz w:val="18"/>
        </w:rPr>
        <w:t>QES</w:t>
      </w:r>
      <w:r>
        <w:rPr>
          <w:i/>
          <w:color w:val="0E2841"/>
          <w:spacing w:val="4"/>
          <w:w w:val="110"/>
          <w:sz w:val="18"/>
        </w:rPr>
        <w:t> </w:t>
      </w:r>
      <w:r>
        <w:rPr>
          <w:i/>
          <w:color w:val="0E2841"/>
          <w:spacing w:val="-2"/>
          <w:w w:val="110"/>
          <w:sz w:val="18"/>
        </w:rPr>
        <w:t>Signature</w:t>
      </w:r>
    </w:p>
    <w:p>
      <w:pPr>
        <w:pStyle w:val="Heading2"/>
        <w:spacing w:before="97"/>
        <w:ind w:left="146"/>
      </w:pPr>
      <w:r>
        <w:rPr>
          <w:b w:val="0"/>
        </w:rPr>
        <w:br w:type="column"/>
      </w:r>
      <w:r>
        <w:rPr>
          <w:w w:val="110"/>
        </w:rPr>
        <w:t>Landgericht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Landshut</w:t>
      </w:r>
    </w:p>
    <w:p>
      <w:pPr>
        <w:pStyle w:val="BodyText"/>
        <w:spacing w:before="23"/>
        <w:ind w:left="146"/>
      </w:pPr>
      <w:r>
        <w:rPr/>
        <w:t>Maximilianstr.</w:t>
      </w:r>
      <w:r>
        <w:rPr>
          <w:spacing w:val="29"/>
        </w:rPr>
        <w:t> </w:t>
      </w:r>
      <w:r>
        <w:rPr>
          <w:spacing w:val="-5"/>
        </w:rPr>
        <w:t>22</w:t>
      </w:r>
    </w:p>
    <w:p>
      <w:pPr>
        <w:pStyle w:val="BodyText"/>
        <w:spacing w:line="259" w:lineRule="auto" w:before="22"/>
        <w:ind w:left="146" w:right="1257"/>
      </w:pPr>
      <w:r>
        <w:rPr>
          <w:w w:val="105"/>
        </w:rPr>
        <w:t>84028 Landshut </w:t>
      </w:r>
      <w:hyperlink r:id="rId8">
        <w:r>
          <w:rPr>
            <w:color w:val="467885"/>
            <w:spacing w:val="-2"/>
            <w:w w:val="105"/>
            <w:u w:val="single" w:color="467885"/>
          </w:rPr>
          <w:t>poststelle@ag-la.bayern.de</w:t>
        </w:r>
      </w:hyperlink>
      <w:r>
        <w:rPr>
          <w:color w:val="467885"/>
          <w:spacing w:val="-2"/>
          <w:w w:val="105"/>
          <w:u w:val="none"/>
        </w:rPr>
        <w:t> </w:t>
      </w:r>
      <w:r>
        <w:rPr>
          <w:spacing w:val="-2"/>
          <w:w w:val="105"/>
          <w:u w:val="none"/>
        </w:rPr>
        <w:t>Deutschland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1047" w:top="1320" w:bottom="1240" w:left="1275" w:right="1417"/>
          <w:cols w:num="2" w:equalWidth="0">
            <w:col w:w="1423" w:space="3528"/>
            <w:col w:w="42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spacing w:line="20" w:lineRule="exact"/>
        <w:ind w:left="15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03545" cy="9525"/>
                <wp:effectExtent l="9525" t="0" r="1904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03545" cy="9525"/>
                          <a:chExt cx="550354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550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0">
                                <a:moveTo>
                                  <a:pt x="0" y="0"/>
                                </a:moveTo>
                                <a:lnTo>
                                  <a:pt x="55035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3.35pt;height:.75pt;mso-position-horizontal-relative:char;mso-position-vertical-relative:line" id="docshapegroup3" coordorigin="0,0" coordsize="8667,15">
                <v:line style="position:absolute" from="0,8" to="8667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07"/>
        <w:ind w:left="0" w:right="0" w:firstLine="0"/>
        <w:jc w:val="right"/>
        <w:rPr>
          <w:sz w:val="22"/>
        </w:rPr>
      </w:pPr>
      <w:r>
        <w:rPr>
          <w:w w:val="105"/>
          <w:sz w:val="22"/>
        </w:rPr>
        <w:t>V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Kumhausene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11.12.2024</w:t>
      </w:r>
    </w:p>
    <w:p>
      <w:pPr>
        <w:pStyle w:val="Heading1"/>
      </w:pPr>
      <w:r>
        <w:rPr>
          <w:spacing w:val="2"/>
        </w:rPr>
        <w:t>Sťažnosť</w:t>
      </w:r>
      <w:r>
        <w:rPr>
          <w:spacing w:val="53"/>
        </w:rPr>
        <w:t> </w:t>
      </w:r>
      <w:r>
        <w:rPr>
          <w:spacing w:val="2"/>
        </w:rPr>
        <w:t>na</w:t>
      </w:r>
      <w:r>
        <w:rPr>
          <w:spacing w:val="57"/>
        </w:rPr>
        <w:t> </w:t>
      </w:r>
      <w:r>
        <w:rPr>
          <w:spacing w:val="2"/>
        </w:rPr>
        <w:t>právnickú</w:t>
      </w:r>
      <w:r>
        <w:rPr>
          <w:spacing w:val="53"/>
        </w:rPr>
        <w:t> </w:t>
      </w:r>
      <w:r>
        <w:rPr>
          <w:spacing w:val="2"/>
        </w:rPr>
        <w:t>kanceláriu</w:t>
      </w:r>
      <w:r>
        <w:rPr>
          <w:spacing w:val="59"/>
        </w:rPr>
        <w:t> </w:t>
      </w:r>
      <w:r>
        <w:rPr>
          <w:spacing w:val="2"/>
        </w:rPr>
        <w:t>LATHAM</w:t>
      </w:r>
      <w:r>
        <w:rPr>
          <w:spacing w:val="56"/>
        </w:rPr>
        <w:t> </w:t>
      </w:r>
      <w:r>
        <w:rPr>
          <w:spacing w:val="2"/>
        </w:rPr>
        <w:t>&amp;</w:t>
      </w:r>
      <w:r>
        <w:rPr>
          <w:spacing w:val="55"/>
        </w:rPr>
        <w:t> </w:t>
      </w:r>
      <w:r>
        <w:rPr>
          <w:spacing w:val="-2"/>
        </w:rPr>
        <w:t>WATKINS</w:t>
      </w:r>
    </w:p>
    <w:p>
      <w:pPr>
        <w:pStyle w:val="BodyText"/>
        <w:spacing w:before="279"/>
        <w:rPr>
          <w:b/>
          <w:sz w:val="32"/>
        </w:rPr>
      </w:pPr>
    </w:p>
    <w:p>
      <w:pPr>
        <w:pStyle w:val="BodyText"/>
        <w:spacing w:line="259" w:lineRule="auto"/>
        <w:ind w:left="141"/>
      </w:pPr>
      <w:r>
        <w:rPr>
          <w:w w:val="105"/>
        </w:rPr>
        <w:t>Vec:</w:t>
      </w:r>
      <w:r>
        <w:rPr>
          <w:spacing w:val="-2"/>
          <w:w w:val="105"/>
        </w:rPr>
        <w:t> </w:t>
      </w:r>
      <w:r>
        <w:rPr>
          <w:w w:val="105"/>
        </w:rPr>
        <w:t>Trestná</w:t>
      </w:r>
      <w:r>
        <w:rPr>
          <w:spacing w:val="-3"/>
          <w:w w:val="105"/>
        </w:rPr>
        <w:t> </w:t>
      </w:r>
      <w:r>
        <w:rPr>
          <w:w w:val="105"/>
        </w:rPr>
        <w:t>zodpovednosť</w:t>
      </w:r>
      <w:r>
        <w:rPr>
          <w:spacing w:val="-4"/>
          <w:w w:val="105"/>
        </w:rPr>
        <w:t> </w:t>
      </w:r>
      <w:r>
        <w:rPr>
          <w:w w:val="105"/>
        </w:rPr>
        <w:t>za</w:t>
      </w:r>
      <w:r>
        <w:rPr>
          <w:spacing w:val="-3"/>
          <w:w w:val="105"/>
        </w:rPr>
        <w:t> </w:t>
      </w:r>
      <w:r>
        <w:rPr>
          <w:w w:val="105"/>
        </w:rPr>
        <w:t>manipuláciu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neoprávnené</w:t>
      </w:r>
      <w:r>
        <w:rPr>
          <w:spacing w:val="-2"/>
          <w:w w:val="105"/>
        </w:rPr>
        <w:t> </w:t>
      </w:r>
      <w:r>
        <w:rPr>
          <w:w w:val="105"/>
        </w:rPr>
        <w:t>zasahovanie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rozhodovania súdu v mojej veci</w:t>
      </w:r>
    </w:p>
    <w:p>
      <w:pPr>
        <w:spacing w:before="159"/>
        <w:ind w:left="141" w:right="0" w:firstLine="0"/>
        <w:jc w:val="left"/>
        <w:rPr>
          <w:b/>
          <w:sz w:val="24"/>
        </w:rPr>
      </w:pPr>
      <w:r>
        <w:rPr>
          <w:w w:val="105"/>
          <w:sz w:val="24"/>
        </w:rPr>
        <w:t>Vo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veci: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číslo </w:t>
      </w:r>
      <w:r>
        <w:rPr>
          <w:b/>
          <w:w w:val="105"/>
          <w:sz w:val="24"/>
        </w:rPr>
        <w:t>23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O </w:t>
      </w:r>
      <w:r>
        <w:rPr>
          <w:b/>
          <w:spacing w:val="-2"/>
          <w:w w:val="105"/>
          <w:sz w:val="24"/>
        </w:rPr>
        <w:t>2699/24</w:t>
      </w: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BodyText"/>
        <w:ind w:left="141"/>
      </w:pPr>
      <w:r>
        <w:rPr/>
        <w:t>Vážený</w:t>
      </w:r>
      <w:r>
        <w:rPr>
          <w:spacing w:val="21"/>
        </w:rPr>
        <w:t> </w:t>
      </w:r>
      <w:r>
        <w:rPr/>
        <w:t>súd</w:t>
      </w:r>
      <w:r>
        <w:rPr>
          <w:spacing w:val="21"/>
        </w:rPr>
        <w:t> </w:t>
      </w:r>
      <w:r>
        <w:rPr>
          <w:spacing w:val="-2"/>
        </w:rPr>
        <w:t>Landshut,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41"/>
      </w:pPr>
      <w:r>
        <w:rPr>
          <w:w w:val="105"/>
        </w:rPr>
        <w:t>Týmto</w:t>
      </w:r>
      <w:r>
        <w:rPr>
          <w:spacing w:val="-15"/>
          <w:w w:val="105"/>
        </w:rPr>
        <w:t> </w:t>
      </w:r>
      <w:r>
        <w:rPr>
          <w:w w:val="105"/>
        </w:rPr>
        <w:t>podávam</w:t>
      </w:r>
      <w:r>
        <w:rPr>
          <w:spacing w:val="-14"/>
          <w:w w:val="105"/>
        </w:rPr>
        <w:t> </w:t>
      </w:r>
      <w:r>
        <w:rPr>
          <w:w w:val="105"/>
        </w:rPr>
        <w:t>formálnu</w:t>
      </w:r>
      <w:r>
        <w:rPr>
          <w:spacing w:val="-13"/>
          <w:w w:val="105"/>
        </w:rPr>
        <w:t> </w:t>
      </w:r>
      <w:r>
        <w:rPr>
          <w:w w:val="105"/>
        </w:rPr>
        <w:t>sťažnosť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4"/>
          <w:w w:val="105"/>
        </w:rPr>
        <w:t> </w:t>
      </w:r>
      <w:r>
        <w:rPr>
          <w:w w:val="105"/>
        </w:rPr>
        <w:t>právnickú</w:t>
      </w:r>
      <w:r>
        <w:rPr>
          <w:spacing w:val="-14"/>
          <w:w w:val="105"/>
        </w:rPr>
        <w:t> </w:t>
      </w:r>
      <w:r>
        <w:rPr>
          <w:w w:val="105"/>
        </w:rPr>
        <w:t>kanceláriu</w:t>
      </w:r>
      <w:r>
        <w:rPr>
          <w:spacing w:val="-13"/>
          <w:w w:val="105"/>
        </w:rPr>
        <w:t> </w:t>
      </w:r>
      <w:r>
        <w:rPr>
          <w:w w:val="105"/>
        </w:rPr>
        <w:t>LATHAM</w:t>
      </w:r>
      <w:r>
        <w:rPr>
          <w:spacing w:val="-14"/>
          <w:w w:val="105"/>
        </w:rPr>
        <w:t> </w:t>
      </w:r>
      <w:r>
        <w:rPr>
          <w:w w:val="105"/>
        </w:rPr>
        <w:t>&amp;</w:t>
      </w:r>
      <w:r>
        <w:rPr>
          <w:spacing w:val="-12"/>
          <w:w w:val="105"/>
        </w:rPr>
        <w:t> </w:t>
      </w:r>
      <w:r>
        <w:rPr>
          <w:w w:val="105"/>
        </w:rPr>
        <w:t>WATKINS,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ktorá</w:t>
      </w:r>
    </w:p>
    <w:p>
      <w:pPr>
        <w:pStyle w:val="BodyText"/>
        <w:spacing w:line="259" w:lineRule="auto" w:before="21"/>
        <w:ind w:left="141" w:right="44"/>
      </w:pPr>
      <w:r>
        <w:rPr>
          <w:w w:val="105"/>
        </w:rPr>
        <w:t>v</w:t>
      </w:r>
      <w:r>
        <w:rPr>
          <w:spacing w:val="-7"/>
          <w:w w:val="105"/>
        </w:rPr>
        <w:t> </w:t>
      </w:r>
      <w:r>
        <w:rPr>
          <w:w w:val="105"/>
        </w:rPr>
        <w:t>rámci</w:t>
      </w:r>
      <w:r>
        <w:rPr>
          <w:spacing w:val="-5"/>
          <w:w w:val="105"/>
        </w:rPr>
        <w:t> </w:t>
      </w:r>
      <w:r>
        <w:rPr>
          <w:w w:val="105"/>
        </w:rPr>
        <w:t>svojho</w:t>
      </w:r>
      <w:r>
        <w:rPr>
          <w:spacing w:val="-4"/>
          <w:w w:val="105"/>
        </w:rPr>
        <w:t> </w:t>
      </w:r>
      <w:r>
        <w:rPr>
          <w:w w:val="105"/>
        </w:rPr>
        <w:t>vyjadrenia</w:t>
      </w:r>
      <w:r>
        <w:rPr>
          <w:spacing w:val="-7"/>
          <w:w w:val="105"/>
        </w:rPr>
        <w:t> </w:t>
      </w:r>
      <w:r>
        <w:rPr>
          <w:w w:val="105"/>
        </w:rPr>
        <w:t>k</w:t>
      </w:r>
      <w:r>
        <w:rPr>
          <w:spacing w:val="-5"/>
          <w:w w:val="105"/>
        </w:rPr>
        <w:t> </w:t>
      </w:r>
      <w:r>
        <w:rPr>
          <w:w w:val="105"/>
        </w:rPr>
        <w:t>mojej</w:t>
      </w:r>
      <w:r>
        <w:rPr>
          <w:spacing w:val="-5"/>
          <w:w w:val="105"/>
        </w:rPr>
        <w:t> </w:t>
      </w:r>
      <w:r>
        <w:rPr>
          <w:w w:val="105"/>
        </w:rPr>
        <w:t>žiadosti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Prozesskostenhilfe</w:t>
      </w:r>
      <w:r>
        <w:rPr>
          <w:spacing w:val="-5"/>
          <w:w w:val="105"/>
        </w:rPr>
        <w:t> </w:t>
      </w:r>
      <w:r>
        <w:rPr>
          <w:w w:val="105"/>
        </w:rPr>
        <w:t>uviedla</w:t>
      </w:r>
      <w:r>
        <w:rPr>
          <w:spacing w:val="-7"/>
          <w:w w:val="105"/>
        </w:rPr>
        <w:t> </w:t>
      </w:r>
      <w:r>
        <w:rPr>
          <w:w w:val="105"/>
        </w:rPr>
        <w:t>tvrdenia,</w:t>
      </w:r>
      <w:r>
        <w:rPr>
          <w:spacing w:val="-5"/>
          <w:w w:val="105"/>
        </w:rPr>
        <w:t> </w:t>
      </w:r>
      <w:r>
        <w:rPr>
          <w:w w:val="105"/>
        </w:rPr>
        <w:t>ktoré</w:t>
      </w:r>
      <w:r>
        <w:rPr>
          <w:spacing w:val="-5"/>
          <w:w w:val="105"/>
        </w:rPr>
        <w:t> </w:t>
      </w:r>
      <w:r>
        <w:rPr>
          <w:w w:val="105"/>
        </w:rPr>
        <w:t>sa nielenže nezakladajú na pravde, ale zároveň majú za cieľ prejudikovať</w:t>
      </w:r>
      <w:r>
        <w:rPr>
          <w:spacing w:val="-1"/>
          <w:w w:val="105"/>
        </w:rPr>
        <w:t> </w:t>
      </w:r>
      <w:r>
        <w:rPr>
          <w:w w:val="105"/>
        </w:rPr>
        <w:t>rozhodnutie súdu v môj neprospech.</w:t>
      </w:r>
    </w:p>
    <w:p>
      <w:pPr>
        <w:pStyle w:val="BodyText"/>
        <w:spacing w:before="160"/>
        <w:ind w:left="141"/>
      </w:pPr>
      <w:r>
        <w:rPr>
          <w:w w:val="105"/>
        </w:rPr>
        <w:t>Hlavné</w:t>
      </w:r>
      <w:r>
        <w:rPr>
          <w:spacing w:val="-8"/>
          <w:w w:val="105"/>
        </w:rPr>
        <w:t> </w:t>
      </w:r>
      <w:r>
        <w:rPr>
          <w:w w:val="105"/>
        </w:rPr>
        <w:t>body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sťažnosti: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184" w:after="0"/>
        <w:ind w:left="861" w:right="472" w:hanging="360"/>
        <w:jc w:val="left"/>
        <w:rPr>
          <w:sz w:val="24"/>
        </w:rPr>
      </w:pPr>
      <w:r>
        <w:rPr>
          <w:w w:val="105"/>
          <w:sz w:val="24"/>
        </w:rPr>
        <w:t>Manipulatívne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tvrdenia: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Kancelária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nepravdivo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tvrdí,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moja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žaloba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zjavne nepodložená a že nemám šancu na úspech. Táto argumentácia však ignoruje preukázateľné dôkazy o nezákonnom spracovaní mojich údajov, ktoré sú podložené porušením GDPR.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0" w:after="0"/>
        <w:ind w:left="861" w:right="497" w:hanging="360"/>
        <w:jc w:val="left"/>
        <w:rPr>
          <w:sz w:val="24"/>
        </w:rPr>
      </w:pPr>
      <w:r>
        <w:rPr>
          <w:w w:val="105"/>
          <w:sz w:val="24"/>
        </w:rPr>
        <w:t>Prejudikovanie výsledku: Vyjadrením, že súd by nemal schváliť Prozesskostenhilfe kvôli údajnej bezpredmetnosti môjho prípadu, kancelária priamo zasahuje do nestranného rozhodovania súdu.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Etická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otázka: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Takéto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vyjadrenia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spochybňujú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právne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princípy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objektívnosti</w:t>
      </w:r>
    </w:p>
    <w:p>
      <w:pPr>
        <w:pStyle w:val="BodyText"/>
        <w:spacing w:before="20"/>
        <w:ind w:left="861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etiky,</w:t>
      </w:r>
      <w:r>
        <w:rPr>
          <w:spacing w:val="-13"/>
          <w:w w:val="105"/>
        </w:rPr>
        <w:t> </w:t>
      </w:r>
      <w:r>
        <w:rPr>
          <w:w w:val="105"/>
        </w:rPr>
        <w:t>ktoré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právni</w:t>
      </w:r>
      <w:r>
        <w:rPr>
          <w:spacing w:val="-11"/>
          <w:w w:val="105"/>
        </w:rPr>
        <w:t> </w:t>
      </w:r>
      <w:r>
        <w:rPr>
          <w:w w:val="105"/>
        </w:rPr>
        <w:t>zástupcovia</w:t>
      </w:r>
      <w:r>
        <w:rPr>
          <w:spacing w:val="-14"/>
          <w:w w:val="105"/>
        </w:rPr>
        <w:t> </w:t>
      </w:r>
      <w:r>
        <w:rPr>
          <w:w w:val="105"/>
        </w:rPr>
        <w:t>mali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dodržiavať.</w:t>
      </w:r>
    </w:p>
    <w:p>
      <w:pPr>
        <w:pStyle w:val="BodyText"/>
        <w:spacing w:after="0"/>
        <w:sectPr>
          <w:type w:val="continuous"/>
          <w:pgSz w:w="11910" w:h="16840"/>
          <w:pgMar w:header="0" w:footer="1047" w:top="1320" w:bottom="1240" w:left="1275" w:right="1417"/>
        </w:sectPr>
      </w:pPr>
    </w:p>
    <w:p>
      <w:pPr>
        <w:pStyle w:val="BodyText"/>
        <w:spacing w:before="74"/>
        <w:ind w:left="140"/>
      </w:pPr>
      <w:r>
        <w:rPr>
          <w:w w:val="105"/>
        </w:rPr>
        <w:t>Návrh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opatrenia: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85" w:after="0"/>
        <w:ind w:left="859" w:right="0" w:hanging="359"/>
        <w:jc w:val="left"/>
        <w:rPr>
          <w:sz w:val="24"/>
        </w:rPr>
      </w:pPr>
      <w:r>
        <w:rPr>
          <w:w w:val="105"/>
          <w:sz w:val="24"/>
        </w:rPr>
        <w:t>Aby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súd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formálne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vyzval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kanceláriu,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aby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objasnila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doložila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svoje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tvrdenia</w:t>
      </w:r>
    </w:p>
    <w:p>
      <w:pPr>
        <w:pStyle w:val="BodyText"/>
        <w:spacing w:before="24"/>
        <w:ind w:left="861"/>
      </w:pPr>
      <w:r>
        <w:rPr>
          <w:spacing w:val="-2"/>
          <w:w w:val="110"/>
        </w:rPr>
        <w:t>dôkazmi.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9" w:lineRule="auto" w:before="21" w:after="0"/>
        <w:ind w:left="861" w:right="574" w:hanging="360"/>
        <w:jc w:val="left"/>
        <w:rPr>
          <w:sz w:val="24"/>
        </w:rPr>
      </w:pPr>
      <w:r>
        <w:rPr>
          <w:w w:val="105"/>
          <w:sz w:val="24"/>
        </w:rPr>
        <w:t>Aby súd prešetril, či vyjadrenia kancelárie nie sú pokusom o zasahovanie do nezávislého rozhodovania súdu.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sz w:val="24"/>
        </w:rPr>
      </w:pPr>
      <w:r>
        <w:rPr>
          <w:sz w:val="24"/>
        </w:rPr>
        <w:t>Aby</w:t>
      </w:r>
      <w:r>
        <w:rPr>
          <w:spacing w:val="26"/>
          <w:sz w:val="24"/>
        </w:rPr>
        <w:t> </w:t>
      </w:r>
      <w:r>
        <w:rPr>
          <w:sz w:val="24"/>
        </w:rPr>
        <w:t>sa</w:t>
      </w:r>
      <w:r>
        <w:rPr>
          <w:spacing w:val="26"/>
          <w:sz w:val="24"/>
        </w:rPr>
        <w:t> </w:t>
      </w:r>
      <w:r>
        <w:rPr>
          <w:sz w:val="24"/>
        </w:rPr>
        <w:t>zabezpečilo,</w:t>
      </w:r>
      <w:r>
        <w:rPr>
          <w:spacing w:val="28"/>
          <w:sz w:val="24"/>
        </w:rPr>
        <w:t> </w:t>
      </w:r>
      <w:r>
        <w:rPr>
          <w:sz w:val="24"/>
        </w:rPr>
        <w:t>že</w:t>
      </w:r>
      <w:r>
        <w:rPr>
          <w:spacing w:val="29"/>
          <w:sz w:val="24"/>
        </w:rPr>
        <w:t> </w:t>
      </w:r>
      <w:r>
        <w:rPr>
          <w:sz w:val="24"/>
        </w:rPr>
        <w:t>súdne</w:t>
      </w:r>
      <w:r>
        <w:rPr>
          <w:spacing w:val="28"/>
          <w:sz w:val="24"/>
        </w:rPr>
        <w:t> </w:t>
      </w:r>
      <w:r>
        <w:rPr>
          <w:sz w:val="24"/>
        </w:rPr>
        <w:t>konanie</w:t>
      </w:r>
      <w:r>
        <w:rPr>
          <w:spacing w:val="28"/>
          <w:sz w:val="24"/>
        </w:rPr>
        <w:t> </w:t>
      </w:r>
      <w:r>
        <w:rPr>
          <w:sz w:val="24"/>
        </w:rPr>
        <w:t>bude</w:t>
      </w:r>
      <w:r>
        <w:rPr>
          <w:spacing w:val="28"/>
          <w:sz w:val="24"/>
        </w:rPr>
        <w:t> </w:t>
      </w:r>
      <w:r>
        <w:rPr>
          <w:sz w:val="24"/>
        </w:rPr>
        <w:t>spravodlivé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nestranné.</w:t>
      </w:r>
    </w:p>
    <w:p>
      <w:pPr>
        <w:pStyle w:val="BodyText"/>
        <w:spacing w:line="259" w:lineRule="auto" w:before="182"/>
        <w:ind w:left="141" w:right="259"/>
      </w:pPr>
      <w:r>
        <w:rPr>
          <w:w w:val="105"/>
        </w:rPr>
        <w:t>Záver:</w:t>
      </w:r>
      <w:r>
        <w:rPr>
          <w:spacing w:val="-12"/>
          <w:w w:val="105"/>
        </w:rPr>
        <w:t> </w:t>
      </w:r>
      <w:r>
        <w:rPr>
          <w:w w:val="105"/>
        </w:rPr>
        <w:t>Vyjadrenia</w:t>
      </w:r>
      <w:r>
        <w:rPr>
          <w:spacing w:val="-13"/>
          <w:w w:val="105"/>
        </w:rPr>
        <w:t> </w:t>
      </w:r>
      <w:r>
        <w:rPr>
          <w:w w:val="105"/>
        </w:rPr>
        <w:t>kancelárie</w:t>
      </w:r>
      <w:r>
        <w:rPr>
          <w:spacing w:val="-12"/>
          <w:w w:val="105"/>
        </w:rPr>
        <w:t> </w:t>
      </w:r>
      <w:r>
        <w:rPr>
          <w:w w:val="105"/>
        </w:rPr>
        <w:t>LATHAM</w:t>
      </w:r>
      <w:r>
        <w:rPr>
          <w:spacing w:val="-13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WATKINS</w:t>
      </w:r>
      <w:r>
        <w:rPr>
          <w:spacing w:val="-12"/>
          <w:w w:val="105"/>
        </w:rPr>
        <w:t> </w:t>
      </w:r>
      <w:r>
        <w:rPr>
          <w:w w:val="105"/>
        </w:rPr>
        <w:t>majú</w:t>
      </w:r>
      <w:r>
        <w:rPr>
          <w:spacing w:val="-12"/>
          <w:w w:val="105"/>
        </w:rPr>
        <w:t> </w:t>
      </w:r>
      <w:r>
        <w:rPr>
          <w:w w:val="105"/>
        </w:rPr>
        <w:t>za</w:t>
      </w:r>
      <w:r>
        <w:rPr>
          <w:spacing w:val="-13"/>
          <w:w w:val="105"/>
        </w:rPr>
        <w:t> </w:t>
      </w:r>
      <w:r>
        <w:rPr>
          <w:w w:val="105"/>
        </w:rPr>
        <w:t>cieľ</w:t>
      </w:r>
      <w:r>
        <w:rPr>
          <w:spacing w:val="-13"/>
          <w:w w:val="105"/>
        </w:rPr>
        <w:t> </w:t>
      </w:r>
      <w:r>
        <w:rPr>
          <w:w w:val="105"/>
        </w:rPr>
        <w:t>diskreditovať</w:t>
      </w:r>
      <w:r>
        <w:rPr>
          <w:spacing w:val="-14"/>
          <w:w w:val="105"/>
        </w:rPr>
        <w:t> </w:t>
      </w:r>
      <w:r>
        <w:rPr>
          <w:w w:val="105"/>
        </w:rPr>
        <w:t>môj</w:t>
      </w:r>
      <w:r>
        <w:rPr>
          <w:spacing w:val="-10"/>
          <w:w w:val="105"/>
        </w:rPr>
        <w:t> </w:t>
      </w:r>
      <w:r>
        <w:rPr>
          <w:w w:val="105"/>
        </w:rPr>
        <w:t>nárok a spochybniť oprávnenosť mojej žiadosti o Prozesskostenhilfe. Vzhľadom na vyššie uvedené žiadam súd, aby zasiahol vo veci ochrany mojej osoby a integrity konania.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ind w:left="14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4810290</wp:posOffset>
            </wp:positionH>
            <wp:positionV relativeFrom="paragraph">
              <wp:posOffset>442542</wp:posOffset>
            </wp:positionV>
            <wp:extent cx="1618208" cy="94665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208" cy="946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tabs>
          <w:tab w:pos="2034" w:val="left" w:leader="none"/>
          <w:tab w:pos="5147" w:val="left" w:leader="none"/>
        </w:tabs>
        <w:ind w:left="140"/>
      </w:pPr>
      <w:r>
        <w:rPr>
          <w:w w:val="105"/>
        </w:rPr>
        <w:t>V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Kumhausene</w:t>
      </w:r>
      <w:r>
        <w:rPr/>
        <w:tab/>
      </w:r>
      <w:r>
        <w:rPr>
          <w:spacing w:val="-2"/>
          <w:w w:val="105"/>
        </w:rPr>
        <w:t>11.12.2024</w:t>
      </w:r>
      <w:r>
        <w:rPr/>
        <w:tab/>
      </w:r>
      <w:r>
        <w:rPr>
          <w:w w:val="105"/>
        </w:rPr>
        <w:t>Peter</w:t>
      </w:r>
      <w:r>
        <w:rPr>
          <w:spacing w:val="11"/>
          <w:w w:val="105"/>
        </w:rPr>
        <w:t> </w:t>
      </w:r>
      <w:r>
        <w:rPr>
          <w:w w:val="105"/>
        </w:rPr>
        <w:t>Ferenc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....................................</w:t>
      </w:r>
    </w:p>
    <w:sectPr>
      <w:pgSz w:w="11910" w:h="16840"/>
      <w:pgMar w:header="0" w:footer="1047" w:top="1320" w:bottom="12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3703320</wp:posOffset>
              </wp:positionH>
              <wp:positionV relativeFrom="page">
                <wp:posOffset>9888141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00006pt;margin-top:778.593811pt;width:12.9pt;height:15.5pt;mso-position-horizontal-relative:page;mso-position-vertical-relative:page;z-index:-15778304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2"/>
                      </w:rPr>
                      <w:t>3</w: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786"/>
      <w:outlineLvl w:val="1"/>
    </w:pPr>
    <w:rPr>
      <w:rFonts w:ascii="Calibri" w:hAnsi="Calibri" w:eastAsia="Calibri" w:cs="Calibri"/>
      <w:b/>
      <w:bCs/>
      <w:sz w:val="32"/>
      <w:szCs w:val="32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140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:description/>
  <dcterms:created xsi:type="dcterms:W3CDTF">2026-07-21T07:30:24Z</dcterms:created>
  <dcterms:modified xsi:type="dcterms:W3CDTF">2026-07-21T07:30:24Z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2026-07-21T00:00:00Z</vt:filetime>
  </property>
  <property fmtid="{D5CDD505-2E9C-101B-9397-08002B2CF9AE}" pid="5" name="Producer">
    <vt:lpwstr>Aspose.PDF for .NET 20.1; modified using iTextSharp 4.1.6 by 1T3XT</vt:lpwstr>
  </property>
  <property fmtid="{D5CDD505-2E9C-101B-9397-08002B2CF9AE}" pid="6" name="SourceModified">
    <vt:lpwstr/>
  </property>
</Properties>
</file>