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Goals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Techniques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 1</w:t>
            </w:r>
            <w:r>
              <w:rPr>
                <w:rFonts w:ascii="Calibri" w:hAnsi="Calibri"/>
                <w:sz w:val="20"/>
              </w:rPr>
              <w:t xml:space="preserve"> (Motivation)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Strengthen motivation to change and treatment readiness before addressing criminogenic needs.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Motivational Interviewing (Miller &amp; Rollnick, 50): open questions, reflective listening, appreciation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Elicit 'change talk' and 'confidence talk'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Handle resistance; use summaries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 2</w:t>
            </w:r>
            <w:r>
              <w:rPr>
                <w:rFonts w:ascii="Calibri" w:hAnsi="Calibri"/>
                <w:sz w:val="20"/>
              </w:rPr>
              <w:t xml:space="preserve"> (Supervision and social relationships)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Build positive social network, reduce resistance to rules and community supervision.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CBT to encourage social network building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CBT to support attitude change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 3</w:t>
            </w:r>
            <w:r>
              <w:rPr>
                <w:rFonts w:ascii="Calibri" w:hAnsi="Calibri"/>
                <w:sz w:val="20"/>
              </w:rPr>
              <w:t xml:space="preserve"> (Emotion management)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Reduce impulsiveness and improve coping with stress and negative emotions.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DBT (Linehan, 62): emotion regulation, distress tolerance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ACT (Hayes et al., 63): acceptance of negative experiences, meaningful life focus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 4</w:t>
            </w:r>
            <w:r>
              <w:rPr>
                <w:rFonts w:ascii="Calibri" w:hAnsi="Calibri"/>
                <w:sz w:val="20"/>
              </w:rPr>
              <w:t xml:space="preserve"> (Problem solving)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Improve social problem-solving skills; promote positive problem orientation and rational problem-solving style.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Problem-Solving Therapy: positive problem orientation and rational problem-solving (PST; Nezu et al., 74)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 5</w:t>
            </w:r>
            <w:r>
              <w:rPr>
                <w:rFonts w:ascii="Calibri" w:hAnsi="Calibri"/>
                <w:sz w:val="20"/>
              </w:rPr>
              <w:t xml:space="preserve"> (Offense-supportive attitudes)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Change attitudes supporting sexual offending against children.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Cognitive restructuring: identification, reframing, Socratic dialogue, compare new vs. old beliefs (Beck)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RNR: adapt to individual needs by choosing 3 out of 16 pre-defined cognitive distortions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 6</w:t>
            </w:r>
            <w:r>
              <w:rPr>
                <w:rFonts w:ascii="Calibri" w:hAnsi="Calibri"/>
                <w:sz w:val="20"/>
              </w:rPr>
              <w:t xml:space="preserve"> (Sexuality)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Reduce sexual preoccupation, emotional congruence with children, and sexual interest in and fantasies about children.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CBT to influence sexual thoughts/fantasies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Promote adult-oriented interests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2026-01-22T20:19:03Z</dcterms:created>
  <dcterms:modified xsi:type="dcterms:W3CDTF">2026-01-22T20:19:03Z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