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0.518, 0.606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(79,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63, 97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0.405, 0.537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25·2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(23·0, 28·5)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25·0 (23·5,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0.481, 0.553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3·83 (0·92)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3·85 (1·04)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(3·14, 4·57)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0.424, 0.505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(23,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28·5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(24·0,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22·0, 37·0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21·0, 36·0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0.459, 0.527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0.434, 0.54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0.529, 0.66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6·24 (2·26)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6·72 (2·25)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6·00 (5·00, 8·00)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0.489, 0.581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 (2·74)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2·11 (2·50)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0.458, 0.539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13·4 (3·2)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(3·3)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 (10·4, 16·0)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(11·4, 15·6)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7·4,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0.473, 0.577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0.357, 0.457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0.404, 0.504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0.5, 0.657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27·1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0.432, 0.561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(20,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(19,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Q1 = 25th percentile, Q3 = 75th percentile, RCQ = Readiness to Change Questionnaire - German version, SD = Standard deviation, SOI-R = Sexual Outlet Inventory revised, subscale desire for sexual activity with children, SPSI-R = Social Problem-Solving Inventory Revised, SSIC = Specific self-efficacy for modifying Sexual Interest in Children, UCLA = UCLA Loneliness Scale - German short version,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2026-01-28T15:58:09Z</dcterms:created>
  <dcterms:modified xsi:type="dcterms:W3CDTF">2026-01-28T15:58:09Z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