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Goals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Techniques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 1</w:t>
            </w:r>
            <w:r>
              <w:rPr>
                <w:rFonts w:ascii="Calibri" w:hAnsi="Calibri"/>
                <w:sz w:val="20"/>
              </w:rPr>
              <w:t xml:space="preserve"> (Motivation)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Strengthen motivation to change and treatment readiness before addressing criminogenic needs.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Motivational Interviewing (Miller &amp; Rollnick, 50): open questions, reflective listening, appreciation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Elicit 'change talk' and 'confidence talk'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Handle resistance; use summaries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 2</w:t>
            </w:r>
            <w:r>
              <w:rPr>
                <w:rFonts w:ascii="Calibri" w:hAnsi="Calibri"/>
                <w:sz w:val="20"/>
              </w:rPr>
              <w:t xml:space="preserve"> (Supervision and social relationships)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Build positive social network, reduce resistance to rules and community supervision.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CBT to encourage social network building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CBT to support attitude change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 3</w:t>
            </w:r>
            <w:r>
              <w:rPr>
                <w:rFonts w:ascii="Calibri" w:hAnsi="Calibri"/>
                <w:sz w:val="20"/>
              </w:rPr>
              <w:t xml:space="preserve"> (Emotion management)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Reduce impulsiveness and improve coping with stress and negative emotions.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DBT (Linehan, 62): emotion regulation, distress tolerance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ACT (Hayes et al., 63): acceptance of negative experiences, meaningful life focus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 4</w:t>
            </w:r>
            <w:r>
              <w:rPr>
                <w:rFonts w:ascii="Calibri" w:hAnsi="Calibri"/>
                <w:sz w:val="20"/>
              </w:rPr>
              <w:t xml:space="preserve"> (Problem solving)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Improve social problem-solving skills; promote positive problem orientation and rational problem-solving style.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Problem-Solving Therapy: positive problem orientation and rational problem-solving (PST; Nezu et al., 74)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 5</w:t>
            </w:r>
            <w:r>
              <w:rPr>
                <w:rFonts w:ascii="Calibri" w:hAnsi="Calibri"/>
                <w:sz w:val="20"/>
              </w:rPr>
              <w:t xml:space="preserve"> (Offense-supportive attitudes)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Change attitudes supporting sexual offending against children.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Cognitive restructuring: identification, reframing, Socratic dialogue, compare new vs. old beliefs (Beck)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RNR: adapt to individual needs by choosing 3 out of 16 pre-defined cognitive distortions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 6</w:t>
            </w:r>
            <w:r>
              <w:rPr>
                <w:rFonts w:ascii="Calibri" w:hAnsi="Calibri"/>
                <w:sz w:val="20"/>
              </w:rPr>
              <w:t xml:space="preserve"> (Sexuality)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Reduce sexual preoccupation, emotional congruence with children, and sexual interest in and fantasies about children.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CBT to influence sexual thoughts/fantasies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Promote adult-oriented interests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2026-01-21T14:18:42Z</dcterms:created>
  <dcterms:modified xsi:type="dcterms:W3CDTF">2026-01-21T14:18:42Z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